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77"/>
        <w:spacing w:after="0"/>
        <w:rPr>
          <w:sz w:val="20"/>
          <w:szCs w:val="20"/>
          <w:color w:val="auto"/>
        </w:rPr>
      </w:pPr>
      <w:r>
        <w:rPr>
          <w:rFonts w:ascii="Courier New" w:cs="Courier New" w:eastAsia="Courier New" w:hAnsi="Courier New"/>
          <w:sz w:val="16"/>
          <w:szCs w:val="16"/>
          <w:color w:val="auto"/>
        </w:rPr>
        <w:t>UNITED STATES</w:t>
      </w:r>
    </w:p>
    <w:p>
      <w:pPr>
        <w:spacing w:after="0" w:line="30"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WASHINGTON, D.C. 20549</w:t>
      </w:r>
    </w:p>
    <w:p>
      <w:pPr>
        <w:spacing w:after="0" w:line="158"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8-K</w:t>
      </w:r>
    </w:p>
    <w:p>
      <w:pPr>
        <w:spacing w:after="0" w:line="186"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CURRENT REPORT</w:t>
      </w:r>
    </w:p>
    <w:p>
      <w:pPr>
        <w:spacing w:after="0" w:line="30"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ectPr>
          <w:pgSz w:w="11900" w:h="16838" w:orient="portrait"/>
          <w:cols w:equalWidth="0" w:num="1">
            <w:col w:w="10221"/>
          </w:cols>
          <w:pgMar w:left="238" w:top="211" w:right="1440" w:bottom="1440" w:gutter="0" w:footer="0" w:header="0"/>
        </w:sectPr>
      </w:pPr>
    </w:p>
    <w:p>
      <w:pPr>
        <w:spacing w:after="0" w:line="169"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6"/>
          <w:szCs w:val="16"/>
          <w:color w:val="auto"/>
        </w:rPr>
        <w:t>November 1, 2005</w:t>
      </w:r>
    </w:p>
    <w:p>
      <w:pPr>
        <w:spacing w:after="0" w:line="30"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sectPr>
          <w:pgSz w:w="11900" w:h="16838" w:orient="portrait"/>
          <w:cols w:equalWidth="0" w:num="2">
            <w:col w:w="4682" w:space="280"/>
            <w:col w:w="5259"/>
          </w:cols>
          <w:pgMar w:left="238" w:top="211" w:right="1440" w:bottom="1440" w:gutter="0" w:footer="0" w:header="0"/>
          <w:type w:val="continuous"/>
        </w:sectPr>
      </w:pPr>
    </w:p>
    <w:p>
      <w:pPr>
        <w:jc w:val="center"/>
        <w:ind w:right="2597"/>
        <w:spacing w:after="0"/>
        <w:rPr>
          <w:sz w:val="20"/>
          <w:szCs w:val="20"/>
          <w:color w:val="auto"/>
        </w:rPr>
      </w:pPr>
      <w:r>
        <w:rPr>
          <w:rFonts w:ascii="Courier New" w:cs="Courier New" w:eastAsia="Courier New" w:hAnsi="Courier New"/>
          <w:sz w:val="16"/>
          <w:szCs w:val="16"/>
          <w:color w:val="auto"/>
        </w:rPr>
        <w:t>NN, INC.</w:t>
      </w:r>
    </w:p>
    <w:p>
      <w:pPr>
        <w:spacing w:after="0" w:line="30"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Charter)</w:t>
      </w:r>
    </w:p>
    <w:p>
      <w:pPr>
        <w:spacing w:after="0" w:line="158" w:lineRule="exact"/>
        <w:rPr>
          <w:sz w:val="24"/>
          <w:szCs w:val="24"/>
          <w:color w:val="auto"/>
        </w:rPr>
      </w:pPr>
    </w:p>
    <w:tbl>
      <w:tblPr>
        <w:tblLayout w:type="fixed"/>
        <w:tblInd w:w="862" w:type="dxa"/>
        <w:tblCellMar>
          <w:top w:w="0" w:type="dxa"/>
          <w:left w:w="0" w:type="dxa"/>
          <w:bottom w:w="0" w:type="dxa"/>
          <w:right w:w="0" w:type="dxa"/>
        </w:tblCellMar>
      </w:tblPr>
      <w:tr>
        <w:trPr>
          <w:trHeight w:val="211"/>
        </w:trPr>
        <w:tc>
          <w:tcPr>
            <w:tcW w:w="166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24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0-23486</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62-1096725</w:t>
            </w:r>
          </w:p>
        </w:tc>
      </w:tr>
    </w:tbl>
    <w:p>
      <w:pPr>
        <w:ind w:left="2"/>
        <w:spacing w:after="0"/>
        <w:rPr>
          <w:sz w:val="20"/>
          <w:szCs w:val="20"/>
          <w:color w:val="auto"/>
        </w:rPr>
      </w:pPr>
      <w:r>
        <w:rPr>
          <w:rFonts w:ascii="Courier New" w:cs="Courier New" w:eastAsia="Courier New" w:hAnsi="Courier New"/>
          <w:sz w:val="15"/>
          <w:szCs w:val="15"/>
          <w:color w:val="auto"/>
        </w:rPr>
        <w:t>- -------------------------------------------------------------------------------</w:t>
      </w:r>
    </w:p>
    <w:p>
      <w:pPr>
        <w:spacing w:after="0" w:line="325" w:lineRule="exact"/>
        <w:rPr>
          <w:sz w:val="24"/>
          <w:szCs w:val="24"/>
          <w:color w:val="auto"/>
        </w:rPr>
      </w:pPr>
    </w:p>
    <w:p>
      <w:pPr>
        <w:ind w:left="2" w:right="2879"/>
        <w:spacing w:after="0" w:line="355" w:lineRule="auto"/>
        <w:rPr>
          <w:sz w:val="20"/>
          <w:szCs w:val="20"/>
          <w:color w:val="auto"/>
        </w:rPr>
      </w:pPr>
      <w:r>
        <w:rPr>
          <w:rFonts w:ascii="Courier New" w:cs="Courier New" w:eastAsia="Courier New" w:hAnsi="Courier New"/>
          <w:sz w:val="16"/>
          <w:szCs w:val="16"/>
          <w:color w:val="auto"/>
        </w:rPr>
        <w:t>(State or other jurisdiction of (Commission (I. R. S. Employer incorporation or organization) File Number) Identification No.)</w:t>
      </w:r>
    </w:p>
    <w:p>
      <w:pPr>
        <w:spacing w:after="0" w:line="14" w:lineRule="exact"/>
        <w:rPr>
          <w:sz w:val="24"/>
          <w:szCs w:val="24"/>
          <w:color w:val="auto"/>
        </w:rPr>
      </w:pPr>
    </w:p>
    <w:p>
      <w:pPr>
        <w:ind w:left="1342"/>
        <w:spacing w:after="0"/>
        <w:rPr>
          <w:sz w:val="20"/>
          <w:szCs w:val="20"/>
          <w:color w:val="auto"/>
        </w:rPr>
      </w:pPr>
      <w:r>
        <w:rPr>
          <w:rFonts w:ascii="Courier New" w:cs="Courier New" w:eastAsia="Courier New" w:hAnsi="Courier New"/>
          <w:sz w:val="16"/>
          <w:szCs w:val="16"/>
          <w:color w:val="auto"/>
        </w:rPr>
        <w:t>2000 Waters Edge Drive, Johnson City, Tennessee 37604</w:t>
      </w:r>
    </w:p>
    <w:p>
      <w:pPr>
        <w:spacing w:after="0" w:line="30"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42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221"/>
          </w:cols>
          <w:pgMar w:left="238" w:top="211" w:right="1440" w:bottom="1440" w:gutter="0" w:footer="0" w:header="0"/>
          <w:type w:val="continuous"/>
        </w:sectPr>
      </w:pPr>
    </w:p>
    <w:p>
      <w:pPr>
        <w:spacing w:after="0" w:line="15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(423) 743-9151</w:t>
      </w:r>
    </w:p>
    <w:p>
      <w:pPr>
        <w:spacing w:after="0" w:line="30"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sectPr>
          <w:pgSz w:w="11900" w:h="16838" w:orient="portrait"/>
          <w:cols w:equalWidth="0" w:num="2">
            <w:col w:w="4862" w:space="380"/>
            <w:col w:w="4979"/>
          </w:cols>
          <w:pgMar w:left="238" w:top="211" w:right="1440" w:bottom="1440" w:gutter="0" w:footer="0" w:header="0"/>
          <w:type w:val="continuous"/>
        </w:sectPr>
      </w:pPr>
    </w:p>
    <w:p>
      <w:pPr>
        <w:ind w:left="3142"/>
        <w:spacing w:after="0"/>
        <w:rPr>
          <w:sz w:val="20"/>
          <w:szCs w:val="20"/>
          <w:color w:val="auto"/>
        </w:rPr>
      </w:pPr>
      <w:r>
        <w:rPr>
          <w:rFonts w:ascii="Courier New" w:cs="Courier New" w:eastAsia="Courier New" w:hAnsi="Courier New"/>
          <w:sz w:val="16"/>
          <w:szCs w:val="16"/>
          <w:color w:val="auto"/>
        </w:rPr>
        <w:t>Not Applicable</w:t>
      </w:r>
    </w:p>
    <w:p>
      <w:pPr>
        <w:spacing w:after="0" w:line="30"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8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or former address, if changed since last report.)</w:t>
      </w:r>
    </w:p>
    <w:p>
      <w:pPr>
        <w:spacing w:after="0" w:line="158" w:lineRule="exact"/>
        <w:rPr>
          <w:sz w:val="24"/>
          <w:szCs w:val="24"/>
          <w:color w:val="auto"/>
        </w:rPr>
      </w:pPr>
    </w:p>
    <w:p>
      <w:pPr>
        <w:ind w:left="2" w:right="2599"/>
        <w:spacing w:after="0" w:line="299" w:lineRule="auto"/>
        <w:rPr>
          <w:sz w:val="20"/>
          <w:szCs w:val="20"/>
          <w:color w:val="auto"/>
        </w:rPr>
      </w:pPr>
      <w:r>
        <w:rPr>
          <w:rFonts w:ascii="Courier New" w:cs="Courier New" w:eastAsia="Courier New" w:hAnsi="Courier New"/>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382" w:right="2599" w:hanging="381"/>
        <w:spacing w:after="0" w:line="355" w:lineRule="auto"/>
        <w:rPr>
          <w:sz w:val="20"/>
          <w:szCs w:val="20"/>
          <w:color w:val="auto"/>
        </w:rPr>
      </w:pPr>
      <w:r>
        <w:rPr>
          <w:rFonts w:ascii="Courier New" w:cs="Courier New" w:eastAsia="Courier New" w:hAnsi="Courier New"/>
          <w:sz w:val="16"/>
          <w:szCs w:val="16"/>
          <w:color w:val="auto"/>
        </w:rPr>
        <w:t>|_| Written communications pursuant to Rule 425 under the Securities Act (17 CFR 230.425)</w:t>
      </w:r>
    </w:p>
    <w:p>
      <w:pPr>
        <w:spacing w:after="0" w:line="14" w:lineRule="exact"/>
        <w:rPr>
          <w:sz w:val="24"/>
          <w:szCs w:val="24"/>
          <w:color w:val="auto"/>
        </w:rPr>
      </w:pPr>
    </w:p>
    <w:p>
      <w:pPr>
        <w:ind w:left="382" w:right="2599" w:hanging="381"/>
        <w:spacing w:after="0" w:line="297" w:lineRule="auto"/>
        <w:rPr>
          <w:sz w:val="20"/>
          <w:szCs w:val="20"/>
          <w:color w:val="auto"/>
        </w:rPr>
      </w:pPr>
      <w:r>
        <w:rPr>
          <w:rFonts w:ascii="Courier New" w:cs="Courier New" w:eastAsia="Courier New" w:hAnsi="Courier New"/>
          <w:sz w:val="16"/>
          <w:szCs w:val="16"/>
          <w:color w:val="auto"/>
        </w:rPr>
        <w:t>|_| Soliciting</w:t>
      </w:r>
      <w:r>
        <w:rPr>
          <w:sz w:val="20"/>
          <w:szCs w:val="20"/>
          <w:color w:val="auto"/>
        </w:rPr>
        <w:t xml:space="preserve"> </w:t>
      </w:r>
      <w:r>
        <w:rPr>
          <w:rFonts w:ascii="Courier New" w:cs="Courier New" w:eastAsia="Courier New" w:hAnsi="Courier New"/>
          <w:sz w:val="16"/>
          <w:szCs w:val="16"/>
          <w:color w:val="auto"/>
        </w:rPr>
        <w:t>material pursuant to Rule 14a-12 under the Exchange Act (17 CFR 240.14a-12)</w:t>
      </w:r>
    </w:p>
    <w:p>
      <w:pPr>
        <w:spacing w:after="0" w:line="284" w:lineRule="exact"/>
        <w:rPr>
          <w:sz w:val="24"/>
          <w:szCs w:val="24"/>
          <w:color w:val="auto"/>
        </w:rPr>
      </w:pPr>
    </w:p>
    <w:p>
      <w:pPr>
        <w:ind w:left="382" w:right="2599" w:hanging="381"/>
        <w:spacing w:after="0" w:line="355" w:lineRule="auto"/>
        <w:rPr>
          <w:sz w:val="20"/>
          <w:szCs w:val="20"/>
          <w:color w:val="auto"/>
        </w:rPr>
      </w:pPr>
      <w:r>
        <w:rPr>
          <w:rFonts w:ascii="Courier New" w:cs="Courier New" w:eastAsia="Courier New" w:hAnsi="Courier New"/>
          <w:sz w:val="16"/>
          <w:szCs w:val="16"/>
          <w:color w:val="auto"/>
        </w:rPr>
        <w:t>|_| Pre-commencement communications pursuant to Rule 14d-2(b) under the Exchange Act (17 CFR 240.14d-2(b))</w:t>
      </w:r>
    </w:p>
    <w:p>
      <w:pPr>
        <w:spacing w:after="0" w:line="14" w:lineRule="exact"/>
        <w:rPr>
          <w:sz w:val="24"/>
          <w:szCs w:val="24"/>
          <w:color w:val="auto"/>
        </w:rPr>
      </w:pPr>
    </w:p>
    <w:p>
      <w:pPr>
        <w:ind w:left="382" w:right="2599" w:hanging="381"/>
        <w:spacing w:after="0" w:line="355" w:lineRule="auto"/>
        <w:rPr>
          <w:sz w:val="20"/>
          <w:szCs w:val="20"/>
          <w:color w:val="auto"/>
        </w:rPr>
      </w:pPr>
      <w:r>
        <w:rPr>
          <w:rFonts w:ascii="Courier New" w:cs="Courier New" w:eastAsia="Courier New" w:hAnsi="Courier New"/>
          <w:sz w:val="16"/>
          <w:szCs w:val="16"/>
          <w:color w:val="auto"/>
        </w:rPr>
        <w:t>|_|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Item 2.02. Results of Operations and Financial Condition</w:t>
      </w:r>
    </w:p>
    <w:p>
      <w:pPr>
        <w:spacing w:after="0" w:line="186" w:lineRule="exact"/>
        <w:rPr>
          <w:sz w:val="24"/>
          <w:szCs w:val="24"/>
          <w:color w:val="auto"/>
        </w:rPr>
      </w:pPr>
    </w:p>
    <w:p>
      <w:pPr>
        <w:ind w:left="2" w:right="2599"/>
        <w:spacing w:after="0" w:line="355" w:lineRule="auto"/>
        <w:rPr>
          <w:sz w:val="20"/>
          <w:szCs w:val="20"/>
          <w:color w:val="auto"/>
        </w:rPr>
      </w:pPr>
      <w:r>
        <w:rPr>
          <w:rFonts w:ascii="Courier New" w:cs="Courier New" w:eastAsia="Courier New" w:hAnsi="Courier New"/>
          <w:sz w:val="16"/>
          <w:szCs w:val="16"/>
          <w:color w:val="auto"/>
        </w:rPr>
        <w:t>Furnished as Exhibit 99.1 is a copy of a Press Release issued by NN, Inc. on November 1, 2005.</w:t>
      </w:r>
    </w:p>
    <w:p>
      <w:pPr>
        <w:spacing w:after="0" w:line="197" w:lineRule="exact"/>
        <w:rPr>
          <w:sz w:val="24"/>
          <w:szCs w:val="24"/>
          <w:color w:val="auto"/>
        </w:rPr>
      </w:pPr>
    </w:p>
    <w:p>
      <w:pPr>
        <w:ind w:left="2"/>
        <w:spacing w:after="0"/>
        <w:tabs>
          <w:tab w:leader="none" w:pos="1122" w:val="left"/>
        </w:tabs>
        <w:rPr>
          <w:sz w:val="20"/>
          <w:szCs w:val="20"/>
          <w:color w:val="auto"/>
        </w:rPr>
      </w:pPr>
      <w:r>
        <w:rPr>
          <w:rFonts w:ascii="Courier New" w:cs="Courier New" w:eastAsia="Courier New" w:hAnsi="Courier New"/>
          <w:sz w:val="16"/>
          <w:szCs w:val="16"/>
          <w:color w:val="auto"/>
        </w:rPr>
        <w:t>Item 9.01.</w:t>
      </w:r>
      <w:r>
        <w:rPr>
          <w:sz w:val="20"/>
          <w:szCs w:val="20"/>
          <w:color w:val="auto"/>
        </w:rPr>
        <w:tab/>
      </w:r>
      <w:r>
        <w:rPr>
          <w:rFonts w:ascii="Courier New" w:cs="Courier New" w:eastAsia="Courier New" w:hAnsi="Courier New"/>
          <w:sz w:val="15"/>
          <w:szCs w:val="15"/>
          <w:color w:val="auto"/>
        </w:rPr>
        <w:t>Financial Statements and Exhibits</w:t>
      </w:r>
    </w:p>
    <w:p>
      <w:pPr>
        <w:spacing w:after="0" w:line="186" w:lineRule="exact"/>
        <w:rPr>
          <w:sz w:val="24"/>
          <w:szCs w:val="24"/>
          <w:color w:val="auto"/>
        </w:rPr>
      </w:pPr>
    </w:p>
    <w:p>
      <w:pPr>
        <w:ind w:left="1342" w:hanging="675"/>
        <w:spacing w:after="0"/>
        <w:tabs>
          <w:tab w:leader="none" w:pos="134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6" w:lineRule="exact"/>
        <w:rPr>
          <w:sz w:val="24"/>
          <w:szCs w:val="24"/>
          <w:color w:val="auto"/>
        </w:rPr>
      </w:pPr>
    </w:p>
    <w:p>
      <w:pPr>
        <w:jc w:val="both"/>
        <w:ind w:left="2" w:right="2599"/>
        <w:spacing w:after="0" w:line="280" w:lineRule="auto"/>
        <w:rPr>
          <w:sz w:val="20"/>
          <w:szCs w:val="20"/>
          <w:color w:val="auto"/>
        </w:rPr>
      </w:pPr>
      <w:r>
        <w:rPr>
          <w:rFonts w:ascii="Courier New" w:cs="Courier New" w:eastAsia="Courier New" w:hAnsi="Courier New"/>
          <w:sz w:val="16"/>
          <w:szCs w:val="16"/>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71"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Exhibits:</w:t>
      </w:r>
    </w:p>
    <w:p>
      <w:pPr>
        <w:spacing w:after="0" w:line="186" w:lineRule="exact"/>
        <w:rPr>
          <w:sz w:val="24"/>
          <w:szCs w:val="24"/>
          <w:color w:val="auto"/>
        </w:rPr>
      </w:pPr>
    </w:p>
    <w:tbl>
      <w:tblPr>
        <w:tblLayout w:type="fixed"/>
        <w:tblInd w:w="862" w:type="dxa"/>
        <w:tblCellMar>
          <w:top w:w="0" w:type="dxa"/>
          <w:left w:w="0" w:type="dxa"/>
          <w:bottom w:w="0" w:type="dxa"/>
          <w:right w:w="0" w:type="dxa"/>
        </w:tblCellMar>
      </w:tblP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47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3"/>
        </w:trPr>
        <w:tc>
          <w:tcPr>
            <w:tcW w:w="13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4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760" w:type="dxa"/>
            <w:vAlign w:val="bottom"/>
          </w:tcPr>
          <w:p>
            <w:pPr>
              <w:ind w:left="80"/>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367"/>
        </w:trPr>
        <w:tc>
          <w:tcPr>
            <w:tcW w:w="134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4760" w:type="dxa"/>
            <w:vAlign w:val="bottom"/>
          </w:tcPr>
          <w:p>
            <w:pPr>
              <w:ind w:left="80"/>
              <w:spacing w:after="0"/>
              <w:rPr>
                <w:sz w:val="20"/>
                <w:szCs w:val="20"/>
                <w:color w:val="auto"/>
              </w:rPr>
            </w:pPr>
            <w:r>
              <w:rPr>
                <w:rFonts w:ascii="Courier New" w:cs="Courier New" w:eastAsia="Courier New" w:hAnsi="Courier New"/>
                <w:sz w:val="16"/>
                <w:szCs w:val="16"/>
                <w:color w:val="auto"/>
              </w:rPr>
              <w:t>Press Release of NN, Inc. dated November 1, 2005</w:t>
            </w:r>
          </w:p>
        </w:tc>
        <w:tc>
          <w:tcPr>
            <w:tcW w:w="0" w:type="dxa"/>
            <w:vAlign w:val="bottom"/>
          </w:tcPr>
          <w:p>
            <w:pPr>
              <w:spacing w:after="0"/>
              <w:rPr>
                <w:sz w:val="1"/>
                <w:szCs w:val="1"/>
                <w:color w:val="auto"/>
              </w:rPr>
            </w:pPr>
          </w:p>
        </w:tc>
      </w:tr>
    </w:tbl>
    <w:p>
      <w:pPr>
        <w:sectPr>
          <w:pgSz w:w="11900" w:h="16838" w:orient="portrait"/>
          <w:cols w:equalWidth="0" w:num="1">
            <w:col w:w="10221"/>
          </w:cols>
          <w:pgMar w:left="238" w:top="211" w:right="1440" w:bottom="1440" w:gutter="0" w:footer="0" w:header="0"/>
          <w:type w:val="continuous"/>
        </w:sectPr>
      </w:pPr>
    </w:p>
    <w:bookmarkStart w:id="1" w:name="page2"/>
    <w:bookmarkEnd w:id="1"/>
    <w:p>
      <w:pPr>
        <w:jc w:val="center"/>
        <w:ind w:right="2419"/>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jc w:val="both"/>
        <w:ind w:right="2599" w:firstLine="477"/>
        <w:spacing w:after="0" w:line="29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5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NN, Inc.</w:t>
      </w:r>
    </w:p>
    <w:p>
      <w:pPr>
        <w:sectPr>
          <w:pgSz w:w="11900" w:h="16838" w:orient="portrait"/>
          <w:cols w:equalWidth="0" w:num="1">
            <w:col w:w="10219"/>
          </w:cols>
          <w:pgMar w:left="240" w:top="823" w:right="1440" w:bottom="1440" w:gutter="0" w:footer="0" w:header="0"/>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 2005</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William C. Kelly, Jr.</w:t>
      </w:r>
    </w:p>
    <w:p>
      <w:pPr>
        <w:spacing w:after="0" w:line="30"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William C. Kelly, Jr.</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Secretary, Treasurer and</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color w:val="auto"/>
        </w:rPr>
        <w:t>Chief Administrative Officer</w:t>
      </w:r>
    </w:p>
    <w:p>
      <w:pPr>
        <w:sectPr>
          <w:pgSz w:w="11900" w:h="16838" w:orient="portrait"/>
          <w:cols w:equalWidth="0" w:num="3">
            <w:col w:w="580" w:space="180"/>
            <w:col w:w="2800" w:space="720"/>
            <w:col w:w="5939"/>
          </w:cols>
          <w:pgMar w:left="240" w:top="823"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66"/>
        </w:trPr>
        <w:tc>
          <w:tcPr>
            <w:tcW w:w="4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6"/>
                <w:szCs w:val="16"/>
                <w:color w:val="auto"/>
              </w:rPr>
              <w:t>Exhibit 99.1</w:t>
            </w:r>
          </w:p>
        </w:tc>
        <w:tc>
          <w:tcPr>
            <w:tcW w:w="0" w:type="dxa"/>
            <w:vAlign w:val="bottom"/>
          </w:tcPr>
          <w:p>
            <w:pPr>
              <w:spacing w:after="0"/>
              <w:rPr>
                <w:sz w:val="1"/>
                <w:szCs w:val="1"/>
                <w:color w:val="auto"/>
              </w:rPr>
            </w:pPr>
          </w:p>
        </w:tc>
      </w:tr>
      <w:tr>
        <w:trPr>
          <w:trHeight w:val="367"/>
        </w:trPr>
        <w:tc>
          <w:tcPr>
            <w:tcW w:w="4620" w:type="dxa"/>
            <w:vAlign w:val="bottom"/>
            <w:vMerge w:val="restart"/>
          </w:tcPr>
          <w:p>
            <w:pPr>
              <w:spacing w:after="0"/>
              <w:rPr>
                <w:sz w:val="20"/>
                <w:szCs w:val="20"/>
                <w:color w:val="auto"/>
              </w:rPr>
            </w:pPr>
            <w:r>
              <w:rPr>
                <w:rFonts w:ascii="Courier New" w:cs="Courier New" w:eastAsia="Courier New" w:hAnsi="Courier New"/>
                <w:sz w:val="16"/>
                <w:szCs w:val="16"/>
                <w:color w:val="auto"/>
              </w:rPr>
              <w:t>FINANCIAL</w:t>
            </w:r>
          </w:p>
        </w:tc>
        <w:tc>
          <w:tcPr>
            <w:tcW w:w="1580" w:type="dxa"/>
            <w:vAlign w:val="bottom"/>
          </w:tcPr>
          <w:p>
            <w:pPr>
              <w:ind w:left="820"/>
              <w:spacing w:after="0"/>
              <w:rPr>
                <w:sz w:val="20"/>
                <w:szCs w:val="20"/>
                <w:color w:val="auto"/>
              </w:rPr>
            </w:pPr>
            <w:r>
              <w:rPr>
                <w:rFonts w:ascii="Courier New" w:cs="Courier New" w:eastAsia="Courier New" w:hAnsi="Courier New"/>
                <w:sz w:val="16"/>
                <w:szCs w:val="16"/>
                <w:color w:val="auto"/>
              </w:rPr>
              <w:t>NEWS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620" w:type="dxa"/>
            <w:vAlign w:val="bottom"/>
            <w:vMerge w:val="continue"/>
          </w:tcPr>
          <w:p>
            <w:pPr>
              <w:spacing w:after="0"/>
              <w:rPr>
                <w:sz w:val="8"/>
                <w:szCs w:val="8"/>
                <w:color w:val="auto"/>
              </w:rPr>
            </w:pPr>
          </w:p>
        </w:tc>
        <w:tc>
          <w:tcPr>
            <w:tcW w:w="3000" w:type="dxa"/>
            <w:vAlign w:val="bottom"/>
            <w:gridSpan w:val="2"/>
            <w:vMerge w:val="restart"/>
          </w:tcPr>
          <w:p>
            <w:pPr>
              <w:ind w:left="820"/>
              <w:spacing w:after="0"/>
              <w:rPr>
                <w:sz w:val="20"/>
                <w:szCs w:val="20"/>
                <w:color w:val="auto"/>
              </w:rPr>
            </w:pPr>
            <w:r>
              <w:rPr>
                <w:rFonts w:ascii="Courier New" w:cs="Courier New" w:eastAsia="Courier New" w:hAnsi="Courier New"/>
                <w:sz w:val="16"/>
                <w:szCs w:val="16"/>
                <w:color w:val="auto"/>
              </w:rPr>
              <w:t>RE: NN, Inc.</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RELATIONS BOARD</w:t>
            </w:r>
          </w:p>
        </w:tc>
        <w:tc>
          <w:tcPr>
            <w:tcW w:w="3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300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2000 Waters Edge Drive</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3"/>
                <w:szCs w:val="23"/>
                <w:color w:val="auto"/>
              </w:rPr>
            </w:pPr>
          </w:p>
        </w:tc>
        <w:tc>
          <w:tcPr>
            <w:tcW w:w="3000" w:type="dxa"/>
            <w:vAlign w:val="bottom"/>
            <w:gridSpan w:val="2"/>
          </w:tcPr>
          <w:p>
            <w:pPr>
              <w:ind w:left="820"/>
              <w:spacing w:after="0"/>
              <w:rPr>
                <w:sz w:val="20"/>
                <w:szCs w:val="20"/>
                <w:color w:val="auto"/>
              </w:rPr>
            </w:pPr>
            <w:r>
              <w:rPr>
                <w:rFonts w:ascii="Courier New" w:cs="Courier New" w:eastAsia="Courier New" w:hAnsi="Courier New"/>
                <w:sz w:val="16"/>
                <w:szCs w:val="16"/>
                <w:color w:val="auto"/>
                <w:w w:val="97"/>
              </w:rPr>
              <w:t>Johnson City, TN  37604</w:t>
            </w:r>
          </w:p>
        </w:tc>
        <w:tc>
          <w:tcPr>
            <w:tcW w:w="0" w:type="dxa"/>
            <w:vAlign w:val="bottom"/>
          </w:tcPr>
          <w:p>
            <w:pPr>
              <w:spacing w:after="0"/>
              <w:rPr>
                <w:sz w:val="1"/>
                <w:szCs w:val="1"/>
                <w:color w:val="auto"/>
              </w:rPr>
            </w:pPr>
          </w:p>
        </w:tc>
      </w:tr>
      <w:tr>
        <w:trPr>
          <w:trHeight w:val="550"/>
        </w:trPr>
        <w:tc>
          <w:tcPr>
            <w:tcW w:w="4620" w:type="dxa"/>
            <w:vAlign w:val="bottom"/>
          </w:tcPr>
          <w:p>
            <w:pPr>
              <w:spacing w:after="0"/>
              <w:rPr>
                <w:sz w:val="20"/>
                <w:szCs w:val="20"/>
                <w:color w:val="auto"/>
              </w:rPr>
            </w:pPr>
            <w:r>
              <w:rPr>
                <w:rFonts w:ascii="Courier New" w:cs="Courier New" w:eastAsia="Courier New" w:hAnsi="Courier New"/>
                <w:sz w:val="16"/>
                <w:szCs w:val="16"/>
                <w:color w:val="auto"/>
              </w:rPr>
              <w:t>FOR FURTHER INFORMATION:</w:t>
            </w: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Courier New" w:cs="Courier New" w:eastAsia="Courier New" w:hAnsi="Courier New"/>
                <w:sz w:val="16"/>
                <w:szCs w:val="16"/>
                <w:color w:val="auto"/>
              </w:rPr>
              <w:t>AT THE COMPANY</w:t>
            </w:r>
          </w:p>
        </w:tc>
        <w:tc>
          <w:tcPr>
            <w:tcW w:w="3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AT FINANCIAL RELATIONS BOARD</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0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Will Kelly</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Marilynn Meek</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Susan Garland</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Vice President and Chief Administrative Officer</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(General info)</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w w:val="96"/>
              </w:rPr>
              <w:t>(Analyst info)</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0"/>
                <w:szCs w:val="20"/>
                <w:color w:val="auto"/>
              </w:rPr>
            </w:pPr>
            <w:r>
              <w:rPr>
                <w:rFonts w:ascii="Courier New" w:cs="Courier New" w:eastAsia="Courier New" w:hAnsi="Courier New"/>
                <w:sz w:val="16"/>
                <w:szCs w:val="16"/>
                <w:color w:val="auto"/>
              </w:rPr>
              <w:t>(423) 743-9151</w:t>
            </w:r>
          </w:p>
        </w:tc>
        <w:tc>
          <w:tcPr>
            <w:tcW w:w="1580" w:type="dxa"/>
            <w:vAlign w:val="bottom"/>
          </w:tcPr>
          <w:p>
            <w:pPr>
              <w:ind w:left="140"/>
              <w:spacing w:after="0"/>
              <w:rPr>
                <w:sz w:val="20"/>
                <w:szCs w:val="20"/>
                <w:color w:val="auto"/>
              </w:rPr>
            </w:pPr>
            <w:r>
              <w:rPr>
                <w:rFonts w:ascii="Courier New" w:cs="Courier New" w:eastAsia="Courier New" w:hAnsi="Courier New"/>
                <w:sz w:val="16"/>
                <w:szCs w:val="16"/>
                <w:color w:val="auto"/>
              </w:rPr>
              <w:t>212-827-3773</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212-827-3775</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 2005</w:t>
      </w:r>
    </w:p>
    <w:p>
      <w:pPr>
        <w:spacing w:after="0" w:line="158"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NN, INC. REPORTS THIRD QUARTER 2005 RESULTS</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Third Quarter Revenues Up 3%, Earnings Per Share Up 15%</w:t>
      </w:r>
    </w:p>
    <w:p>
      <w:pPr>
        <w:spacing w:after="0" w:line="3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Nine Months Year-To-Date Revenues Up 9%, Earnings Per Share Up 33%</w:t>
      </w:r>
    </w:p>
    <w:p>
      <w:pPr>
        <w:spacing w:after="0" w:line="158" w:lineRule="exact"/>
        <w:rPr>
          <w:sz w:val="20"/>
          <w:szCs w:val="20"/>
          <w:color w:val="auto"/>
        </w:rPr>
      </w:pPr>
    </w:p>
    <w:p>
      <w:pPr>
        <w:jc w:val="both"/>
        <w:ind w:right="2599"/>
        <w:spacing w:after="0" w:line="261" w:lineRule="auto"/>
        <w:rPr>
          <w:sz w:val="20"/>
          <w:szCs w:val="20"/>
          <w:color w:val="auto"/>
        </w:rPr>
      </w:pPr>
      <w:r>
        <w:rPr>
          <w:rFonts w:ascii="Courier New" w:cs="Courier New" w:eastAsia="Courier New" w:hAnsi="Courier New"/>
          <w:sz w:val="16"/>
          <w:szCs w:val="16"/>
          <w:color w:val="auto"/>
        </w:rPr>
        <w:t>Johnson City, Tenn., November 1, 2005 - NN, Inc. (Nasdaq: NNBR) today reported its financial results for the third quarter and nine months ended September 30, 2005. Net sales for the third quarter of 2005 were $75.0 million, up 2.9% from $72.9 million for the same period of 2004. Net income for the third quarter of 2005 totaled $2.6 million as compared to $2.2 million for the same period of 2004. Earnings per diluted share for the third quarter of 2005 were $0.15, up 15% from $0.13 per diluted share in third quarter 2004.</w:t>
      </w:r>
    </w:p>
    <w:p>
      <w:pPr>
        <w:spacing w:after="0" w:line="87" w:lineRule="exact"/>
        <w:rPr>
          <w:sz w:val="20"/>
          <w:szCs w:val="20"/>
          <w:color w:val="auto"/>
        </w:rPr>
      </w:pPr>
    </w:p>
    <w:p>
      <w:pPr>
        <w:jc w:val="both"/>
        <w:ind w:right="2599"/>
        <w:spacing w:after="0" w:line="265" w:lineRule="auto"/>
        <w:rPr>
          <w:sz w:val="20"/>
          <w:szCs w:val="20"/>
          <w:color w:val="auto"/>
        </w:rPr>
      </w:pPr>
      <w:r>
        <w:rPr>
          <w:rFonts w:ascii="Courier New" w:cs="Courier New" w:eastAsia="Courier New" w:hAnsi="Courier New"/>
          <w:sz w:val="16"/>
          <w:szCs w:val="16"/>
          <w:color w:val="auto"/>
        </w:rPr>
        <w:t>Net sales for the first nine months of 2005 were $245.5 million, up 8.7%, compared to $225.8 million for the same period of 2004. Net income for the first nine months of 2005 totaled $9.9 million as compared to $7.4 million for the same period of 2004. Earnings per diluted share for the first nine months of 2005 were $0.57, an increase of 33% from $0.43 per diluted share for the same period of 2004.</w:t>
      </w:r>
    </w:p>
    <w:p>
      <w:pPr>
        <w:spacing w:after="0" w:line="83" w:lineRule="exact"/>
        <w:rPr>
          <w:sz w:val="20"/>
          <w:szCs w:val="20"/>
          <w:color w:val="auto"/>
        </w:rPr>
      </w:pPr>
    </w:p>
    <w:p>
      <w:pPr>
        <w:jc w:val="both"/>
        <w:ind w:right="2599"/>
        <w:spacing w:after="0" w:line="271" w:lineRule="auto"/>
        <w:rPr>
          <w:sz w:val="20"/>
          <w:szCs w:val="20"/>
          <w:color w:val="auto"/>
        </w:rPr>
      </w:pPr>
      <w:r>
        <w:rPr>
          <w:rFonts w:ascii="Courier New" w:cs="Courier New" w:eastAsia="Courier New" w:hAnsi="Courier New"/>
          <w:sz w:val="16"/>
          <w:szCs w:val="16"/>
          <w:color w:val="auto"/>
        </w:rPr>
        <w:t>James H. Dorton, Vice President and Chief Financial Officer, commented, "Of the total revenue increase of $19.7 million for the first nine months of 2005, price increases accounted for approximately 34%, the positive effects of currency translation accounted for 27% and volume increases accounted for approximately 39% of the total increase.</w:t>
      </w:r>
    </w:p>
    <w:p>
      <w:pPr>
        <w:spacing w:after="0" w:line="77" w:lineRule="exact"/>
        <w:rPr>
          <w:sz w:val="20"/>
          <w:szCs w:val="20"/>
          <w:color w:val="auto"/>
        </w:rPr>
      </w:pPr>
    </w:p>
    <w:p>
      <w:pPr>
        <w:jc w:val="both"/>
        <w:ind w:right="2599"/>
        <w:spacing w:after="0" w:line="278" w:lineRule="auto"/>
        <w:rPr>
          <w:sz w:val="20"/>
          <w:szCs w:val="20"/>
          <w:color w:val="auto"/>
        </w:rPr>
      </w:pPr>
      <w:r>
        <w:rPr>
          <w:rFonts w:ascii="Courier New" w:cs="Courier New" w:eastAsia="Courier New" w:hAnsi="Courier New"/>
          <w:sz w:val="15"/>
          <w:szCs w:val="15"/>
          <w:color w:val="auto"/>
        </w:rPr>
        <w:t>"As a percentage of net sales, cost of products sold was 77.6% in the third quarter of 2005 versus 78.5% in the third quarter of 2004. Cost improvements associated with our Level 3 initiatives were the primary factor for the improved margins. As a percentage of net sales, cost of products sold for the first nine months of 2005 of 78.1% was comparable to 78.2% for the same period in the prior year. We estimate that Level 3 initiatives in the first nine months of 2005 accounted for approximately 2.0% margin improvement. These improvements were offset by the margin reduction associated with raw material pass through.</w:t>
      </w:r>
    </w:p>
    <w:p>
      <w:pPr>
        <w:sectPr>
          <w:pgSz w:w="11900" w:h="16838" w:orient="portrait"/>
          <w:cols w:equalWidth="0" w:num="1">
            <w:col w:w="10219"/>
          </w:cols>
          <w:pgMar w:left="240" w:top="639" w:right="1440" w:bottom="1440" w:gutter="0" w:footer="0" w:header="0"/>
        </w:sectPr>
      </w:pPr>
    </w:p>
    <w:bookmarkStart w:id="3" w:name="page4"/>
    <w:bookmarkEnd w:id="3"/>
    <w:p>
      <w:pPr>
        <w:jc w:val="both"/>
        <w:ind w:right="2599"/>
        <w:spacing w:after="0" w:line="258" w:lineRule="auto"/>
        <w:rPr>
          <w:sz w:val="20"/>
          <w:szCs w:val="20"/>
          <w:color w:val="auto"/>
        </w:rPr>
      </w:pPr>
      <w:r>
        <w:rPr>
          <w:rFonts w:ascii="Courier New" w:cs="Courier New" w:eastAsia="Courier New" w:hAnsi="Courier New"/>
          <w:sz w:val="16"/>
          <w:szCs w:val="16"/>
          <w:color w:val="auto"/>
        </w:rPr>
        <w:t>"Selling, general and administrative expenses of $7.2 million, or 9.6% as a percentage of net sales for the third quarter of 2005 were negatively impacted by the recording of a reserve for Delphi Corp. accounts receivable and for start-up costs in China. However SG&amp;A remained relatively flat as compared to the same period in 2004 of $7.1 million, or 9.8% as a percentage of net sales. Selling, general and administrative expenses for the first nine months of 2005 were $22.0 million, or 8.9 % as a percentage of net sales as compared to $22.3 million, or 9.9% as a percentage of net sales for the same period of 2004."</w:t>
      </w:r>
    </w:p>
    <w:p>
      <w:pPr>
        <w:spacing w:after="0" w:line="92" w:lineRule="exact"/>
        <w:rPr>
          <w:sz w:val="20"/>
          <w:szCs w:val="20"/>
          <w:color w:val="auto"/>
        </w:rPr>
      </w:pPr>
    </w:p>
    <w:p>
      <w:pPr>
        <w:jc w:val="both"/>
        <w:ind w:right="2599"/>
        <w:spacing w:after="0" w:line="299" w:lineRule="auto"/>
        <w:rPr>
          <w:sz w:val="20"/>
          <w:szCs w:val="20"/>
          <w:color w:val="auto"/>
        </w:rPr>
      </w:pPr>
      <w:r>
        <w:rPr>
          <w:rFonts w:ascii="Courier New" w:cs="Courier New" w:eastAsia="Courier New" w:hAnsi="Courier New"/>
          <w:sz w:val="16"/>
          <w:szCs w:val="16"/>
          <w:color w:val="auto"/>
        </w:rPr>
        <w:t>Mr. Dorton concluded, "Total debt on September 30, 2005 was $67.8 million, down $4.7 million year-to-date after adjusting for currency. For the year, we believe that we will reduce total debt by approximately $10.0 million."</w:t>
      </w:r>
    </w:p>
    <w:p>
      <w:pPr>
        <w:spacing w:after="0" w:line="56" w:lineRule="exact"/>
        <w:rPr>
          <w:sz w:val="20"/>
          <w:szCs w:val="20"/>
          <w:color w:val="auto"/>
        </w:rPr>
      </w:pPr>
    </w:p>
    <w:p>
      <w:pPr>
        <w:jc w:val="both"/>
        <w:ind w:right="2599"/>
        <w:spacing w:after="0" w:line="261" w:lineRule="auto"/>
        <w:rPr>
          <w:sz w:val="20"/>
          <w:szCs w:val="20"/>
          <w:color w:val="auto"/>
        </w:rPr>
      </w:pPr>
      <w:r>
        <w:rPr>
          <w:rFonts w:ascii="Courier New" w:cs="Courier New" w:eastAsia="Courier New" w:hAnsi="Courier New"/>
          <w:sz w:val="16"/>
          <w:szCs w:val="16"/>
          <w:color w:val="auto"/>
        </w:rPr>
        <w:t>Roderick R. Baty, Chairman and Chief Executive Officer, commented, "In mid-October we revised our previously released 2005 full year guidance primarily due to three factors: lower second half sales volumes in Europe, currency translation, and an unfavorable tax rate mix. Although these negative factors will cause us to fall short of our original guidance, our revised guidance of approximately $325 million in revenues and earnings per diluted share of $0.77 to $0.81 show significant improvement over the prior year."</w:t>
      </w:r>
    </w:p>
    <w:p>
      <w:pPr>
        <w:spacing w:after="0" w:line="87" w:lineRule="exact"/>
        <w:rPr>
          <w:sz w:val="20"/>
          <w:szCs w:val="20"/>
          <w:color w:val="auto"/>
        </w:rPr>
      </w:pPr>
    </w:p>
    <w:p>
      <w:pPr>
        <w:jc w:val="both"/>
        <w:ind w:right="2599"/>
        <w:spacing w:after="0" w:line="249" w:lineRule="auto"/>
        <w:rPr>
          <w:sz w:val="20"/>
          <w:szCs w:val="20"/>
          <w:color w:val="auto"/>
        </w:rPr>
      </w:pPr>
      <w:r>
        <w:rPr>
          <w:rFonts w:ascii="Courier New" w:cs="Courier New" w:eastAsia="Courier New" w:hAnsi="Courier New"/>
          <w:sz w:val="16"/>
          <w:szCs w:val="16"/>
          <w:color w:val="auto"/>
        </w:rPr>
        <w:t>Mr. Baty concluded, "Our outlook for the remainder of 2005 is mixed. Lower revenues in comparison to original plan for the second half in Europe are partially offset by continuing strong demand in North America. The longer-term global outlook for customers' demand in both our automotive and industrial served markets, however, remains strong. Strategically, we will continue to focus on opportunities to profitably grow our core bearing components business. In early October of this year, we announced the purchase of SNR Roulements' internal precision ball producing equipment from its manufacturing facility in Annecy, France. This outsourcing transaction is consistent with our strategy and further provides us with the opportunity to add additional value to our existing customer relationships through our component manufacturing and service competencies. Further, our investments in Slovakia and China not only position us well for the geographic expansion of our ball manufacturing capabilities in Eastern Europe and Asia, but provide us with the capabilities for other bearing component manufacturing as well. In China, we will begin limited production of high volume automotive application precision balls during the fourth quarter of this year. Finally, our Level 3 program is delivering solid results and we expect even stronger results in 2006 and beyond."</w:t>
      </w:r>
    </w:p>
    <w:p>
      <w:pPr>
        <w:spacing w:after="0" w:line="283" w:lineRule="exact"/>
        <w:rPr>
          <w:sz w:val="20"/>
          <w:szCs w:val="20"/>
          <w:color w:val="auto"/>
        </w:rPr>
      </w:pPr>
    </w:p>
    <w:p>
      <w:pPr>
        <w:jc w:val="both"/>
        <w:ind w:right="2599"/>
        <w:spacing w:after="0" w:line="304" w:lineRule="auto"/>
        <w:rPr>
          <w:sz w:val="20"/>
          <w:szCs w:val="20"/>
          <w:color w:val="auto"/>
        </w:rPr>
      </w:pPr>
      <w:r>
        <w:rPr>
          <w:rFonts w:ascii="Courier New" w:cs="Courier New" w:eastAsia="Courier New" w:hAnsi="Courier New"/>
          <w:sz w:val="15"/>
          <w:szCs w:val="15"/>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$304 million in 2004.</w:t>
      </w:r>
    </w:p>
    <w:p>
      <w:pPr>
        <w:sectPr>
          <w:pgSz w:w="11900" w:h="16838" w:orient="portrait"/>
          <w:cols w:equalWidth="0" w:num="1">
            <w:col w:w="10219"/>
          </w:cols>
          <w:pgMar w:left="240" w:top="639" w:right="1440" w:bottom="1440" w:gutter="0" w:footer="0" w:header="0"/>
        </w:sectPr>
      </w:pPr>
    </w:p>
    <w:bookmarkStart w:id="4" w:name="page5"/>
    <w:bookmarkEnd w:id="4"/>
    <w:p>
      <w:pPr>
        <w:jc w:val="both"/>
        <w:ind w:right="2599"/>
        <w:spacing w:after="0" w:line="247" w:lineRule="auto"/>
        <w:rPr>
          <w:sz w:val="20"/>
          <w:szCs w:val="20"/>
          <w:color w:val="auto"/>
        </w:rPr>
      </w:pPr>
      <w:r>
        <w:rPr>
          <w:rFonts w:ascii="Courier New" w:cs="Courier New" w:eastAsia="Courier New" w:hAnsi="Courier New"/>
          <w:sz w:val="16"/>
          <w:szCs w:val="16"/>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success of cost improvement initiatives, adequate reserves for accounts receivable, successful and timely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2004.</w:t>
      </w:r>
    </w:p>
    <w:p>
      <w:pPr>
        <w:spacing w:after="0" w:line="99"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(Financial Tables Follow)</w:t>
      </w:r>
    </w:p>
    <w:p>
      <w:pPr>
        <w:sectPr>
          <w:pgSz w:w="11900" w:h="16838" w:orient="portrait"/>
          <w:cols w:equalWidth="0" w:num="1">
            <w:col w:w="10219"/>
          </w:cols>
          <w:pgMar w:left="240" w:top="639" w:right="1440" w:bottom="1440" w:gutter="0" w:footer="0" w:header="0"/>
        </w:sectPr>
      </w:pPr>
    </w:p>
    <w:bookmarkStart w:id="5" w:name="page6"/>
    <w:bookmarkEnd w:id="5"/>
    <w:p>
      <w:pPr>
        <w:jc w:val="center"/>
        <w:ind w:right="3900"/>
        <w:spacing w:after="0"/>
        <w:rPr>
          <w:sz w:val="20"/>
          <w:szCs w:val="20"/>
          <w:color w:val="auto"/>
        </w:rPr>
      </w:pPr>
      <w:r>
        <w:rPr>
          <w:rFonts w:ascii="Courier New" w:cs="Courier New" w:eastAsia="Courier New" w:hAnsi="Courier New"/>
          <w:sz w:val="16"/>
          <w:szCs w:val="16"/>
          <w:color w:val="auto"/>
        </w:rPr>
        <w:t>NN, Inc.</w:t>
      </w:r>
    </w:p>
    <w:p>
      <w:pPr>
        <w:spacing w:after="0" w:line="30"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Condensed Statements of Income</w:t>
      </w:r>
    </w:p>
    <w:p>
      <w:pPr>
        <w:spacing w:after="0" w:line="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620" w:type="dxa"/>
            <w:vAlign w:val="bottom"/>
          </w:tcPr>
          <w:p>
            <w:pPr>
              <w:ind w:left="3340"/>
              <w:spacing w:after="0"/>
              <w:rPr>
                <w:sz w:val="20"/>
                <w:szCs w:val="20"/>
                <w:color w:val="auto"/>
              </w:rPr>
            </w:pPr>
            <w:r>
              <w:rPr>
                <w:rFonts w:ascii="Courier New" w:cs="Courier New" w:eastAsia="Courier New" w:hAnsi="Courier New"/>
                <w:sz w:val="16"/>
                <w:szCs w:val="16"/>
                <w:color w:val="auto"/>
              </w:rPr>
              <w:t>(Unaudited)</w:t>
            </w:r>
          </w:p>
        </w:tc>
        <w:tc>
          <w:tcPr>
            <w:tcW w:w="17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3"/>
        </w:trPr>
        <w:tc>
          <w:tcPr>
            <w:tcW w:w="4620" w:type="dxa"/>
            <w:vAlign w:val="bottom"/>
          </w:tcPr>
          <w:p>
            <w:pPr>
              <w:spacing w:after="0"/>
              <w:rPr>
                <w:sz w:val="24"/>
                <w:szCs w:val="24"/>
                <w:color w:val="auto"/>
              </w:rPr>
            </w:pPr>
          </w:p>
        </w:tc>
        <w:tc>
          <w:tcPr>
            <w:tcW w:w="3540" w:type="dxa"/>
            <w:vAlign w:val="bottom"/>
            <w:gridSpan w:val="2"/>
          </w:tcPr>
          <w:p>
            <w:pPr>
              <w:jc w:val="right"/>
              <w:ind w:right="841"/>
              <w:spacing w:after="0"/>
              <w:rPr>
                <w:sz w:val="20"/>
                <w:szCs w:val="20"/>
                <w:color w:val="auto"/>
              </w:rPr>
            </w:pPr>
            <w:r>
              <w:rPr>
                <w:rFonts w:ascii="Courier New" w:cs="Courier New" w:eastAsia="Courier New" w:hAnsi="Courier New"/>
                <w:sz w:val="16"/>
                <w:szCs w:val="16"/>
                <w:color w:val="auto"/>
              </w:rPr>
              <w:t>Three Months Ended</w:t>
            </w:r>
          </w:p>
        </w:tc>
        <w:tc>
          <w:tcPr>
            <w:tcW w:w="3360" w:type="dxa"/>
            <w:vAlign w:val="bottom"/>
            <w:gridSpan w:val="2"/>
          </w:tcPr>
          <w:p>
            <w:pPr>
              <w:jc w:val="right"/>
              <w:ind w:right="761"/>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3540" w:type="dxa"/>
            <w:vAlign w:val="bottom"/>
            <w:gridSpan w:val="2"/>
          </w:tcPr>
          <w:p>
            <w:pPr>
              <w:jc w:val="right"/>
              <w:ind w:right="1021"/>
              <w:spacing w:after="0"/>
              <w:rPr>
                <w:sz w:val="20"/>
                <w:szCs w:val="20"/>
                <w:color w:val="auto"/>
              </w:rPr>
            </w:pPr>
            <w:r>
              <w:rPr>
                <w:rFonts w:ascii="Courier New" w:cs="Courier New" w:eastAsia="Courier New" w:hAnsi="Courier New"/>
                <w:sz w:val="16"/>
                <w:szCs w:val="16"/>
                <w:color w:val="auto"/>
              </w:rPr>
              <w:t>September 30,</w:t>
            </w:r>
          </w:p>
        </w:tc>
        <w:tc>
          <w:tcPr>
            <w:tcW w:w="3360" w:type="dxa"/>
            <w:vAlign w:val="bottom"/>
            <w:gridSpan w:val="2"/>
          </w:tcPr>
          <w:p>
            <w:pPr>
              <w:jc w:val="right"/>
              <w:ind w:right="961"/>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72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2005</w:t>
            </w:r>
          </w:p>
        </w:tc>
        <w:tc>
          <w:tcPr>
            <w:tcW w:w="1820" w:type="dxa"/>
            <w:vAlign w:val="bottom"/>
          </w:tcPr>
          <w:p>
            <w:pPr>
              <w:jc w:val="right"/>
              <w:ind w:right="741"/>
              <w:spacing w:after="0"/>
              <w:rPr>
                <w:sz w:val="20"/>
                <w:szCs w:val="20"/>
                <w:color w:val="auto"/>
              </w:rPr>
            </w:pPr>
            <w:r>
              <w:rPr>
                <w:rFonts w:ascii="Courier New" w:cs="Courier New" w:eastAsia="Courier New" w:hAnsi="Courier New"/>
                <w:sz w:val="16"/>
                <w:szCs w:val="16"/>
                <w:color w:val="auto"/>
              </w:rPr>
              <w:t>2004</w:t>
            </w:r>
          </w:p>
        </w:tc>
        <w:tc>
          <w:tcPr>
            <w:tcW w:w="1860" w:type="dxa"/>
            <w:vAlign w:val="bottom"/>
          </w:tcPr>
          <w:p>
            <w:pPr>
              <w:jc w:val="right"/>
              <w:ind w:right="701"/>
              <w:spacing w:after="0"/>
              <w:rPr>
                <w:sz w:val="20"/>
                <w:szCs w:val="20"/>
                <w:color w:val="auto"/>
              </w:rPr>
            </w:pPr>
            <w:r>
              <w:rPr>
                <w:rFonts w:ascii="Courier New" w:cs="Courier New" w:eastAsia="Courier New" w:hAnsi="Courier New"/>
                <w:sz w:val="16"/>
                <w:szCs w:val="16"/>
                <w:color w:val="auto"/>
              </w:rPr>
              <w:t>2005</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3"/>
                <w:szCs w:val="23"/>
                <w:color w:val="auto"/>
              </w:rPr>
            </w:pP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$ 74,998</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$ 72,917</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$ 245,500</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$ 225,815</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Cost of products sold (exclusive of</w:t>
            </w:r>
          </w:p>
        </w:tc>
        <w:tc>
          <w:tcPr>
            <w:tcW w:w="172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58,177</w:t>
            </w:r>
          </w:p>
        </w:tc>
        <w:tc>
          <w:tcPr>
            <w:tcW w:w="18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57,263</w:t>
            </w:r>
          </w:p>
        </w:tc>
        <w:tc>
          <w:tcPr>
            <w:tcW w:w="18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191,848</w:t>
            </w:r>
          </w:p>
        </w:tc>
        <w:tc>
          <w:tcPr>
            <w:tcW w:w="15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176,590</w:t>
            </w:r>
          </w:p>
        </w:tc>
        <w:tc>
          <w:tcPr>
            <w:tcW w:w="0" w:type="dxa"/>
            <w:vAlign w:val="bottom"/>
          </w:tcPr>
          <w:p>
            <w:pPr>
              <w:spacing w:after="0"/>
              <w:rPr>
                <w:sz w:val="1"/>
                <w:szCs w:val="1"/>
                <w:color w:val="auto"/>
              </w:rPr>
            </w:pPr>
          </w:p>
        </w:tc>
      </w:tr>
      <w:tr>
        <w:trPr>
          <w:trHeight w:val="183"/>
        </w:trPr>
        <w:tc>
          <w:tcPr>
            <w:tcW w:w="4620" w:type="dxa"/>
            <w:vAlign w:val="bottom"/>
          </w:tcPr>
          <w:p>
            <w:pPr>
              <w:ind w:left="180"/>
              <w:spacing w:after="0"/>
              <w:rPr>
                <w:sz w:val="20"/>
                <w:szCs w:val="20"/>
                <w:color w:val="auto"/>
              </w:rPr>
            </w:pPr>
            <w:r>
              <w:rPr>
                <w:rFonts w:ascii="Courier New" w:cs="Courier New" w:eastAsia="Courier New" w:hAnsi="Courier New"/>
                <w:sz w:val="16"/>
                <w:szCs w:val="16"/>
                <w:color w:val="auto"/>
              </w:rPr>
              <w:t>depreciation shown separately below)</w:t>
            </w:r>
          </w:p>
        </w:tc>
        <w:tc>
          <w:tcPr>
            <w:tcW w:w="172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7,180</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7,126</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21,961</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22,309</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3,998</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3,999</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12,302</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11,918</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Loss on disposal of assets</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w:t>
            </w:r>
          </w:p>
        </w:tc>
        <w:tc>
          <w:tcPr>
            <w:tcW w:w="15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462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4620" w:type="dxa"/>
            <w:vAlign w:val="bottom"/>
            <w:vMerge w:val="continue"/>
          </w:tcPr>
          <w:p>
            <w:pPr>
              <w:spacing w:after="0"/>
              <w:rPr>
                <w:sz w:val="23"/>
                <w:szCs w:val="23"/>
                <w:color w:val="auto"/>
              </w:rPr>
            </w:pP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5,643</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4,529</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19,383</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14,998</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967</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1,101</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2,976</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2,925</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53</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(177)</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(286)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(208)</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3"/>
                <w:szCs w:val="23"/>
                <w:color w:val="auto"/>
              </w:rPr>
            </w:pP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4,623</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3,605</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16,693</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12,281</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2,066</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1,453</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6,801</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4,926</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3"/>
                <w:szCs w:val="23"/>
                <w:color w:val="auto"/>
              </w:rPr>
            </w:pP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$ 2,557</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$2,152</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$ 9,892</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$ 7,355</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3"/>
                <w:szCs w:val="23"/>
                <w:color w:val="auto"/>
              </w:rPr>
            </w:pP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Courier New" w:cs="Courier New" w:eastAsia="Courier New" w:hAnsi="Courier New"/>
                <w:sz w:val="16"/>
                <w:szCs w:val="16"/>
                <w:color w:val="auto"/>
              </w:rPr>
              <w:t>Diluted income per common share</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$ 0.15</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$ 0.13</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$ 0.57</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$ 0.43</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3"/>
                <w:szCs w:val="23"/>
                <w:color w:val="auto"/>
              </w:rPr>
            </w:pP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Courier New" w:cs="Courier New" w:eastAsia="Courier New" w:hAnsi="Courier New"/>
                <w:sz w:val="16"/>
                <w:szCs w:val="16"/>
                <w:color w:val="auto"/>
              </w:rPr>
              <w:t>Weighted average diluted shares</w:t>
            </w:r>
          </w:p>
        </w:tc>
        <w:tc>
          <w:tcPr>
            <w:tcW w:w="17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17,522</w:t>
            </w:r>
          </w:p>
        </w:tc>
        <w:tc>
          <w:tcPr>
            <w:tcW w:w="1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17,135</w:t>
            </w:r>
          </w:p>
        </w:tc>
        <w:tc>
          <w:tcPr>
            <w:tcW w:w="1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17,286</w:t>
            </w:r>
          </w:p>
        </w:tc>
        <w:tc>
          <w:tcPr>
            <w:tcW w:w="15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17,142</w:t>
            </w:r>
          </w:p>
        </w:tc>
        <w:tc>
          <w:tcPr>
            <w:tcW w:w="0" w:type="dxa"/>
            <w:vAlign w:val="bottom"/>
          </w:tcPr>
          <w:p>
            <w:pPr>
              <w:spacing w:after="0"/>
              <w:rPr>
                <w:sz w:val="1"/>
                <w:szCs w:val="1"/>
                <w:color w:val="auto"/>
              </w:rPr>
            </w:pPr>
          </w:p>
        </w:tc>
      </w:tr>
      <w:tr>
        <w:trPr>
          <w:trHeight w:val="266"/>
        </w:trPr>
        <w:tc>
          <w:tcPr>
            <w:tcW w:w="4620" w:type="dxa"/>
            <w:vAlign w:val="bottom"/>
          </w:tcPr>
          <w:p>
            <w:pPr>
              <w:spacing w:after="0"/>
              <w:rPr>
                <w:sz w:val="23"/>
                <w:szCs w:val="23"/>
                <w:color w:val="auto"/>
              </w:rPr>
            </w:pPr>
          </w:p>
        </w:tc>
        <w:tc>
          <w:tcPr>
            <w:tcW w:w="17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520"/>
          </w:cols>
          <w:pgMar w:left="240" w:top="823" w:right="139" w:bottom="1440" w:gutter="0" w:footer="0" w:header="0"/>
        </w:sectPr>
      </w:pPr>
    </w:p>
    <w:bookmarkStart w:id="6" w:name="page7"/>
    <w:bookmarkEnd w:id="6"/>
    <w:p>
      <w:pPr>
        <w:jc w:val="center"/>
        <w:ind w:right="3440"/>
        <w:spacing w:after="0"/>
        <w:rPr>
          <w:sz w:val="20"/>
          <w:szCs w:val="20"/>
          <w:color w:val="auto"/>
        </w:rPr>
      </w:pPr>
      <w:r>
        <w:rPr>
          <w:rFonts w:ascii="Courier New" w:cs="Courier New" w:eastAsia="Courier New" w:hAnsi="Courier New"/>
          <w:sz w:val="16"/>
          <w:szCs w:val="16"/>
          <w:color w:val="auto"/>
        </w:rPr>
        <w:t>NN, Inc.</w:t>
      </w:r>
    </w:p>
    <w:p>
      <w:pPr>
        <w:spacing w:after="0" w:line="30"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Condensed Balance Sheets</w:t>
      </w:r>
    </w:p>
    <w:p>
      <w:pPr>
        <w:spacing w:after="0" w:line="2"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6"/>
          <w:szCs w:val="16"/>
          <w:color w:val="auto"/>
        </w:rPr>
        <w:t>(In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20" w:type="dxa"/>
            <w:vAlign w:val="bottom"/>
          </w:tcPr>
          <w:p>
            <w:pPr>
              <w:ind w:left="3340"/>
              <w:spacing w:after="0"/>
              <w:rPr>
                <w:sz w:val="20"/>
                <w:szCs w:val="20"/>
                <w:color w:val="auto"/>
              </w:rPr>
            </w:pPr>
            <w:r>
              <w:rPr>
                <w:rFonts w:ascii="Courier New" w:cs="Courier New" w:eastAsia="Courier New" w:hAnsi="Courier New"/>
                <w:sz w:val="16"/>
                <w:szCs w:val="16"/>
                <w:color w:val="auto"/>
              </w:rPr>
              <w:t>(Unaudited)</w:t>
            </w:r>
          </w:p>
        </w:tc>
        <w:tc>
          <w:tcPr>
            <w:tcW w:w="34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3"/>
        </w:trPr>
        <w:tc>
          <w:tcPr>
            <w:tcW w:w="5620" w:type="dxa"/>
            <w:vAlign w:val="bottom"/>
          </w:tcPr>
          <w:p>
            <w:pPr>
              <w:spacing w:after="0"/>
              <w:rPr>
                <w:sz w:val="24"/>
                <w:szCs w:val="24"/>
                <w:color w:val="auto"/>
              </w:rPr>
            </w:pPr>
          </w:p>
        </w:tc>
        <w:tc>
          <w:tcPr>
            <w:tcW w:w="34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September 30,</w:t>
            </w:r>
          </w:p>
        </w:tc>
        <w:tc>
          <w:tcPr>
            <w:tcW w:w="2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3400" w:type="dxa"/>
            <w:vAlign w:val="bottom"/>
          </w:tcPr>
          <w:p>
            <w:pPr>
              <w:jc w:val="right"/>
              <w:ind w:right="1121"/>
              <w:spacing w:after="0"/>
              <w:rPr>
                <w:sz w:val="20"/>
                <w:szCs w:val="20"/>
                <w:color w:val="auto"/>
              </w:rPr>
            </w:pPr>
            <w:r>
              <w:rPr>
                <w:rFonts w:ascii="Courier New" w:cs="Courier New" w:eastAsia="Courier New" w:hAnsi="Courier New"/>
                <w:sz w:val="16"/>
                <w:szCs w:val="16"/>
                <w:color w:val="auto"/>
              </w:rPr>
              <w:t>2005</w:t>
            </w:r>
          </w:p>
        </w:tc>
        <w:tc>
          <w:tcPr>
            <w:tcW w:w="20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3"/>
                <w:szCs w:val="23"/>
                <w:color w:val="auto"/>
              </w:rPr>
            </w:pP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340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  7,707</w:t>
            </w:r>
          </w:p>
        </w:tc>
        <w:tc>
          <w:tcPr>
            <w:tcW w:w="20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$ 10,772</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340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Accounts receivable, net</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52,981</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51,597</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Inventories, net</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35,051</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35,629</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current assets</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11,009</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10,340</w:t>
            </w:r>
          </w:p>
        </w:tc>
        <w:tc>
          <w:tcPr>
            <w:tcW w:w="0" w:type="dxa"/>
            <w:vAlign w:val="bottom"/>
          </w:tcPr>
          <w:p>
            <w:pPr>
              <w:spacing w:after="0"/>
              <w:rPr>
                <w:sz w:val="1"/>
                <w:szCs w:val="1"/>
                <w:color w:val="auto"/>
              </w:rPr>
            </w:pPr>
          </w:p>
        </w:tc>
      </w:tr>
      <w:tr>
        <w:trPr>
          <w:trHeight w:val="183"/>
        </w:trPr>
        <w:tc>
          <w:tcPr>
            <w:tcW w:w="56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3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5620" w:type="dxa"/>
            <w:vAlign w:val="bottom"/>
            <w:vMerge w:val="continue"/>
          </w:tcPr>
          <w:p>
            <w:pPr>
              <w:spacing w:after="0"/>
              <w:rPr>
                <w:sz w:val="23"/>
                <w:szCs w:val="23"/>
                <w:color w:val="auto"/>
              </w:rPr>
            </w:pP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106,748</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108,338</w:t>
            </w:r>
          </w:p>
        </w:tc>
        <w:tc>
          <w:tcPr>
            <w:tcW w:w="0" w:type="dxa"/>
            <w:vAlign w:val="bottom"/>
          </w:tcPr>
          <w:p>
            <w:pPr>
              <w:spacing w:after="0"/>
              <w:rPr>
                <w:sz w:val="1"/>
                <w:szCs w:val="1"/>
                <w:color w:val="auto"/>
              </w:rPr>
            </w:pPr>
          </w:p>
        </w:tc>
      </w:tr>
      <w:tr>
        <w:trPr>
          <w:trHeight w:val="467"/>
        </w:trPr>
        <w:tc>
          <w:tcPr>
            <w:tcW w:w="56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115,930</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131,169</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Goodwill, net</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41,932</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44,457</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6,197</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5,905</w:t>
            </w:r>
          </w:p>
        </w:tc>
        <w:tc>
          <w:tcPr>
            <w:tcW w:w="0" w:type="dxa"/>
            <w:vAlign w:val="bottom"/>
          </w:tcPr>
          <w:p>
            <w:pPr>
              <w:spacing w:after="0"/>
              <w:rPr>
                <w:sz w:val="1"/>
                <w:szCs w:val="1"/>
                <w:color w:val="auto"/>
              </w:rPr>
            </w:pPr>
          </w:p>
        </w:tc>
      </w:tr>
      <w:tr>
        <w:trPr>
          <w:trHeight w:val="183"/>
        </w:trPr>
        <w:tc>
          <w:tcPr>
            <w:tcW w:w="56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assets</w:t>
            </w:r>
          </w:p>
        </w:tc>
        <w:tc>
          <w:tcPr>
            <w:tcW w:w="3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3"/>
        </w:trPr>
        <w:tc>
          <w:tcPr>
            <w:tcW w:w="5620" w:type="dxa"/>
            <w:vAlign w:val="bottom"/>
            <w:vMerge w:val="continue"/>
          </w:tcPr>
          <w:p>
            <w:pPr>
              <w:spacing w:after="0"/>
              <w:rPr>
                <w:sz w:val="15"/>
                <w:szCs w:val="15"/>
                <w:color w:val="auto"/>
              </w:rPr>
            </w:pP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$270,807</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$289,869</w:t>
            </w: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3"/>
                <w:szCs w:val="23"/>
                <w:color w:val="auto"/>
              </w:rPr>
            </w:pPr>
          </w:p>
        </w:tc>
        <w:tc>
          <w:tcPr>
            <w:tcW w:w="3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340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rPr>
              <w:t>$ 36,092</w:t>
            </w:r>
          </w:p>
        </w:tc>
        <w:tc>
          <w:tcPr>
            <w:tcW w:w="20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$ 45,217</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3400" w:type="dxa"/>
            <w:vAlign w:val="bottom"/>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Accrued salaries and wages</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13,835</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16,332</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6,319</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7,160</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9,301</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5,722</w:t>
            </w:r>
          </w:p>
        </w:tc>
        <w:tc>
          <w:tcPr>
            <w:tcW w:w="0" w:type="dxa"/>
            <w:vAlign w:val="bottom"/>
          </w:tcPr>
          <w:p>
            <w:pPr>
              <w:spacing w:after="0"/>
              <w:rPr>
                <w:sz w:val="1"/>
                <w:szCs w:val="1"/>
                <w:color w:val="auto"/>
              </w:rPr>
            </w:pPr>
          </w:p>
        </w:tc>
      </w:tr>
      <w:tr>
        <w:trPr>
          <w:trHeight w:val="183"/>
        </w:trPr>
        <w:tc>
          <w:tcPr>
            <w:tcW w:w="56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3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5620" w:type="dxa"/>
            <w:vAlign w:val="bottom"/>
            <w:vMerge w:val="continue"/>
          </w:tcPr>
          <w:p>
            <w:pPr>
              <w:spacing w:after="0"/>
              <w:rPr>
                <w:sz w:val="23"/>
                <w:szCs w:val="23"/>
                <w:color w:val="auto"/>
              </w:rPr>
            </w:pP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65,547</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74,431</w:t>
            </w: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16,715</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17,857</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Long-term notes payable</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61,481</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67,510</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13,089</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14,931</w:t>
            </w:r>
          </w:p>
        </w:tc>
        <w:tc>
          <w:tcPr>
            <w:tcW w:w="0" w:type="dxa"/>
            <w:vAlign w:val="bottom"/>
          </w:tcPr>
          <w:p>
            <w:pPr>
              <w:spacing w:after="0"/>
              <w:rPr>
                <w:sz w:val="1"/>
                <w:szCs w:val="1"/>
                <w:color w:val="auto"/>
              </w:rPr>
            </w:pPr>
          </w:p>
        </w:tc>
      </w:tr>
      <w:tr>
        <w:trPr>
          <w:trHeight w:val="183"/>
        </w:trPr>
        <w:tc>
          <w:tcPr>
            <w:tcW w:w="5620" w:type="dxa"/>
            <w:vAlign w:val="bottom"/>
            <w:vMerge w:val="restart"/>
          </w:tcPr>
          <w:p>
            <w:pPr>
              <w:spacing w:after="0"/>
              <w:rPr>
                <w:sz w:val="20"/>
                <w:szCs w:val="20"/>
                <w:color w:val="auto"/>
              </w:rPr>
            </w:pPr>
            <w:r>
              <w:rPr>
                <w:rFonts w:ascii="Courier New" w:cs="Courier New" w:eastAsia="Courier New" w:hAnsi="Courier New"/>
                <w:sz w:val="16"/>
                <w:szCs w:val="16"/>
                <w:color w:val="auto"/>
              </w:rPr>
              <w:t>Total liabilities</w:t>
            </w:r>
          </w:p>
        </w:tc>
        <w:tc>
          <w:tcPr>
            <w:tcW w:w="3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6"/>
        </w:trPr>
        <w:tc>
          <w:tcPr>
            <w:tcW w:w="5620" w:type="dxa"/>
            <w:vAlign w:val="bottom"/>
            <w:vMerge w:val="continue"/>
          </w:tcPr>
          <w:p>
            <w:pPr>
              <w:spacing w:after="0"/>
              <w:rPr>
                <w:sz w:val="23"/>
                <w:szCs w:val="23"/>
                <w:color w:val="auto"/>
              </w:rPr>
            </w:pP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156,832</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174,729</w:t>
            </w: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113,975</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115,140</w:t>
            </w: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3"/>
                <w:szCs w:val="23"/>
                <w:color w:val="auto"/>
              </w:rPr>
            </w:pPr>
          </w:p>
        </w:tc>
        <w:tc>
          <w:tcPr>
            <w:tcW w:w="3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34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$270,807</w:t>
            </w:r>
          </w:p>
        </w:tc>
        <w:tc>
          <w:tcPr>
            <w:tcW w:w="2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$289,869</w:t>
            </w: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3"/>
                <w:szCs w:val="23"/>
                <w:color w:val="auto"/>
              </w:rPr>
            </w:pPr>
          </w:p>
        </w:tc>
        <w:tc>
          <w:tcPr>
            <w:tcW w:w="34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1060"/>
      </w:cols>
      <w:pgMar w:left="240" w:top="823"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2019-12-14T02:35:39Z</dcterms:created>
  <dcterms:modified xsi:type="dcterms:W3CDTF">2019-12-14T02:35:39Z</dcterms:modified>
</cp:coreProperties>
</file>