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8" w:lineRule="exact"/>
        <w:rPr>
          <w:sz w:val="24"/>
          <w:szCs w:val="24"/>
          <w:color w:val="auto"/>
        </w:rPr>
      </w:pPr>
    </w:p>
    <w:p>
      <w:pPr>
        <w:ind w:left="3420"/>
        <w:spacing w:after="0"/>
        <w:tabs>
          <w:tab w:leader="none" w:pos="5400" w:val="left"/>
        </w:tabs>
        <w:rPr>
          <w:sz w:val="20"/>
          <w:szCs w:val="20"/>
          <w:color w:val="auto"/>
        </w:rPr>
      </w:pPr>
      <w:r>
        <w:rPr>
          <w:rFonts w:ascii="Arial" w:cs="Arial" w:eastAsia="Arial" w:hAnsi="Arial"/>
          <w:sz w:val="22"/>
          <w:szCs w:val="22"/>
          <w:color w:val="auto"/>
        </w:rPr>
        <w:t>(Amendment No.</w:t>
      </w:r>
      <w:r>
        <w:rPr>
          <w:sz w:val="20"/>
          <w:szCs w:val="20"/>
          <w:color w:val="auto"/>
        </w:rPr>
        <w:tab/>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3169285</wp:posOffset>
            </wp:positionH>
            <wp:positionV relativeFrom="paragraph">
              <wp:posOffset>-29210</wp:posOffset>
            </wp:positionV>
            <wp:extent cx="274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NN,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Common Stock</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629337106</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December 31, 2003</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to designate the rule pursuant to which this Schedule is filed:</w:t>
      </w:r>
    </w:p>
    <w:p>
      <w:pPr>
        <w:spacing w:after="0" w:line="192" w:lineRule="exact"/>
        <w:rPr>
          <w:sz w:val="24"/>
          <w:szCs w:val="24"/>
          <w:color w:val="auto"/>
        </w:rPr>
      </w:pPr>
    </w:p>
    <w:p>
      <w:pPr>
        <w:ind w:left="4120" w:hanging="204"/>
        <w:spacing w:after="0"/>
        <w:tabs>
          <w:tab w:leader="none" w:pos="4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3" w:lineRule="exact"/>
        <w:rPr>
          <w:rFonts w:ascii="MS PGothic" w:cs="MS PGothic" w:eastAsia="MS PGothic" w:hAnsi="MS PGothic"/>
          <w:sz w:val="18"/>
          <w:szCs w:val="18"/>
          <w:color w:val="auto"/>
        </w:rPr>
      </w:pPr>
    </w:p>
    <w:p>
      <w:pPr>
        <w:ind w:left="4120" w:hanging="199"/>
        <w:spacing w:after="0"/>
        <w:tabs>
          <w:tab w:leader="none" w:pos="41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rFonts w:ascii="MS PGothic" w:cs="MS PGothic" w:eastAsia="MS PGothic" w:hAnsi="MS PGothic"/>
          <w:sz w:val="18"/>
          <w:szCs w:val="18"/>
          <w:color w:val="auto"/>
        </w:rPr>
      </w:pPr>
    </w:p>
    <w:p>
      <w:pPr>
        <w:ind w:left="4120" w:hanging="204"/>
        <w:spacing w:after="0"/>
        <w:tabs>
          <w:tab w:leader="none" w:pos="41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ectPr>
          <w:pgSz w:w="11900" w:h="16838" w:orient="portrait"/>
          <w:cols w:equalWidth="0" w:num="1">
            <w:col w:w="9019"/>
          </w:cols>
          <w:pgMar w:left="1440" w:top="22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3800" w:type="dxa"/>
            <w:vAlign w:val="bottom"/>
          </w:tcPr>
          <w:p>
            <w:pPr>
              <w:spacing w:after="0"/>
              <w:rPr>
                <w:sz w:val="20"/>
                <w:szCs w:val="20"/>
                <w:color w:val="auto"/>
              </w:rPr>
            </w:pPr>
            <w:r>
              <w:rPr>
                <w:rFonts w:ascii="Arial" w:cs="Arial" w:eastAsia="Arial" w:hAnsi="Arial"/>
                <w:sz w:val="22"/>
                <w:szCs w:val="22"/>
                <w:color w:val="auto"/>
              </w:rPr>
              <w:t>CUSIP No. 629337106</w:t>
            </w:r>
          </w:p>
        </w:tc>
        <w:tc>
          <w:tcPr>
            <w:tcW w:w="2160" w:type="dxa"/>
            <w:vAlign w:val="bottom"/>
          </w:tcPr>
          <w:p>
            <w:pPr>
              <w:ind w:left="1780"/>
              <w:spacing w:after="0"/>
              <w:rPr>
                <w:sz w:val="20"/>
                <w:szCs w:val="20"/>
                <w:color w:val="auto"/>
              </w:rPr>
            </w:pPr>
            <w:r>
              <w:rPr>
                <w:rFonts w:ascii="Arial" w:cs="Arial" w:eastAsia="Arial" w:hAnsi="Arial"/>
                <w:sz w:val="22"/>
                <w:szCs w:val="22"/>
                <w:color w:val="auto"/>
                <w:w w:val="86"/>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ind w:left="460" w:hanging="344"/>
        <w:spacing w:after="0"/>
        <w:tabs>
          <w:tab w:leader="none" w:pos="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REPORTING PERSON</w:t>
      </w:r>
    </w:p>
    <w:p>
      <w:pPr>
        <w:spacing w:after="0" w:line="14" w:lineRule="exact"/>
        <w:rPr>
          <w:rFonts w:ascii="Arial" w:cs="Arial" w:eastAsia="Arial" w:hAnsi="Arial"/>
          <w:sz w:val="22"/>
          <w:szCs w:val="22"/>
          <w:b w:val="1"/>
          <w:bCs w:val="1"/>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S.S. OR IRS IDENTIFICATION NO. OF ABOVE PERSON</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DePrince, Race &amp; Zollo, Inc.</w:t>
      </w:r>
    </w:p>
    <w:p>
      <w:pPr>
        <w:spacing w:after="0" w:line="8"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59-3299598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9" w:lineRule="exact"/>
        <w:rPr>
          <w:sz w:val="20"/>
          <w:szCs w:val="20"/>
          <w:color w:val="auto"/>
        </w:rPr>
      </w:pPr>
    </w:p>
    <w:p>
      <w:pPr>
        <w:ind w:left="460" w:hanging="344"/>
        <w:spacing w:after="0"/>
        <w:tabs>
          <w:tab w:leader="none" w:pos="4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p>
    <w:p>
      <w:pPr>
        <w:spacing w:after="0" w:line="23" w:lineRule="exact"/>
        <w:rPr>
          <w:rFonts w:ascii="Arial" w:cs="Arial" w:eastAsia="Arial" w:hAnsi="Arial"/>
          <w:sz w:val="22"/>
          <w:szCs w:val="22"/>
          <w:b w:val="1"/>
          <w:bCs w:val="1"/>
          <w:color w:val="auto"/>
        </w:rPr>
      </w:pPr>
    </w:p>
    <w:p>
      <w:pPr>
        <w:ind w:left="5080" w:hanging="291"/>
        <w:spacing w:after="0" w:line="207" w:lineRule="exact"/>
        <w:tabs>
          <w:tab w:leader="none" w:pos="50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5080" w:hanging="291"/>
        <w:spacing w:after="0" w:line="207" w:lineRule="exact"/>
        <w:tabs>
          <w:tab w:leader="none" w:pos="50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460" w:hanging="344"/>
        <w:spacing w:after="0"/>
        <w:tabs>
          <w:tab w:leader="none" w:pos="4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ind w:left="1120" w:right="6240" w:hanging="1004"/>
        <w:spacing w:after="0" w:line="397" w:lineRule="auto"/>
        <w:tabs>
          <w:tab w:leader="none" w:pos="472"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CITIZENSHIP OR PLACE OF ORGANIZATION </w:t>
      </w:r>
      <w:r>
        <w:rPr>
          <w:rFonts w:ascii="Arial" w:cs="Arial" w:eastAsia="Arial" w:hAnsi="Arial"/>
          <w:sz w:val="22"/>
          <w:szCs w:val="22"/>
          <w:color w:val="auto"/>
        </w:rPr>
        <w:t>Incorporated in the State of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tbl>
      <w:tblPr>
        <w:tblLayout w:type="fixed"/>
        <w:tblInd w:w="140" w:type="dxa"/>
        <w:tblCellMar>
          <w:top w:w="0" w:type="dxa"/>
          <w:left w:w="0" w:type="dxa"/>
          <w:bottom w:w="0" w:type="dxa"/>
          <w:right w:w="0" w:type="dxa"/>
        </w:tblCellMar>
      </w:tblPr>
      <w:tr>
        <w:trPr>
          <w:trHeight w:val="281"/>
        </w:trPr>
        <w:tc>
          <w:tcPr>
            <w:tcW w:w="15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22"/>
                <w:szCs w:val="22"/>
                <w:b w:val="1"/>
                <w:bCs w:val="1"/>
                <w:color w:val="auto"/>
              </w:rPr>
              <w:t>5</w:t>
            </w:r>
          </w:p>
        </w:tc>
        <w:tc>
          <w:tcPr>
            <w:tcW w:w="9380" w:type="dxa"/>
            <w:vAlign w:val="bottom"/>
          </w:tcPr>
          <w:p>
            <w:pPr>
              <w:ind w:left="120"/>
              <w:spacing w:after="0"/>
              <w:rPr>
                <w:sz w:val="20"/>
                <w:szCs w:val="20"/>
                <w:color w:val="auto"/>
              </w:rPr>
            </w:pPr>
            <w:r>
              <w:rPr>
                <w:rFonts w:ascii="Arial" w:cs="Arial" w:eastAsia="Arial" w:hAnsi="Arial"/>
                <w:sz w:val="22"/>
                <w:szCs w:val="22"/>
                <w:b w:val="1"/>
                <w:bCs w:val="1"/>
                <w:color w:val="auto"/>
              </w:rPr>
              <w:t>SOLE VOTING POWER</w:t>
            </w:r>
          </w:p>
        </w:tc>
        <w:tc>
          <w:tcPr>
            <w:tcW w:w="0" w:type="dxa"/>
            <w:vAlign w:val="bottom"/>
          </w:tcPr>
          <w:p>
            <w:pPr>
              <w:spacing w:after="0"/>
              <w:rPr>
                <w:sz w:val="1"/>
                <w:szCs w:val="1"/>
                <w:color w:val="auto"/>
              </w:rPr>
            </w:pPr>
          </w:p>
        </w:tc>
      </w:tr>
      <w:tr>
        <w:trPr>
          <w:trHeight w:val="392"/>
        </w:trPr>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80" w:type="dxa"/>
            <w:vAlign w:val="bottom"/>
          </w:tcPr>
          <w:p>
            <w:pPr>
              <w:ind w:left="540"/>
              <w:spacing w:after="0"/>
              <w:rPr>
                <w:sz w:val="20"/>
                <w:szCs w:val="20"/>
                <w:color w:val="auto"/>
              </w:rPr>
            </w:pPr>
            <w:r>
              <w:rPr>
                <w:rFonts w:ascii="Arial" w:cs="Arial" w:eastAsia="Arial" w:hAnsi="Arial"/>
                <w:sz w:val="22"/>
                <w:szCs w:val="22"/>
                <w:color w:val="auto"/>
              </w:rPr>
              <w:t>3,847,450</w:t>
            </w:r>
          </w:p>
        </w:tc>
        <w:tc>
          <w:tcPr>
            <w:tcW w:w="0" w:type="dxa"/>
            <w:vAlign w:val="bottom"/>
          </w:tcPr>
          <w:p>
            <w:pPr>
              <w:spacing w:after="0"/>
              <w:rPr>
                <w:sz w:val="1"/>
                <w:szCs w:val="1"/>
                <w:color w:val="auto"/>
              </w:rPr>
            </w:pPr>
          </w:p>
        </w:tc>
      </w:tr>
      <w:tr>
        <w:trPr>
          <w:trHeight w:val="98"/>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4"/>
              </w:rPr>
              <w:t>NUMBER OF</w:t>
            </w:r>
          </w:p>
        </w:tc>
        <w:tc>
          <w:tcPr>
            <w:tcW w:w="320" w:type="dxa"/>
            <w:vAlign w:val="bottom"/>
            <w:tcBorders>
              <w:bottom w:val="single" w:sz="8" w:color="auto"/>
            </w:tcBorders>
          </w:tcPr>
          <w:p>
            <w:pPr>
              <w:spacing w:after="0"/>
              <w:rPr>
                <w:sz w:val="8"/>
                <w:szCs w:val="8"/>
                <w:color w:val="auto"/>
              </w:rPr>
            </w:pPr>
          </w:p>
        </w:tc>
        <w:tc>
          <w:tcPr>
            <w:tcW w:w="9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580" w:type="dxa"/>
            <w:vAlign w:val="bottom"/>
            <w:vMerge w:val="continue"/>
          </w:tcPr>
          <w:p>
            <w:pPr>
              <w:spacing w:after="0"/>
              <w:rPr>
                <w:sz w:val="16"/>
                <w:szCs w:val="16"/>
                <w:color w:val="auto"/>
              </w:rPr>
            </w:pPr>
          </w:p>
        </w:tc>
        <w:tc>
          <w:tcPr>
            <w:tcW w:w="32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6</w:t>
            </w:r>
          </w:p>
        </w:tc>
        <w:tc>
          <w:tcPr>
            <w:tcW w:w="9380" w:type="dxa"/>
            <w:vAlign w:val="bottom"/>
            <w:vMerge w:val="restart"/>
          </w:tcPr>
          <w:p>
            <w:pPr>
              <w:ind w:left="120"/>
              <w:spacing w:after="0"/>
              <w:rPr>
                <w:sz w:val="20"/>
                <w:szCs w:val="20"/>
                <w:color w:val="auto"/>
              </w:rPr>
            </w:pPr>
            <w:r>
              <w:rPr>
                <w:rFonts w:ascii="Arial" w:cs="Arial" w:eastAsia="Arial" w:hAnsi="Arial"/>
                <w:sz w:val="22"/>
                <w:szCs w:val="22"/>
                <w:b w:val="1"/>
                <w:bCs w:val="1"/>
                <w:color w:val="auto"/>
              </w:rPr>
              <w:t>SHARED VOTING POWER</w:t>
            </w:r>
          </w:p>
        </w:tc>
        <w:tc>
          <w:tcPr>
            <w:tcW w:w="0" w:type="dxa"/>
            <w:vAlign w:val="bottom"/>
          </w:tcPr>
          <w:p>
            <w:pPr>
              <w:spacing w:after="0"/>
              <w:rPr>
                <w:sz w:val="1"/>
                <w:szCs w:val="1"/>
                <w:color w:val="auto"/>
              </w:rPr>
            </w:pPr>
          </w:p>
        </w:tc>
      </w:tr>
      <w:tr>
        <w:trPr>
          <w:trHeight w:val="216"/>
        </w:trPr>
        <w:tc>
          <w:tcPr>
            <w:tcW w:w="1580" w:type="dxa"/>
            <w:vAlign w:val="bottom"/>
          </w:tcPr>
          <w:p>
            <w:pPr>
              <w:jc w:val="center"/>
              <w:ind w:right="272"/>
              <w:spacing w:after="0"/>
              <w:rPr>
                <w:sz w:val="20"/>
                <w:szCs w:val="20"/>
                <w:color w:val="auto"/>
              </w:rPr>
            </w:pPr>
            <w:r>
              <w:rPr>
                <w:rFonts w:ascii="Arial" w:cs="Arial" w:eastAsia="Arial" w:hAnsi="Arial"/>
                <w:sz w:val="18"/>
                <w:szCs w:val="18"/>
                <w:color w:val="auto"/>
                <w:w w:val="89"/>
              </w:rPr>
              <w:t>SHARES</w:t>
            </w:r>
          </w:p>
        </w:tc>
        <w:tc>
          <w:tcPr>
            <w:tcW w:w="320" w:type="dxa"/>
            <w:vAlign w:val="bottom"/>
            <w:vMerge w:val="continue"/>
          </w:tcPr>
          <w:p>
            <w:pPr>
              <w:spacing w:after="0"/>
              <w:rPr>
                <w:sz w:val="18"/>
                <w:szCs w:val="18"/>
                <w:color w:val="auto"/>
              </w:rPr>
            </w:pPr>
          </w:p>
        </w:tc>
        <w:tc>
          <w:tcPr>
            <w:tcW w:w="9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right="252"/>
              <w:spacing w:after="0"/>
              <w:rPr>
                <w:sz w:val="20"/>
                <w:szCs w:val="20"/>
                <w:color w:val="auto"/>
              </w:rPr>
            </w:pPr>
            <w:r>
              <w:rPr>
                <w:rFonts w:ascii="Arial" w:cs="Arial" w:eastAsia="Arial" w:hAnsi="Arial"/>
                <w:sz w:val="18"/>
                <w:szCs w:val="18"/>
                <w:color w:val="auto"/>
                <w:w w:val="97"/>
              </w:rPr>
              <w:t>BENEFICIALLY</w:t>
            </w:r>
          </w:p>
        </w:tc>
        <w:tc>
          <w:tcPr>
            <w:tcW w:w="320" w:type="dxa"/>
            <w:vAlign w:val="bottom"/>
          </w:tcPr>
          <w:p>
            <w:pPr>
              <w:spacing w:after="0"/>
              <w:rPr>
                <w:sz w:val="18"/>
                <w:szCs w:val="18"/>
                <w:color w:val="auto"/>
              </w:rPr>
            </w:pPr>
          </w:p>
        </w:tc>
        <w:tc>
          <w:tcPr>
            <w:tcW w:w="9380" w:type="dxa"/>
            <w:vAlign w:val="bottom"/>
            <w:vMerge w:val="restart"/>
          </w:tcPr>
          <w:p>
            <w:pPr>
              <w:ind w:left="54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5"/>
              </w:rPr>
              <w:t>OWNED BY</w:t>
            </w:r>
          </w:p>
        </w:tc>
        <w:tc>
          <w:tcPr>
            <w:tcW w:w="320" w:type="dxa"/>
            <w:vAlign w:val="bottom"/>
          </w:tcPr>
          <w:p>
            <w:pPr>
              <w:spacing w:after="0"/>
              <w:rPr>
                <w:sz w:val="10"/>
                <w:szCs w:val="10"/>
                <w:color w:val="auto"/>
              </w:rPr>
            </w:pPr>
          </w:p>
        </w:tc>
        <w:tc>
          <w:tcPr>
            <w:tcW w:w="9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580" w:type="dxa"/>
            <w:vAlign w:val="bottom"/>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580" w:type="dxa"/>
            <w:vAlign w:val="bottom"/>
          </w:tcPr>
          <w:p>
            <w:pPr>
              <w:jc w:val="center"/>
              <w:ind w:right="272"/>
              <w:spacing w:after="0" w:line="190" w:lineRule="exact"/>
              <w:rPr>
                <w:sz w:val="20"/>
                <w:szCs w:val="20"/>
                <w:color w:val="auto"/>
              </w:rPr>
            </w:pPr>
            <w:r>
              <w:rPr>
                <w:rFonts w:ascii="Arial" w:cs="Arial" w:eastAsia="Arial" w:hAnsi="Arial"/>
                <w:sz w:val="18"/>
                <w:szCs w:val="18"/>
                <w:color w:val="auto"/>
                <w:w w:val="91"/>
              </w:rPr>
              <w:t>EACH</w:t>
            </w:r>
          </w:p>
        </w:tc>
        <w:tc>
          <w:tcPr>
            <w:tcW w:w="32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7</w:t>
            </w:r>
          </w:p>
        </w:tc>
        <w:tc>
          <w:tcPr>
            <w:tcW w:w="9380" w:type="dxa"/>
            <w:vAlign w:val="bottom"/>
            <w:vMerge w:val="restart"/>
          </w:tcPr>
          <w:p>
            <w:pPr>
              <w:ind w:left="120"/>
              <w:spacing w:after="0"/>
              <w:rPr>
                <w:sz w:val="20"/>
                <w:szCs w:val="20"/>
                <w:color w:val="auto"/>
              </w:rPr>
            </w:pPr>
            <w:r>
              <w:rPr>
                <w:rFonts w:ascii="Arial" w:cs="Arial" w:eastAsia="Arial" w:hAnsi="Arial"/>
                <w:sz w:val="22"/>
                <w:szCs w:val="22"/>
                <w:b w:val="1"/>
                <w:bCs w:val="1"/>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jc w:val="center"/>
              <w:ind w:right="272"/>
              <w:spacing w:after="0"/>
              <w:rPr>
                <w:sz w:val="20"/>
                <w:szCs w:val="20"/>
                <w:color w:val="auto"/>
              </w:rPr>
            </w:pPr>
            <w:r>
              <w:rPr>
                <w:rFonts w:ascii="Arial" w:cs="Arial" w:eastAsia="Arial" w:hAnsi="Arial"/>
                <w:sz w:val="18"/>
                <w:szCs w:val="18"/>
                <w:color w:val="auto"/>
                <w:w w:val="91"/>
              </w:rPr>
              <w:t>REPORTING</w:t>
            </w:r>
          </w:p>
        </w:tc>
        <w:tc>
          <w:tcPr>
            <w:tcW w:w="320" w:type="dxa"/>
            <w:vAlign w:val="bottom"/>
            <w:vMerge w:val="continue"/>
          </w:tcPr>
          <w:p>
            <w:pPr>
              <w:spacing w:after="0"/>
              <w:rPr>
                <w:sz w:val="18"/>
                <w:szCs w:val="18"/>
                <w:color w:val="auto"/>
              </w:rPr>
            </w:pPr>
          </w:p>
        </w:tc>
        <w:tc>
          <w:tcPr>
            <w:tcW w:w="9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right="272"/>
              <w:spacing w:after="0"/>
              <w:rPr>
                <w:sz w:val="20"/>
                <w:szCs w:val="20"/>
                <w:color w:val="auto"/>
              </w:rPr>
            </w:pPr>
            <w:r>
              <w:rPr>
                <w:rFonts w:ascii="Arial" w:cs="Arial" w:eastAsia="Arial" w:hAnsi="Arial"/>
                <w:sz w:val="18"/>
                <w:szCs w:val="18"/>
                <w:color w:val="auto"/>
                <w:w w:val="86"/>
              </w:rPr>
              <w:t>PERSON</w:t>
            </w:r>
          </w:p>
        </w:tc>
        <w:tc>
          <w:tcPr>
            <w:tcW w:w="320" w:type="dxa"/>
            <w:vAlign w:val="bottom"/>
          </w:tcPr>
          <w:p>
            <w:pPr>
              <w:spacing w:after="0"/>
              <w:rPr>
                <w:sz w:val="18"/>
                <w:szCs w:val="18"/>
                <w:color w:val="auto"/>
              </w:rPr>
            </w:pPr>
          </w:p>
        </w:tc>
        <w:tc>
          <w:tcPr>
            <w:tcW w:w="9380" w:type="dxa"/>
            <w:vAlign w:val="bottom"/>
            <w:vMerge w:val="restart"/>
          </w:tcPr>
          <w:p>
            <w:pPr>
              <w:ind w:left="540"/>
              <w:spacing w:after="0"/>
              <w:rPr>
                <w:sz w:val="20"/>
                <w:szCs w:val="20"/>
                <w:color w:val="auto"/>
              </w:rPr>
            </w:pPr>
            <w:r>
              <w:rPr>
                <w:rFonts w:ascii="Arial" w:cs="Arial" w:eastAsia="Arial" w:hAnsi="Arial"/>
                <w:sz w:val="22"/>
                <w:szCs w:val="22"/>
                <w:color w:val="auto"/>
              </w:rPr>
              <w:t>3,847,450</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9"/>
              </w:rPr>
              <w:t>WITH</w:t>
            </w:r>
          </w:p>
        </w:tc>
        <w:tc>
          <w:tcPr>
            <w:tcW w:w="320" w:type="dxa"/>
            <w:vAlign w:val="bottom"/>
          </w:tcPr>
          <w:p>
            <w:pPr>
              <w:spacing w:after="0"/>
              <w:rPr>
                <w:sz w:val="10"/>
                <w:szCs w:val="10"/>
                <w:color w:val="auto"/>
              </w:rPr>
            </w:pPr>
          </w:p>
        </w:tc>
        <w:tc>
          <w:tcPr>
            <w:tcW w:w="9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580" w:type="dxa"/>
            <w:vAlign w:val="bottom"/>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6"/>
        </w:trPr>
        <w:tc>
          <w:tcPr>
            <w:tcW w:w="15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22"/>
                <w:szCs w:val="22"/>
                <w:b w:val="1"/>
                <w:bCs w:val="1"/>
                <w:color w:val="auto"/>
              </w:rPr>
              <w:t>8</w:t>
            </w:r>
          </w:p>
        </w:tc>
        <w:tc>
          <w:tcPr>
            <w:tcW w:w="9380" w:type="dxa"/>
            <w:vAlign w:val="bottom"/>
          </w:tcPr>
          <w:p>
            <w:pPr>
              <w:ind w:left="120"/>
              <w:spacing w:after="0"/>
              <w:rPr>
                <w:sz w:val="20"/>
                <w:szCs w:val="20"/>
                <w:color w:val="auto"/>
              </w:rPr>
            </w:pPr>
            <w:r>
              <w:rPr>
                <w:rFonts w:ascii="Arial" w:cs="Arial" w:eastAsia="Arial" w:hAnsi="Arial"/>
                <w:sz w:val="22"/>
                <w:szCs w:val="22"/>
                <w:b w:val="1"/>
                <w:bCs w:val="1"/>
                <w:color w:val="auto"/>
              </w:rPr>
              <w:t>SHARED DISPOSITIVE POWER</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p>
      <w:pPr>
        <w:ind w:left="1120" w:right="2640" w:hanging="1004"/>
        <w:spacing w:after="0" w:line="397" w:lineRule="auto"/>
        <w:tabs>
          <w:tab w:leader="none" w:pos="472"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AGGREGATE AMOUNT BENEFICIALLY OWNED BY EACH REPORTING PERSON </w:t>
      </w:r>
      <w:r>
        <w:rPr>
          <w:rFonts w:ascii="Arial" w:cs="Arial" w:eastAsia="Arial" w:hAnsi="Arial"/>
          <w:sz w:val="22"/>
          <w:szCs w:val="22"/>
          <w:color w:val="auto"/>
        </w:rPr>
        <w:t>3,847,450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p>
      <w:pPr>
        <w:ind w:left="1120" w:right="2040" w:hanging="1112"/>
        <w:spacing w:after="0" w:line="397" w:lineRule="auto"/>
        <w:tabs>
          <w:tab w:leader="none" w:pos="472"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CHECK BOX IF THE AGGREGATE AMOUNT IN ROW 9 EXCLUDES CERTAIN SHARES* </w:t>
      </w:r>
      <w:r>
        <w:rPr>
          <w:rFonts w:ascii="Arial" w:cs="Arial" w:eastAsia="Arial" w:hAnsi="Arial"/>
          <w:sz w:val="22"/>
          <w:szCs w:val="22"/>
          <w:color w:val="auto"/>
        </w:rPr>
        <w:t>No</w:t>
      </w:r>
    </w:p>
    <w:p>
      <w:pPr>
        <w:spacing w:after="0" w:line="40" w:lineRule="exact"/>
        <w:rPr>
          <w:rFonts w:ascii="Arial" w:cs="Arial" w:eastAsia="Arial" w:hAnsi="Arial"/>
          <w:sz w:val="22"/>
          <w:szCs w:val="22"/>
          <w:b w:val="1"/>
          <w:bCs w:val="1"/>
          <w:color w:val="auto"/>
        </w:rPr>
      </w:pPr>
    </w:p>
    <w:p>
      <w:pPr>
        <w:ind w:left="460" w:hanging="452"/>
        <w:spacing w:after="0"/>
        <w:tabs>
          <w:tab w:leader="none" w:pos="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23.11%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p>
      <w:pPr>
        <w:ind w:left="1120" w:right="7620" w:hanging="1112"/>
        <w:spacing w:after="0" w:line="397" w:lineRule="auto"/>
        <w:tabs>
          <w:tab w:leader="none" w:pos="472"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TYPE OF REPORTING PERSON* </w:t>
      </w:r>
      <w:r>
        <w:rPr>
          <w:rFonts w:ascii="Arial" w:cs="Arial" w:eastAsia="Arial" w:hAnsi="Arial"/>
          <w:sz w:val="22"/>
          <w:szCs w:val="22"/>
          <w:color w:val="auto"/>
        </w:rPr>
        <w:t>IA</w:t>
      </w:r>
    </w:p>
    <w:p>
      <w:pPr>
        <w:sectPr>
          <w:pgSz w:w="11900" w:h="16838" w:orient="portrait"/>
          <w:cols w:equalWidth="0" w:num="1">
            <w:col w:w="11420"/>
          </w:cols>
          <w:pgMar w:left="240" w:top="267" w:right="239" w:bottom="1440" w:gutter="0" w:footer="0" w:header="0"/>
        </w:sectPr>
      </w:pPr>
    </w:p>
    <w:bookmarkStart w:id="2" w:name="page3"/>
    <w:bookmarkEnd w:id="2"/>
    <w:p>
      <w:pPr>
        <w:ind w:left="4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13 G</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w:t>
      </w:r>
    </w:p>
    <w:p>
      <w:pPr>
        <w:spacing w:after="0" w:line="21" w:lineRule="exact"/>
        <w:rPr>
          <w:sz w:val="20"/>
          <w:szCs w:val="20"/>
          <w:color w:val="auto"/>
        </w:rPr>
      </w:pPr>
    </w:p>
    <w:p>
      <w:pPr>
        <w:ind w:left="260" w:hanging="247"/>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NN, Inc.</w:t>
      </w:r>
    </w:p>
    <w:p>
      <w:pPr>
        <w:spacing w:after="0" w:line="151" w:lineRule="exact"/>
        <w:rPr>
          <w:rFonts w:ascii="Arial" w:cs="Arial" w:eastAsia="Arial" w:hAnsi="Arial"/>
          <w:sz w:val="18"/>
          <w:szCs w:val="18"/>
          <w:color w:val="auto"/>
        </w:rPr>
      </w:pPr>
    </w:p>
    <w:p>
      <w:pPr>
        <w:ind w:left="280" w:right="8500" w:hanging="267"/>
        <w:spacing w:after="0" w:line="370" w:lineRule="auto"/>
        <w:tabs>
          <w:tab w:leader="none" w:pos="270" w:val="left"/>
        </w:tabs>
        <w:numPr>
          <w:ilvl w:val="0"/>
          <w:numId w:val="9"/>
        </w:numPr>
        <w:rPr>
          <w:rFonts w:ascii="Arial" w:cs="Arial" w:eastAsia="Arial" w:hAnsi="Arial"/>
          <w:sz w:val="15"/>
          <w:szCs w:val="15"/>
          <w:color w:val="auto"/>
        </w:rPr>
      </w:pPr>
      <w:r>
        <w:rPr>
          <w:rFonts w:ascii="Arial" w:cs="Arial" w:eastAsia="Arial" w:hAnsi="Arial"/>
          <w:sz w:val="15"/>
          <w:szCs w:val="15"/>
          <w:color w:val="auto"/>
        </w:rPr>
        <w:t>2000 Waters Edge Dr. Johnson City, TN 37604</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w:t>
      </w:r>
    </w:p>
    <w:p>
      <w:pPr>
        <w:spacing w:after="0" w:line="21" w:lineRule="exact"/>
        <w:rPr>
          <w:sz w:val="20"/>
          <w:szCs w:val="20"/>
          <w:color w:val="auto"/>
        </w:rPr>
      </w:pPr>
    </w:p>
    <w:p>
      <w:pPr>
        <w:ind w:left="260" w:hanging="247"/>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DePrince, Race &amp; Zollo, Inc.</w:t>
      </w:r>
    </w:p>
    <w:p>
      <w:pPr>
        <w:spacing w:after="0" w:line="151" w:lineRule="exact"/>
        <w:rPr>
          <w:rFonts w:ascii="Arial" w:cs="Arial" w:eastAsia="Arial" w:hAnsi="Arial"/>
          <w:sz w:val="18"/>
          <w:szCs w:val="18"/>
          <w:color w:val="auto"/>
        </w:rPr>
      </w:pPr>
    </w:p>
    <w:p>
      <w:pPr>
        <w:ind w:left="280" w:right="8120" w:hanging="267"/>
        <w:spacing w:after="0" w:line="268"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201 S. Orange Ave, Suite 850 Orlando, FL 32801</w:t>
      </w:r>
    </w:p>
    <w:p>
      <w:pPr>
        <w:spacing w:after="0" w:line="118" w:lineRule="exact"/>
        <w:rPr>
          <w:rFonts w:ascii="Arial" w:cs="Arial" w:eastAsia="Arial" w:hAnsi="Arial"/>
          <w:sz w:val="18"/>
          <w:szCs w:val="18"/>
          <w:color w:val="auto"/>
        </w:rPr>
      </w:pPr>
    </w:p>
    <w:p>
      <w:pPr>
        <w:ind w:left="260" w:hanging="247"/>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USA</w:t>
      </w:r>
    </w:p>
    <w:p>
      <w:pPr>
        <w:spacing w:after="0" w:line="157" w:lineRule="exact"/>
        <w:rPr>
          <w:rFonts w:ascii="Arial" w:cs="Arial" w:eastAsia="Arial" w:hAnsi="Arial"/>
          <w:sz w:val="18"/>
          <w:szCs w:val="18"/>
          <w:color w:val="auto"/>
        </w:rPr>
      </w:pPr>
    </w:p>
    <w:p>
      <w:pPr>
        <w:ind w:left="260" w:hanging="247"/>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57" w:lineRule="exact"/>
        <w:rPr>
          <w:rFonts w:ascii="Arial" w:cs="Arial" w:eastAsia="Arial" w:hAnsi="Arial"/>
          <w:sz w:val="18"/>
          <w:szCs w:val="18"/>
          <w:color w:val="auto"/>
        </w:rPr>
      </w:pPr>
    </w:p>
    <w:p>
      <w:pPr>
        <w:ind w:left="260" w:hanging="247"/>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629337106</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 X</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1"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3,847,450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23.11%</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3,847,450 shares</w:t>
      </w:r>
    </w:p>
    <w:p>
      <w:pPr>
        <w:spacing w:after="0" w:line="9" w:lineRule="exact"/>
        <w:rPr>
          <w:rFonts w:ascii="Arial" w:cs="Arial" w:eastAsia="Arial" w:hAnsi="Arial"/>
          <w:sz w:val="18"/>
          <w:szCs w:val="18"/>
          <w:color w:val="auto"/>
        </w:rPr>
      </w:pPr>
    </w:p>
    <w:p>
      <w:pPr>
        <w:ind w:left="620" w:hanging="349"/>
        <w:spacing w:after="0"/>
        <w:tabs>
          <w:tab w:leader="none" w:pos="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3,847,450 shares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w:t>
      </w:r>
    </w:p>
    <w:p>
      <w:pPr>
        <w:spacing w:after="0" w:line="145" w:lineRule="exact"/>
        <w:rPr>
          <w:sz w:val="20"/>
          <w:szCs w:val="20"/>
          <w:color w:val="auto"/>
        </w:rPr>
      </w:pPr>
    </w:p>
    <w:p>
      <w:pPr>
        <w:ind w:left="20" w:hanging="4"/>
        <w:spacing w:after="0" w:line="275" w:lineRule="auto"/>
        <w:rPr>
          <w:sz w:val="20"/>
          <w:szCs w:val="20"/>
          <w:color w:val="auto"/>
        </w:rPr>
      </w:pPr>
      <w:r>
        <w:rPr>
          <w:rFonts w:ascii="Arial" w:cs="Arial" w:eastAsia="Arial" w:hAnsi="Arial"/>
          <w:sz w:val="18"/>
          <w:szCs w:val="18"/>
          <w:b w:val="1"/>
          <w:bCs w:val="1"/>
          <w:color w:val="auto"/>
        </w:rPr>
        <w:t xml:space="preserve">Item 7. Identification and Classification of the Subsidiary Which Acquired the Security Being Reported on By the Parent Holding Company </w:t>
      </w:r>
      <w:r>
        <w:rPr>
          <w:rFonts w:ascii="Arial" w:cs="Arial" w:eastAsia="Arial" w:hAnsi="Arial"/>
          <w:sz w:val="18"/>
          <w:szCs w:val="18"/>
          <w:color w:val="auto"/>
        </w:rPr>
        <w:t>N/A</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0480"/>
          </w:cols>
          <w:pgMar w:left="240" w:top="261" w:right="1179" w:bottom="1440" w:gutter="0" w:footer="0" w:header="0"/>
        </w:sectPr>
      </w:pPr>
    </w:p>
    <w:bookmarkStart w:id="3" w:name="page4"/>
    <w:bookmarkEnd w:id="3"/>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 Certification.</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01/28/2004</w:t>
      </w:r>
    </w:p>
    <w:p>
      <w:pPr>
        <w:spacing w:after="0" w:line="225" w:lineRule="exact"/>
        <w:rPr>
          <w:sz w:val="20"/>
          <w:szCs w:val="20"/>
          <w:color w:val="auto"/>
        </w:rPr>
      </w:pPr>
    </w:p>
    <w:p>
      <w:pPr>
        <w:ind w:left="8320"/>
        <w:spacing w:after="0"/>
        <w:tabs>
          <w:tab w:leader="none" w:pos="86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Victor A. Zollo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Victor A. Zollo, Jr. – President</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lvl w:ilvl="1">
      <w:lvlJc w:val="left"/>
      <w:lvlText w:val="(%2)"/>
      <w:numFmt w:val="lowerLetter"/>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decimal"/>
      <w:start w:val="12"/>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lvl w:ilvl="1">
      <w:lvlJc w:val="left"/>
      <w:lvlText w:val="(%2)"/>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2019-12-14T03:09:48Z</dcterms:created>
  <dcterms:modified xsi:type="dcterms:W3CDTF">2019-12-14T03:09:48Z</dcterms:modified>
</cp:coreProperties>
</file>