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00" w:right="2420" w:hanging="3902"/>
        <w:spacing w:after="0" w:line="532" w:lineRule="auto"/>
        <w:tabs>
          <w:tab w:leader="none" w:pos="3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00"/>
        <w:spacing w:after="0"/>
        <w:rPr>
          <w:sz w:val="20"/>
          <w:szCs w:val="20"/>
          <w:color w:val="auto"/>
        </w:rPr>
      </w:pPr>
      <w:r>
        <w:rPr>
          <w:rFonts w:ascii="Arial" w:cs="Arial" w:eastAsia="Arial" w:hAnsi="Arial"/>
          <w:sz w:val="17"/>
          <w:szCs w:val="17"/>
          <w:color w:val="auto"/>
        </w:rPr>
        <w:t>o TRANSITION REPORT PURSUANT TO SECTION 13 OR 15(d) OF THE SECURITIES EXCHANGE ACT OF 1934</w:t>
      </w:r>
    </w:p>
    <w:p>
      <w:pPr>
        <w:spacing w:after="0" w:line="26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_________ to 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35"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62-1096725</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Number)</w:t>
      </w:r>
    </w:p>
    <w:p>
      <w:pPr>
        <w:spacing w:after="0" w:line="32" w:lineRule="exact"/>
        <w:rPr>
          <w:sz w:val="24"/>
          <w:szCs w:val="24"/>
          <w:color w:val="auto"/>
        </w:rPr>
      </w:pPr>
    </w:p>
    <w:p>
      <w:pPr>
        <w:sectPr>
          <w:pgSz w:w="11900" w:h="16838" w:orient="portrait"/>
          <w:cols w:equalWidth="0" w:num="2">
            <w:col w:w="6320" w:space="720"/>
            <w:col w:w="4380"/>
          </w:cols>
          <w:pgMar w:left="240" w:top="1035" w:right="23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60" w:val="left"/>
          <w:tab w:leader="none" w:pos="2020" w:val="left"/>
        </w:tabs>
        <w:rPr>
          <w:sz w:val="20"/>
          <w:szCs w:val="20"/>
          <w:color w:val="auto"/>
        </w:rPr>
      </w:pPr>
      <w:r>
        <w:rPr>
          <w:rFonts w:ascii="Arial" w:cs="Arial" w:eastAsia="Arial" w:hAnsi="Arial"/>
          <w:sz w:val="18"/>
          <w:szCs w:val="18"/>
          <w:color w:val="auto"/>
        </w:rPr>
        <w:t>the past 90 days.</w:t>
        <w:tab/>
        <w:t>Yes x</w:t>
      </w:r>
      <w:r>
        <w:rPr>
          <w:sz w:val="20"/>
          <w:szCs w:val="20"/>
          <w:color w:val="auto"/>
        </w:rPr>
        <w:tab/>
      </w:r>
      <w:r>
        <w:rPr>
          <w:rFonts w:ascii="Arial" w:cs="Arial" w:eastAsia="Arial" w:hAnsi="Arial"/>
          <w:sz w:val="17"/>
          <w:szCs w:val="17"/>
          <w:color w:val="auto"/>
        </w:rPr>
        <w:t>No o</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035"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100" w:space="100"/>
            <w:col w:w="4220"/>
          </w:cols>
          <w:pgMar w:left="240" w:top="1035" w:right="23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May 6, 2009, there were 16,267,924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9080" w:type="dxa"/>
            <w:vAlign w:val="bottom"/>
            <w:gridSpan w:val="3"/>
          </w:tcPr>
          <w:p>
            <w:pPr>
              <w:ind w:left="4180"/>
              <w:spacing w:after="0"/>
              <w:rPr>
                <w:sz w:val="20"/>
                <w:szCs w:val="20"/>
                <w:color w:val="auto"/>
              </w:rPr>
            </w:pPr>
            <w:r>
              <w:rPr>
                <w:rFonts w:ascii="Arial" w:cs="Arial" w:eastAsia="Arial" w:hAnsi="Arial"/>
                <w:sz w:val="18"/>
                <w:szCs w:val="18"/>
                <w:b w:val="1"/>
                <w:bCs w:val="1"/>
                <w:color w:val="auto"/>
              </w:rPr>
              <w:t>NN, Inc.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080" w:type="dxa"/>
            <w:vAlign w:val="bottom"/>
            <w:gridSpan w:val="3"/>
          </w:tcPr>
          <w:p>
            <w:pPr>
              <w:ind w:left="420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220" w:type="dxa"/>
            <w:vAlign w:val="bottom"/>
          </w:tcPr>
          <w:p>
            <w:pPr>
              <w:spacing w:after="0"/>
              <w:rPr>
                <w:sz w:val="20"/>
                <w:szCs w:val="20"/>
                <w:color w:val="auto"/>
              </w:rPr>
            </w:pPr>
            <w:r>
              <w:rPr>
                <w:rFonts w:ascii="Arial" w:cs="Arial" w:eastAsia="Arial" w:hAnsi="Arial"/>
                <w:sz w:val="22"/>
                <w:szCs w:val="22"/>
                <w:color w:val="auto"/>
              </w:rPr>
              <w:t>60;</w:t>
            </w:r>
          </w:p>
        </w:tc>
        <w:tc>
          <w:tcPr>
            <w:tcW w:w="598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Page No.</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300" w:type="dxa"/>
            <w:vAlign w:val="bottom"/>
            <w:gridSpan w:val="4"/>
          </w:tcPr>
          <w:p>
            <w:pPr>
              <w:ind w:left="60"/>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20" w:type="dxa"/>
            <w:vAlign w:val="bottom"/>
          </w:tcPr>
          <w:p>
            <w:pPr>
              <w:ind w:left="60"/>
              <w:spacing w:after="0"/>
              <w:rPr>
                <w:sz w:val="20"/>
                <w:szCs w:val="20"/>
                <w:color w:val="auto"/>
              </w:rPr>
            </w:pPr>
            <w:r>
              <w:rPr>
                <w:rFonts w:ascii="Arial" w:cs="Arial" w:eastAsia="Arial" w:hAnsi="Arial"/>
                <w:sz w:val="18"/>
                <w:szCs w:val="18"/>
                <w:color w:val="auto"/>
              </w:rPr>
              <w:t>Item 1.</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Financial Statements: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w w:val="95"/>
              </w:rPr>
              <w:t>Consolidated Statements of Operations and Comprehensive Income (Loss) for the three months ended March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080" w:type="dxa"/>
            <w:vAlign w:val="bottom"/>
            <w:gridSpan w:val="3"/>
          </w:tcPr>
          <w:p>
            <w:pPr>
              <w:ind w:left="400"/>
              <w:spacing w:after="0"/>
              <w:rPr>
                <w:sz w:val="20"/>
                <w:szCs w:val="20"/>
                <w:color w:val="auto"/>
              </w:rPr>
            </w:pPr>
            <w:r>
              <w:rPr>
                <w:rFonts w:ascii="Arial" w:cs="Arial" w:eastAsia="Arial" w:hAnsi="Arial"/>
                <w:sz w:val="18"/>
                <w:szCs w:val="18"/>
                <w:color w:val="auto"/>
              </w:rPr>
              <w:t>2009 and 2008 (unaudited)</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Condensed Consolidated Balance Sheets at March 31, 2009 and December 31, 2008 (unaudited)</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Consolidated Statements of Changes in Stockholders’ Equity for the three months ended March 31, 2009</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9080" w:type="dxa"/>
            <w:vAlign w:val="bottom"/>
            <w:gridSpan w:val="3"/>
            <w:vMerge w:val="restart"/>
          </w:tcPr>
          <w:p>
            <w:pPr>
              <w:ind w:left="400"/>
              <w:spacing w:after="0"/>
              <w:rPr>
                <w:sz w:val="20"/>
                <w:szCs w:val="20"/>
                <w:color w:val="auto"/>
              </w:rPr>
            </w:pPr>
            <w:r>
              <w:rPr>
                <w:rFonts w:ascii="Arial" w:cs="Arial" w:eastAsia="Arial" w:hAnsi="Arial"/>
                <w:sz w:val="18"/>
                <w:szCs w:val="18"/>
                <w:color w:val="auto"/>
              </w:rPr>
              <w:t>(unaudited)</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90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Consolidated Statements of Cash Flows for the three months ended March 31, 2009 and 2008 (unaudited)</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Notes to Consolidated Financial Statements (unaudited)</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2.</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459"/>
        </w:trPr>
        <w:tc>
          <w:tcPr>
            <w:tcW w:w="1220" w:type="dxa"/>
            <w:vAlign w:val="bottom"/>
          </w:tcPr>
          <w:p>
            <w:pPr>
              <w:ind w:left="60"/>
              <w:spacing w:after="0"/>
              <w:rPr>
                <w:sz w:val="20"/>
                <w:szCs w:val="20"/>
                <w:color w:val="auto"/>
              </w:rPr>
            </w:pPr>
            <w:r>
              <w:rPr>
                <w:rFonts w:ascii="Arial" w:cs="Arial" w:eastAsia="Arial" w:hAnsi="Arial"/>
                <w:sz w:val="18"/>
                <w:szCs w:val="18"/>
                <w:color w:val="auto"/>
              </w:rPr>
              <w:t>Item 3.</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4.</w:t>
            </w:r>
          </w:p>
        </w:tc>
        <w:tc>
          <w:tcPr>
            <w:tcW w:w="9080" w:type="dxa"/>
            <w:vAlign w:val="bottom"/>
            <w:gridSpan w:val="3"/>
          </w:tcPr>
          <w:p>
            <w:pPr>
              <w:ind w:left="640"/>
              <w:spacing w:after="0"/>
              <w:rPr>
                <w:sz w:val="20"/>
                <w:szCs w:val="20"/>
                <w:color w:val="auto"/>
              </w:rPr>
            </w:pPr>
            <w:r>
              <w:rPr>
                <w:rFonts w:ascii="Arial" w:cs="Arial" w:eastAsia="Arial" w:hAnsi="Arial"/>
                <w:sz w:val="18"/>
                <w:szCs w:val="18"/>
                <w:color w:val="auto"/>
              </w:rPr>
              <w:t>Controls and Procedures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080" w:type="dxa"/>
            <w:vAlign w:val="bottom"/>
            <w:gridSpan w:val="3"/>
          </w:tcPr>
          <w:p>
            <w:pPr>
              <w:ind w:left="440"/>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1.</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Legal Proceedings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59"/>
        </w:trPr>
        <w:tc>
          <w:tcPr>
            <w:tcW w:w="1220" w:type="dxa"/>
            <w:vAlign w:val="bottom"/>
          </w:tcPr>
          <w:p>
            <w:pPr>
              <w:ind w:left="60"/>
              <w:spacing w:after="0"/>
              <w:rPr>
                <w:sz w:val="20"/>
                <w:szCs w:val="20"/>
                <w:color w:val="auto"/>
              </w:rPr>
            </w:pPr>
            <w:r>
              <w:rPr>
                <w:rFonts w:ascii="Arial" w:cs="Arial" w:eastAsia="Arial" w:hAnsi="Arial"/>
                <w:sz w:val="18"/>
                <w:szCs w:val="18"/>
                <w:color w:val="auto"/>
              </w:rPr>
              <w:t>Item 1A.</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Risk Factors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2.</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3.</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Defaults Upon Senior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4.</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Submission of Matters to a Vote of Security 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5.</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Other Information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Item 6.</w:t>
            </w:r>
          </w:p>
        </w:tc>
        <w:tc>
          <w:tcPr>
            <w:tcW w:w="9080" w:type="dxa"/>
            <w:vAlign w:val="bottom"/>
            <w:gridSpan w:val="3"/>
          </w:tcPr>
          <w:p>
            <w:pPr>
              <w:ind w:left="440"/>
              <w:spacing w:after="0"/>
              <w:rPr>
                <w:sz w:val="20"/>
                <w:szCs w:val="20"/>
                <w:color w:val="auto"/>
              </w:rPr>
            </w:pPr>
            <w:r>
              <w:rPr>
                <w:rFonts w:ascii="Arial" w:cs="Arial" w:eastAsia="Arial" w:hAnsi="Arial"/>
                <w:sz w:val="18"/>
                <w:szCs w:val="18"/>
                <w:color w:val="auto"/>
              </w:rPr>
              <w:t>Exhibits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1220" w:type="dxa"/>
            <w:vAlign w:val="bottom"/>
          </w:tcPr>
          <w:p>
            <w:pPr>
              <w:ind w:left="60"/>
              <w:spacing w:after="0"/>
              <w:rPr>
                <w:sz w:val="20"/>
                <w:szCs w:val="20"/>
                <w:color w:val="auto"/>
              </w:rPr>
            </w:pPr>
            <w:r>
              <w:rPr>
                <w:rFonts w:ascii="Arial" w:cs="Arial" w:eastAsia="Arial" w:hAnsi="Arial"/>
                <w:sz w:val="18"/>
                <w:szCs w:val="18"/>
                <w:color w:val="auto"/>
              </w:rPr>
              <w:t>Signatures</w:t>
            </w:r>
          </w:p>
        </w:tc>
        <w:tc>
          <w:tcPr>
            <w:tcW w:w="5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145"/>
        </w:trPr>
        <w:tc>
          <w:tcPr>
            <w:tcW w:w="122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3840"/>
        <w:spacing w:after="0"/>
        <w:rPr>
          <w:sz w:val="20"/>
          <w:szCs w:val="20"/>
          <w:color w:val="auto"/>
        </w:rPr>
      </w:pPr>
      <w:r>
        <w:rPr>
          <w:rFonts w:ascii="Arial" w:cs="Arial" w:eastAsia="Arial" w:hAnsi="Arial"/>
          <w:sz w:val="22"/>
          <w:szCs w:val="22"/>
          <w:b w:val="1"/>
          <w:bCs w:val="1"/>
          <w:color w:val="auto"/>
        </w:rPr>
        <w:t>PART I. FINANCIAL INFORMATION</w:t>
      </w:r>
    </w:p>
    <w:p>
      <w:pPr>
        <w:spacing w:after="0" w:line="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3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4"/>
                <w:szCs w:val="14"/>
                <w:color w:val="auto"/>
              </w:rPr>
              <w:t>(Thousands of Dollars, Except Per Share Data)</w:t>
            </w:r>
          </w:p>
        </w:tc>
        <w:tc>
          <w:tcPr>
            <w:tcW w:w="1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96,494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Restructuring and impairment costs</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Elimination of unamortized debt issue cost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8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(12,475)</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(loss)</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income(loss) per common share:</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747"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 of Dollars)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$640 and $635, respectively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102,796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257,506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26,726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Comprehen-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Par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Paid in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9"/>
              </w:rPr>
              <w:t>sive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(Thousands of Dollars and Shares)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7"/>
              </w:rPr>
              <w:t>Balance, January 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(9,525)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80"/>
              <w:spacing w:after="0"/>
              <w:rPr>
                <w:sz w:val="20"/>
                <w:szCs w:val="20"/>
                <w:color w:val="auto"/>
              </w:rPr>
            </w:pPr>
            <w:r>
              <w:rPr>
                <w:rFonts w:ascii="Arial" w:cs="Arial" w:eastAsia="Arial" w:hAnsi="Arial"/>
                <w:sz w:val="18"/>
                <w:szCs w:val="18"/>
                <w:color w:val="auto"/>
                <w:w w:val="98"/>
              </w:rPr>
              <w:t>Foreign currency translation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(5,491)</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8"/>
              </w:rPr>
              <w:t>Balance, March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18,988</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color w:val="auto"/>
              </w:rPr>
              <w:t>Thousands of Dollars</w:t>
            </w: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Adjustments to reconcile net income (loss) to net cash provided (used) by operating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 of unamortized debt issue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loss on disposal of property, plant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(11,351)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provided (used) by operating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short-term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short-term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(2,240)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Reduced note payable to customer with offsetting reduction to accounts receivable ($298 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w w:val="98"/>
              </w:rPr>
              <w:t>and $428 in 2008) and an increase to interest expense ($38 in 2009 and $56 in 2008)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 but not paid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consolidated financial statements of NN, Inc. (the “Company”) have not been audited, except that the balance sheet at December 31, 2008 is derived from the Company’s consolidated audited financial statements. In the opinion of the Company’s management, the financial statements reflect all adjustments necessary to fairly state the results of operations for the three month periods ended March 31, 2009 and 2008, the Company’s financial position at March 31, 2009 and December 31, 2008, and the cash flows for the three month periods ended March 31, 2009 and 2008.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2008 which we filed with the Securities and Exchange Commission on March 31, 2009.</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results for the three month period ended March 31, 2009 are not necessarily indicative of results for the year ending December 31, 2009 or any other future periods.</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Charges and Other</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26, 2008, we announced the closure of our precision steel ball manufacturing facility located in Kilkenny, Ireland. The closure affected 68 employees and is expected to be completed in 2009. During the three month period ended March 31, 2009, we recorded restructuring charges of $463 related to site closure costs and relocation of equipment and inventory from this location to other facilities within Europe. The following summarizes the 2009 activity related to this closure: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Reserve</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85"/>
              </w:rPr>
              <w:t>Reserve</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Currency</w:t>
            </w: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1/01/09</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Charges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b w:val="1"/>
                <w:bCs w:val="1"/>
                <w:color w:val="auto"/>
                <w:w w:val="90"/>
              </w:rPr>
              <w:t>Paid in 2009</w:t>
            </w:r>
          </w:p>
        </w:tc>
        <w:tc>
          <w:tcPr>
            <w:tcW w:w="13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Impacts</w:t>
            </w:r>
          </w:p>
        </w:tc>
        <w:tc>
          <w:tcPr>
            <w:tcW w:w="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03/31/09</w:t>
            </w:r>
          </w:p>
        </w:tc>
        <w:tc>
          <w:tcPr>
            <w:tcW w:w="28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Severance and other</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costs</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2,058</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(1,800)</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w:t>
            </w: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Site closure and other</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associated cost</w:t>
            </w: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(316)</w:t>
            </w: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w:t>
            </w:r>
          </w:p>
        </w:tc>
      </w:tr>
      <w:tr>
        <w:trPr>
          <w:trHeight w:val="257"/>
        </w:trPr>
        <w:tc>
          <w:tcPr>
            <w:tcW w:w="2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2,058</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6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(2,116)</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277</w:t>
            </w: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Included within the severance and other employee cost accrual is a receivable from the Irish government of approximately $490 to reimburse the Company for a portion of the severance cost paid to date.</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first quarter of 2009, the Hamilton, Ohio plant was closed. This closure affected 11 employees and $130 in severance and other associated closure cost were incurred during the first quarter of 2009. Of this amount $108 was for employee severance cost which will be paid out entirely in the second quarter of 2009.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w w:val="94"/>
              </w:rPr>
              <w:t>Inventories are stated at the lower of cost or market. Cost is determined using the first-in, first-out method.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10,186</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(2,341)</w:t>
            </w:r>
          </w:p>
        </w:tc>
      </w:tr>
      <w:tr>
        <w:trPr>
          <w:trHeight w:val="27"/>
        </w:trPr>
        <w:tc>
          <w:tcPr>
            <w:tcW w:w="11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March 31, 2009 and December 31, 2008 totaled $4,744 and $5,878, respectively.</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Income (Loss) Per Share</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7060" w:type="dxa"/>
            <w:vAlign w:val="bottom"/>
            <w:gridSpan w:val="2"/>
          </w:tcPr>
          <w:p>
            <w:pPr>
              <w:spacing w:after="0"/>
              <w:rPr>
                <w:sz w:val="20"/>
                <w:szCs w:val="20"/>
                <w:color w:val="auto"/>
              </w:rPr>
            </w:pPr>
            <w:r>
              <w:rPr>
                <w:rFonts w:ascii="Arial" w:cs="Arial" w:eastAsia="Arial" w:hAnsi="Arial"/>
                <w:sz w:val="14"/>
                <w:szCs w:val="14"/>
                <w:color w:val="auto"/>
              </w:rPr>
              <w:t>(Thousands of Dollars, Except Share and Per Share Data)</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16,267,924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15,854,643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16,267,924</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15,962,103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Excluded from the dilutive shares outstanding for the three month period ended March 31, 2009 were 1,416,000 anti-dilutive options which had exercise prices ranging from $1.30 to $12.62. Excluded from the dilutive shares outstanding for the three month period ended March 31, 2008 were 1,016,800 anti-dilutive options which had exercise prices ranging from $9.36 to $12.62.</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“Segment Information” footnote and the “Summary of Significant Accounting Policies and Practices” footnote, respectively, in our annual report on Form 10-K for the fiscal year ended December 31, 2008. We evaluate segment performance based on segment net income or loss after income taxes. We account for inter-segment sales and transfers at current market prices. We did not have any significant inter-segment transactions during the three month periods ended March 31, 2009 and 2008.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8"/>
                <w:szCs w:val="18"/>
                <w:b w:val="1"/>
                <w:bCs w:val="1"/>
                <w:color w:val="auto"/>
                <w:w w:val="96"/>
              </w:rPr>
              <w:t>Three months ended March 31, 2009</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Precision</w:t>
            </w:r>
          </w:p>
        </w:tc>
        <w:tc>
          <w:tcPr>
            <w:tcW w:w="60" w:type="dxa"/>
            <w:vAlign w:val="bottom"/>
          </w:tcPr>
          <w:p>
            <w:pPr>
              <w:spacing w:after="0"/>
              <w:rPr>
                <w:sz w:val="17"/>
                <w:szCs w:val="17"/>
                <w:color w:val="auto"/>
              </w:rPr>
            </w:pPr>
          </w:p>
        </w:tc>
        <w:tc>
          <w:tcPr>
            <w:tcW w:w="106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Plastic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Bearing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Corporate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Components</w:t>
            </w:r>
          </w:p>
        </w:tc>
        <w:tc>
          <w:tcPr>
            <w:tcW w:w="11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Components</w:t>
            </w:r>
          </w:p>
        </w:tc>
        <w:tc>
          <w:tcPr>
            <w:tcW w:w="11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Components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and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(In Thousands of Dollars)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Consolidations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Segment net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8"/>
                <w:szCs w:val="18"/>
                <w:b w:val="1"/>
                <w:bCs w:val="1"/>
                <w:color w:val="auto"/>
                <w:w w:val="96"/>
              </w:rPr>
              <w:t>Three months ended March 31, 2008</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Precision</w:t>
            </w:r>
          </w:p>
        </w:tc>
        <w:tc>
          <w:tcPr>
            <w:tcW w:w="80" w:type="dxa"/>
            <w:vAlign w:val="bottom"/>
          </w:tcPr>
          <w:p>
            <w:pPr>
              <w:spacing w:after="0"/>
              <w:rPr>
                <w:sz w:val="17"/>
                <w:szCs w:val="17"/>
                <w:color w:val="auto"/>
              </w:rPr>
            </w:pPr>
          </w:p>
        </w:tc>
        <w:tc>
          <w:tcPr>
            <w:tcW w:w="10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Plastic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Bearing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Rubber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Corporate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9"/>
              </w:rPr>
              <w:t>Components</w:t>
            </w:r>
          </w:p>
        </w:tc>
        <w:tc>
          <w:tcPr>
            <w:tcW w:w="11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Components</w:t>
            </w:r>
          </w:p>
        </w:tc>
        <w:tc>
          <w:tcPr>
            <w:tcW w:w="11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Components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and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Consolidations</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a defined benefit pension plan covering the employees at our Eltmann, Germany facility. The plan is unfunded. There were no prior service costs recognized in the three months ended March 31, 2009 and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Pension Cost:</w:t>
      </w:r>
    </w:p>
    <w:p>
      <w:pPr>
        <w:spacing w:after="0" w:line="25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Net periodic pension cost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to contribute approximately $260 to the Eltmann, Germany pension plan in 2009. As of March 31, 2009, approximately $65 of contributions had been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months ended March 31, 2009 and 2008:</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69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Amounts accrued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rPr>
              <w:t>Payments to government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managed plan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7,572</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two plans that cover our Veenendaal, The Netherlands employees. One provides an award for employees who achieve 25 or 40 years of service and the other is for employees who retire before normal retirement age. These plans are both unfunded and the benefits are based on years of service and rate of compensation increase. The table below summarizes the changes in the two plans combined during the three month periods ended March 31, 2009 and 2008.</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121" w:right="29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69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The adoption of SFAS 157 for non-financial assets and liabilities was deferred until January 1, 2009. We adopted the provisions of SFAS 157 that pertain to non-financial assets and liabilities on January 1, 2009 and this has had no effect on our income from operations, cash flows, and financial condition.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SFAS No. 141 "Business Combinations" ("SFAS No. 141"). SFAS No. 141R retains the fundamental requirements of SFAS No. 141 that the acquisition method of accounting be used for all business combinations. However, SFAS No. 141R provides for the following changes from SFAS No. 141: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SFAS No. 141R applies prospectively to business combinations for which the acquisition date is on or after January 1, 2009. SFAS No. 141R did not have an impact on our consolidated financial statements as of January 1, 2009, but the nature and magnitude of the specific effects will depend upon the nature, terms, and size of the acquisitions, if any, consummated after January 1, 2009.</w:t>
      </w:r>
    </w:p>
    <w:p>
      <w:pPr>
        <w:spacing w:after="0" w:line="20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April 2009, the FASB issued FSP FAS 107-1 and ABP 28-1, "Interim Disclosure about Fair Value of Financial Instruments" ("FSP FAS 107-1 and ABP 28-1"). This FSP amends FASB Statement No. 107, "Disclosures about Fair Value of Financial Instruments, " to require disclosures about fair value of financial instruments for interim reporting periods of publicly traded companies as well as in annual financial statements. This FSP also amends APB Opinion No. 28, "Interim Financial Reporting," to require those disclosures in summarized financial information at interim reporting periods. This FSP is effective for interim reporting periods ending after June 15, 2009. We have concluded that FSP FAS 107-1 and ABP 28-1 will not have a material impact on our consolidated financial statements upon adoption.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Note 8.  Long-Term Debt and Short-Term Debt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2"/>
          </w:tcPr>
          <w:p>
            <w:pPr>
              <w:spacing w:after="0"/>
              <w:rPr>
                <w:sz w:val="20"/>
                <w:szCs w:val="20"/>
                <w:color w:val="auto"/>
              </w:rPr>
            </w:pPr>
            <w:r>
              <w:rPr>
                <w:rFonts w:ascii="Arial" w:cs="Arial" w:eastAsia="Arial" w:hAnsi="Arial"/>
                <w:sz w:val="18"/>
                <w:szCs w:val="18"/>
                <w:color w:val="auto"/>
              </w:rPr>
              <w:t>Long-term debt at March 31, 2009 and December 31, 2008 consisted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Borrowings under our $90,000 revolving credit facility bearing interest at a floating rate equal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LIBOR (0.50% at March 31, 2009) plus an applicable margin of 4.00, expiring</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20, 2011.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8.50% maturing on April 26, 2014. Annual principal payments of $5,714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Long term note payable with customer related to acquiring equipment from customer as part of</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long term supply agreement. Note carries a 0% rate of interest. Interest on this note has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been imputed at a rate of 5.41%. Note is reduced by applying a fixed amount per piece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purchased by customer.</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current maturities of long-term debt as of March 31, 2009 are composed primarily of $957 of short term borrowings under the short term portion of the revolving credit facility and the $5,714 installment on our senior notes due April 26, 2009.</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2009, we entered into an amended and restated $90,000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the interest rate will be LIBOR plus an applicable margin of 4.0%. The financial and non-financial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 We incurred $1,665 in debt issue cost during the first quarter of 2009 related to the amended and restated facility. In addition, $143 in unamortized debt issuance costs from the original facility were eliminated during the first quarter of 2009.</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Additionally, 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We incurred $575 in debt issue cost during the first quarter of 2009 related to the amended facility. In addition, $461 in unamortized debt issuance costs from the original facility were eliminated during the first quarter of 2009.</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While there can be no assurances, management believes that the Company will be able to comply with the revised covenants of the amended debt agreements through at least the next four quarters. However, further deterioration of market conditions and sales levels in excess of our forecasts for revenue and cash flow could result in the Company failing to meet these covenants which could cause a material adverse impact on our liquidity and financial position. We were in compliance with all covenants related to the amended and restated $90,000 credit facility and the amended and restated $40,000 senior notes as of March 31, 2009. The specific covenants to which we are subject are disclosed in our annual report on Form 10-K for the year ended December 31, 2008.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 period ended March 31, 2009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Metal Bearing</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Components</w:t>
            </w:r>
          </w:p>
        </w:tc>
      </w:tr>
      <w:tr>
        <w:trPr>
          <w:trHeight w:val="241"/>
        </w:trPr>
        <w:tc>
          <w:tcPr>
            <w:tcW w:w="78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r>
      <w:tr>
        <w:trPr>
          <w:trHeight w:val="216"/>
        </w:trPr>
        <w:tc>
          <w:tcPr>
            <w:tcW w:w="20" w:type="dxa"/>
            <w:vAlign w:val="bottom"/>
          </w:tcPr>
          <w:p>
            <w:pPr>
              <w:spacing w:after="0"/>
              <w:rPr>
                <w:sz w:val="18"/>
                <w:szCs w:val="18"/>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8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Currency impacts</w:t>
            </w: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2009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The financial impact, on the remaining reporting unit with a goodwill balance, from the global economic downturn, during the three month period ended March 31, 2009, was consistent with the forecasted results used in testing for impairment at December 31, 2008. Thus, as of March 31, 2009, there are no further indications of impairment. However, depending on the severity and the longevity of the future impacts of the global economic downturn, we could have an impairment in goodwill at this reporting unit in the future.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46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Intangible assets, net of amortization</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Metal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Metal</w:t>
            </w: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Bearing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Components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600" w:type="dxa"/>
            <w:vAlign w:val="bottom"/>
            <w:gridSpan w:val="2"/>
          </w:tcPr>
          <w:p>
            <w:pPr>
              <w:ind w:left="300"/>
              <w:spacing w:after="0"/>
              <w:rPr>
                <w:sz w:val="20"/>
                <w:szCs w:val="20"/>
                <w:color w:val="auto"/>
              </w:rPr>
            </w:pPr>
            <w:r>
              <w:rPr>
                <w:rFonts w:ascii="Arial" w:cs="Arial" w:eastAsia="Arial" w:hAnsi="Arial"/>
                <w:sz w:val="14"/>
                <w:szCs w:val="14"/>
                <w:color w:val="auto"/>
              </w:rPr>
              <w:t>(In Thousands of Dollars)</w:t>
            </w:r>
          </w:p>
        </w:tc>
        <w:tc>
          <w:tcPr>
            <w:tcW w:w="16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Balance as of March 31, 2009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Included in the Precision Metal Components Segment is an intangible asset not subject to amortization of $900 related to the value of the trade names of Whirlaway.</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Within the Metal Bearing Components Segment the intangible asset is a contract intangible. This intangible asset was subject to amortization over approximately 5 years starting in 2006 and amortization expense was to approximate $500 for each of the five years. For the three months ended March 31, 2009, the amortization expense totaled $137 and accumulated amortization totaled $1,722 at March 31, 2009.</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three month periods ended March 31, 2009 and 2008, approximately $106 and $315, respectively, of compensation expense was recognized in selling, general and administrative expense for all share-based awards. On March 25, 2009, the Company granted 232,000 options to the non-executive directors, officers and certain other key employees.</w:t>
      </w:r>
    </w:p>
    <w:p>
      <w:pPr>
        <w:spacing w:after="0" w:line="2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three month period ended March 31, 2009:</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 or expired</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18"/>
                <w:szCs w:val="18"/>
                <w:color w:val="auto"/>
              </w:rPr>
              <w:t xml:space="preserve">(11,248)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at March 31, 2009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23" w:lineRule="exact"/>
              <w:rPr>
                <w:sz w:val="20"/>
                <w:szCs w:val="20"/>
                <w:color w:val="auto"/>
              </w:rPr>
            </w:pPr>
            <w:r>
              <w:rPr>
                <w:rFonts w:ascii="Arial" w:cs="Arial" w:eastAsia="Arial" w:hAnsi="Arial"/>
                <w:sz w:val="18"/>
                <w:szCs w:val="18"/>
                <w:color w:val="auto"/>
              </w:rPr>
              <w:t xml:space="preserve">(9,277)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0" w:firstLine="8"/>
        <w:spacing w:after="0" w:line="252" w:lineRule="auto"/>
        <w:tabs>
          <w:tab w:leader="none" w:pos="192"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The negative intrinsic value is the amount by which the exercise price of each individual option grant was greater than the market price of the stock at March 31, 2009.</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Provision for Income Taxes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three months ended March 31, 2009, the difference between the federal statutory tax rate of 34% and our effective tax rate of 24% is due to non-U.S. based earnings taxed at lower rates. The income tax rates in many of the foreign countries in which we operate are lower than the U.S. federal rate. In addition, we did not fully realize the taxable losses at several locations in which we operate due to valuation reserves, totaling $350, placed on the tax benefits as it is more likely than not that sufficient profits will not be generated in these locations in the future to allow realization of the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2009, we do not foresee any significant changes to our unrecognized tax benefits within the next twelve months.</w:t>
      </w:r>
    </w:p>
    <w:p>
      <w:pPr>
        <w:spacing w:after="0" w:line="200" w:lineRule="exact"/>
        <w:rPr>
          <w:sz w:val="20"/>
          <w:szCs w:val="20"/>
          <w:color w:val="auto"/>
        </w:rPr>
      </w:pPr>
    </w:p>
    <w:p>
      <w:pPr>
        <w:spacing w:after="0" w:line="3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1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first quarter of 2009, the land and building of the former Hamilton, Ohio Plant of the Precision Metal Components Segment was sold for proceeds of $508 which resulted in no gain or loss from sale.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2008 under Item 1.A. “Risk Factors.” There have been no material changes to these risk factors since December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First Quarter of 2009</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first quarter of 2009, sales were at historically low levels. Excluding the effects of exchange rates, our first quarter 2009 sales were down approximately 50% as compared to the first quarter of 2008 sales and approximately 24% lower than the sales in the fourth quarter of 2008. We believe that approximately 30% to 40% of the reduction in first quarter 2009 sales, compared to first quarter 2008, was related to demand in the end markets we ultimately serve. In particular in the first quarter of 2009, our largest customer experienced negative year over year organic growth of 26%.</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remainder of the reduction in sales from first quarter 2008 to first quarter 2009, approximately 10% to 20%, was due to reduction in overall inventory levels throughout the supply chain. In most cases, we are several tiers down the supply chain from the ultimate customer. Thus, we are affected by our customers’ and their customers’ order patterns. We believe those companies that are higher in the supply chain have reduced production and order levels to control their inventory balances. This supply chain inventory reduction has had further negative effect on our production and sales levels. We refer to this as the “de-stocking effect.”</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not certain how long this current de-stocking process within the supply chain will last. Until the excess inventory in the supply chain is reduced, we believe our sales and production levels will be further depressed beyond any reductions in end market demand.</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reduction in sales volume was the main cause of the first quarter 2009 net loss of $9.5 million. In response to the sales decrease, we focused more aggressively on reducing costs and expenses. However, a significant portion of our cost structure cannot be reduced in the short term. In particular, at our manufacturing locations in Western Europe it is very difficult to reduce employment levels in line with reductions in sales and production volumes. In these locations, we have limited production cost by scheduling the production facilities on rolling shutdowns and by temporarily allowing workers not to report to work under existing government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2009 Compared to the Three Months Ended March 31,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121,542</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(63,621)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Volume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Price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Mix</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Material inflation pass-through</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96,494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(40,440)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exchange effects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Volume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(36,676)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reduction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Mix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Inflation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Reductions in spending</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Reduction in expense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Elimination of unamortized debt issue cost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provision (benefits) for</w:t>
            </w: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(12,475)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(19,786)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 income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(9,525)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5,102</w:t>
            </w:r>
          </w:p>
        </w:tc>
        <w:tc>
          <w:tcPr>
            <w:tcW w:w="18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(14,627)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majority of the decrease was due to an estimated 30% to 40% reduction in end market demand and an estimated 10% to 20%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orders due to an overall inventory decrease within the supply chain. In addition, sales are lower as the values of Euro denominated sales have decreased approximately 14% in value relative to the U.S. Dollar from the first quarter of 2008. Increases related to price/mix and material pass through are all normal in nature although have had less of an impact given the depressed sales levels.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The majority of the decrease was due to the same sales volume reductions mentioned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In general, as a percent of sales only 60% of the production costs were reduced. The remaining 40% are fixed in nature or cannot be reduced without incurring additional significant restructuring costs. This applies particularly to our labor costs at our Western European locations. We actively reduced labor costs considering local and national labor rules and regulations of the countries in which we operate. In addition, the aforementioned devaluation of the Euro reduced Euro based production costs. Finally, production costs were reduced by the effects of planned cost reduction projects. Despite the lower sales and production levels, we continue to achieve cost reductions at levels consistent with management expectations. Cost of product sold increased by the effects of inflation in material and other cost although the inflation levels are much lower than in prior quarters.</w:t>
      </w:r>
    </w:p>
    <w:p>
      <w:pPr>
        <w:spacing w:after="0" w:line="1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was from wage cost reductions. The wage cost reductions were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combination of salary cuts of 10% to 20%, elimination of bonuses opportunities for 2009, and headcount reductions. In addition, discretionary expenses were reduced company wide.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5" w:name="page16"/>
    <w:bookmarkEnd w:id="15"/>
    <w:p>
      <w:pPr>
        <w:ind w:right="5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are lower due to devaluation of Euro denominated cost relative to the U.S. Dollar which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half the decline. The remainder was due to lower depreciation and amortization from the affects of the year end 2008 impairments and accelerated depreciation of certain intangible assets and fixed assets.</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is lower due to decreases in the base LIBOR interest rate which reduced the cost of borrowing under our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Going forward the interest rate will be higher due to amending our credit facilities on March 13, 2009.</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March 31, 2009, we incurred $0.6 million of restructuring cost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closures of the Kilkenny Plant and the Hamilton Plant. (See Footnote 2 of the Notes to Consolidated Financial Statements.)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2009 first quarter effective rate of 24% was lower than the 2008 first quarter effective rate of 30%. The reduction in rate is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tax benefits not being realized from certain losses in several locations in which we operate. The minimal tax impact was due to the valuation reserves placed on the tax benefits as it is more likely than not that sufficient profits will not be generated in these locations in the future to allow realization of the deferred tax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90,441</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5"/>
              </w:rPr>
              <w:t>(51,112)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(6,540)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5,973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w w:val="95"/>
              </w:rPr>
              <w:t>(12,513)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majority of the sales decrease in both dollar and percentage terms was in our European operations of the segment, although all geographic areas experienced sales reductions of at least 40% compared to the first quarter of 2008. The devaluation of the Euro relative to the U.S. Dollar of 14% further negatively impacted sales. The reductions were partially offset by favorable sales mix of higher priced precision ball and roller products and passing through material inflation.</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segment net loss was impacted primarily by the large reduction in sales volume and the related production inefficiencies and under-utilization of fixed production costs. Partially offsetting these negative effects were reductions in production costs from planned cost reduction projects and reductions in salaries, bonus opportunities, travel, and other discretionary costs.</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(7,592)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majority of the decrease was due to much lower U.S. automotive and industrial market demand in the first quarter of 2009. In addition, sales were negatively impacted by de-stocking within the supply chain. Finally, the segment sales were impacted by a greater portion of sales of lower-priced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reduced sales volume and related production inefficiencies were the main causes of the segment loss in the first quarter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(4,917)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Price/Mix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and lower customer orders from supply chain de-stocking.</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Segment net income was negatively affected by the volume decreases. Planned cost reduction projects, net of inflation, and reductions in selling and administration cost partially offset the volume impacts.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December 31, 2008 to March 31, 2009, our total assets and current assets decreased $26.5 million and $21.8 million, respectively. The depreciation in the value of Euro denominated account balances relative to the U.S. Dollar caused total assets and current assets to decrease approximately $8.1 million and $3.2 million, respectively, from December 31, 2008. Factoring out the foreign exchange effects, accounts receivable was lower by $6.9 million due to decreased sales volume in the first quarter 2009 from the fourth quarter 2008 and due to timing of certain customer payments. Inventories were lower by $9.3 million due to planned reductions in inventory levels to maximize cash flow and liquidity. Factoring out foreign exchange effects, property, plant and equipment decreased $2.7 million as year to date capital spending has been lower than depreciation and a building with a net book value of $0.5 million was disposed of in the first quarter 2009 at no gain or loss.</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December 31, 2008 to March 31, 2009, our total liabilities and current liabilities decreased $11.6 million and $14.5 million, respectively. The depreciation in the value of Euro denominated account balances relative to the U.S. Dollar caused total liabilities and current liabilities to decrease approximately $2.9 million and $1.9 million, respectively, from December 31, 2008. Factoring out the foreign exchange effects, accounts payable was down $11.3 million due to much lower production and purchasing levels in response to the approximately 50% reduction in product demand in first quarter 2009 and due to timing of payments to certain vendors. Finally, current liabilities were lower due to the reduction in payroll accruals from lower employee levels and usage of hours banks and vacation accruals.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7" w:name="page18"/>
    <w:bookmarkEnd w:id="17"/>
    <w:p>
      <w:pPr>
        <w:ind w:right="60"/>
        <w:spacing w:after="0" w:line="279"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$53.9 million at March 31, 2009 as compared to $61.3 million at December 31, 2008. The ratio of current assets to current liabilities increased from 1.97:1 at December 31, 2008 to 2.10:1 at March 31, 2009. The decrease in working capital was due primarily to the $6.9 million decrease in accounts receivable balances, the $9.3 million decrease in inventory levels and the $2.9 million decrease in cash offset by the $11.3 million decrease in accounts payable.</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 used by operations was $1.7 million during first quarter 2009 compared with cash flow provided by operations of $4.4 million during first quarter 2008. The unfavorable variance in cash flow from operations was due to the large loss incurred in first quarter 2009 from the approximately 50% reduction in sales volume. Partially offsetting this impact was the favorable effects from reducing net working capital in first quarter 2009 versus increasing net working capital in the first quarter of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Amounts outstanding under our $90.0 million credit facility and our $40.0 million senior notes as of March 31, 2009 were $66.6 million and $34.3 million, respectively. See Note 8 of the Notes to Consolidated Financial Statements. We were in compliance with all covenants of our $90.0 million credit facility and our $40.0 million senior notes as of March 31, 2009. As of March 31, 2009, the Company had a maximum $23.4 million of availability under the $90.0 million revolving credit facility.</w:t>
      </w:r>
    </w:p>
    <w:p>
      <w:pPr>
        <w:spacing w:after="0" w:line="21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Even though we have sufficient availability to borrow under our existing credit agreements at this time, due to the current global credit crisis and economic downturn, our ability to obtain credit could be impaired depending on the level of reduction in our EBITDA. In the event we have to obtain credit in replacement of or in addition to our existing credit facilities, the terms are not likely to be as favorable as our current facilities due to dramatic increases, during the last 12 to 18 months, in the interest rate margins charged by lending institutions. In addition, depending on our EBITDA levels and the degree credit markets are tightened, we may not be able to enter into new or additional credit facilities in the future.</w:t>
      </w:r>
    </w:p>
    <w:p>
      <w:pPr>
        <w:spacing w:after="0" w:line="2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first quarter of 2009, we entered into an amended and restated $90,000 revolving credit facility maturing September 2011 with Key Bank as administrative agent. We entered into the amended agreement to conform the covenants to our current outlook for the next twelve months in this difficult economic cycle. In addition to the reduction in availability, the interest rate increased approximately 4.0%. The financial and non 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w:t>
      </w:r>
    </w:p>
    <w:p>
      <w:pPr>
        <w:spacing w:after="0" w:line="2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Additionally, during the first quarter of 2009, the senior note agreement was amended. We entered into the amended agreement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While there can be no assurances, management believes that the Company will be able to comply with the revised covenants of the amended debt agreements through at least the next four quarters. However, further deterioration of market conditions and sales levels in excess of our forecasts for revenue and cash flow could result in the Company failing to meet these covenants which could cause a material adverse impact on our liquidity and financial position. We were in compliance with all covenants related to the amended and restated $90,000 credit facility and the amended and restated $40,000 senior notes as of March 31, 2009. The specific covenants to which we are subject are disclosed in our annual report on Form 10-K for the year ended December 31, 2008.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right="220"/>
        <w:spacing w:after="0" w:line="312" w:lineRule="auto"/>
        <w:rPr>
          <w:sz w:val="20"/>
          <w:szCs w:val="20"/>
          <w:color w:val="auto"/>
        </w:rPr>
      </w:pPr>
      <w:r>
        <w:rPr>
          <w:rFonts w:ascii="Arial" w:cs="Arial" w:eastAsia="Arial" w:hAnsi="Arial"/>
          <w:sz w:val="16"/>
          <w:szCs w:val="16"/>
          <w:color w:val="auto"/>
        </w:rPr>
        <w:t>Many of our locations use the Euro as their functional currency. In 2009, the fluctuation of the Euro against the U.S. Dollar unfavorably impacted revenue and income and decreased the value of assets and liabilities. As of March 31, 2009, no currency hedges were in place. Changes in value of the U.S. Dollar and/or Euro against foreign currencies could impair our ability to compete with international competitors for foreign as well as domestic sales.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2009, we plan to spend approximately $3.5 million on capital expenditures. Of this amount, approximately $2.7 million has been spent through March 31, 2009. We intend to finance future fixed asset purchases with cash generated from operations and funds available under the credit facilities described above. We believe that funds generated from operations, if any, and borrowings from the credit facilities will be sufficient to finance our working capital needs and projected capital expenditure requirements through March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significant accounting policies, including the assumptions and judgments underlying them, are disclosed in our annual report on Form 10-K for the year ended December 31, 2008,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month period ended March 31, 2009 was adoption of SFAS 157 related to accounting for non-financial assets and liabilities under fair value. SFAS 157 had no effect on the financial statements for the three month period ended March 31, 2009.</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The financial impact, on the remaining reporting unit with a goodwill balance, from the global economic downturn, during the three month period ended March 31, 2009, was consistent with the forecasted results used in testing for impairment at December 31, 2008. Thus, as of March 31, 2009, there are no further indications of impairment. However, depending on the severity and the longevity of the future impacts of the global economic downturn, we could have an impairment in goodwill at this reporting unit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2009, we had $66.6 million outstanding under our variable rate revolving credit facilities and $34.3 million fixed rate senior notes outstanding. See Note 8 of the Notes to Consolidated Financial Statements. At March 31, 2009, a one-percent increase in the interest rate charged on our outstanding variable rate borrowings would result in interest expense increasing annually by approximately $0.7 million.</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March 31, 2009.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18"/>
          <w:szCs w:val="18"/>
          <w:b w:val="1"/>
          <w:bCs w:val="1"/>
          <w:color w:val="auto"/>
        </w:rPr>
        <w:t>Controls and Procedures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2009, the end of the period covered by this quarterly report.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There have been no changes in the fiscal quarter ended March 31, 2009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1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not been any material changes in risk factors from those disclosed in our annual report on Form 10-K for the year ended December 31, 2008 filed on March 31, 2009.</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31.1 Certification of Chief Executive Officer pursuant to Section 302 of Sarbanes-Oxley Act of 2002.</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31.2 Certification of Chief Financial Officer pursuant to Section 302 of Sarbanes-Oxley Act of 2002.</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32.1Certification of Chief Executive Officer pursuant to Section 906 of Sarbanes-Oxley Act of 2002.</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32.2 Certification of Chief Financial Officer pursuant to Section 906 of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NN,</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-19050</wp:posOffset>
            </wp:positionV>
            <wp:extent cx="3101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1975"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117475</wp:posOffset>
            </wp:positionV>
            <wp:extent cx="171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6"/>
          <w:szCs w:val="16"/>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23495</wp:posOffset>
            </wp:positionV>
            <wp:extent cx="28555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559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w:t>
      </w:r>
    </w:p>
    <w:p>
      <w:pPr>
        <w:spacing w:after="0" w:line="2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(Duly Authorized Officer)</w:t>
      </w:r>
    </w:p>
    <w:p>
      <w:pPr>
        <w:spacing w:after="0" w:line="24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7"/>
          <w:szCs w:val="17"/>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43" w:lineRule="exact"/>
        <w:rPr>
          <w:sz w:val="20"/>
          <w:szCs w:val="20"/>
          <w:color w:val="auto"/>
        </w:rPr>
      </w:pPr>
    </w:p>
    <w:p>
      <w:pPr>
        <w:jc w:val="center"/>
        <w:ind w:right="-45"/>
        <w:spacing w:after="0"/>
        <w:rPr>
          <w:sz w:val="20"/>
          <w:szCs w:val="20"/>
          <w:color w:val="auto"/>
        </w:rPr>
      </w:pPr>
      <w:r>
        <w:rPr>
          <w:rFonts w:ascii="Arial" w:cs="Arial" w:eastAsia="Arial" w:hAnsi="Arial"/>
          <w:sz w:val="22"/>
          <w:szCs w:val="22"/>
          <w:b w:val="1"/>
          <w:bCs w:val="1"/>
          <w:color w:val="auto"/>
        </w:rPr>
        <w:t>CERTIFICATION PURSUANT TO SECTION 302 OF SARBANES-OXLEY ACT OF 2002</w:t>
      </w:r>
    </w:p>
    <w:p>
      <w:pPr>
        <w:spacing w:after="0" w:line="200" w:lineRule="exact"/>
        <w:rPr>
          <w:sz w:val="20"/>
          <w:szCs w:val="20"/>
          <w:color w:val="auto"/>
        </w:rPr>
      </w:pPr>
    </w:p>
    <w:p>
      <w:pPr>
        <w:spacing w:after="0" w:line="289" w:lineRule="exact"/>
        <w:rPr>
          <w:sz w:val="20"/>
          <w:szCs w:val="20"/>
          <w:color w:val="auto"/>
        </w:rPr>
      </w:pPr>
    </w:p>
    <w:p>
      <w:pPr>
        <w:ind w:left="46"/>
        <w:spacing w:after="0"/>
        <w:rPr>
          <w:sz w:val="20"/>
          <w:szCs w:val="20"/>
          <w:color w:val="auto"/>
        </w:rPr>
      </w:pPr>
      <w:r>
        <w:rPr>
          <w:rFonts w:ascii="Arial" w:cs="Arial" w:eastAsia="Arial" w:hAnsi="Arial"/>
          <w:sz w:val="18"/>
          <w:szCs w:val="18"/>
          <w:color w:val="auto"/>
        </w:rPr>
        <w:t>I, Roderick R. Baty, certify that:</w:t>
      </w:r>
    </w:p>
    <w:p>
      <w:pPr>
        <w:spacing w:after="0" w:line="245" w:lineRule="exact"/>
        <w:rPr>
          <w:sz w:val="20"/>
          <w:szCs w:val="20"/>
          <w:color w:val="auto"/>
        </w:rPr>
      </w:pPr>
    </w:p>
    <w:p>
      <w:pPr>
        <w:ind w:left="806" w:hanging="752"/>
        <w:spacing w:after="0"/>
        <w:tabs>
          <w:tab w:leader="none" w:pos="806" w:val="left"/>
        </w:tabs>
        <w:numPr>
          <w:ilvl w:val="0"/>
          <w:numId w:val="3"/>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NN, Inc.;</w:t>
      </w:r>
    </w:p>
    <w:p>
      <w:pPr>
        <w:spacing w:after="0" w:line="233" w:lineRule="exact"/>
        <w:rPr>
          <w:rFonts w:ascii="Arial" w:cs="Arial" w:eastAsia="Arial" w:hAnsi="Arial"/>
          <w:sz w:val="22"/>
          <w:szCs w:val="22"/>
          <w:color w:val="auto"/>
        </w:rPr>
      </w:pPr>
    </w:p>
    <w:p>
      <w:pPr>
        <w:jc w:val="both"/>
        <w:ind w:left="546" w:right="40" w:hanging="492"/>
        <w:spacing w:after="0"/>
        <w:tabs>
          <w:tab w:leader="none" w:pos="816"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7" w:lineRule="exact"/>
        <w:rPr>
          <w:rFonts w:ascii="Arial" w:cs="Arial" w:eastAsia="Arial" w:hAnsi="Arial"/>
          <w:sz w:val="22"/>
          <w:szCs w:val="22"/>
          <w:color w:val="auto"/>
        </w:rPr>
      </w:pPr>
    </w:p>
    <w:p>
      <w:pPr>
        <w:ind w:left="706" w:hanging="652"/>
        <w:spacing w:after="0"/>
        <w:tabs>
          <w:tab w:leader="none" w:pos="706" w:val="left"/>
        </w:tabs>
        <w:numPr>
          <w:ilvl w:val="0"/>
          <w:numId w:val="3"/>
        </w:numPr>
        <w:rPr>
          <w:rFonts w:ascii="Arial" w:cs="Arial" w:eastAsia="Arial" w:hAnsi="Arial"/>
          <w:sz w:val="19"/>
          <w:szCs w:val="19"/>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w:t>
      </w:r>
    </w:p>
    <w:p>
      <w:pPr>
        <w:spacing w:after="0" w:line="25" w:lineRule="exact"/>
        <w:rPr>
          <w:sz w:val="20"/>
          <w:szCs w:val="20"/>
          <w:color w:val="auto"/>
        </w:rPr>
      </w:pPr>
    </w:p>
    <w:p>
      <w:pPr>
        <w:ind w:left="546"/>
        <w:spacing w:after="0"/>
        <w:rPr>
          <w:sz w:val="20"/>
          <w:szCs w:val="20"/>
          <w:color w:val="auto"/>
        </w:rPr>
      </w:pPr>
      <w:r>
        <w:rPr>
          <w:rFonts w:ascii="Arial" w:cs="Arial" w:eastAsia="Arial" w:hAnsi="Arial"/>
          <w:sz w:val="18"/>
          <w:szCs w:val="18"/>
          <w:color w:val="auto"/>
        </w:rPr>
        <w:t>financial condition, results of operations and cash flows of the registrant as of, and for, the periods presented in this report;</w:t>
      </w:r>
    </w:p>
    <w:p>
      <w:pPr>
        <w:spacing w:after="0" w:line="279" w:lineRule="exact"/>
        <w:rPr>
          <w:sz w:val="20"/>
          <w:szCs w:val="20"/>
          <w:color w:val="auto"/>
        </w:rPr>
      </w:pPr>
    </w:p>
    <w:p>
      <w:pPr>
        <w:ind w:left="546" w:right="20" w:hanging="492"/>
        <w:spacing w:after="0" w:line="238" w:lineRule="auto"/>
        <w:tabs>
          <w:tab w:leader="none" w:pos="816"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6" w:lineRule="exact"/>
        <w:rPr>
          <w:rFonts w:ascii="Arial" w:cs="Arial" w:eastAsia="Arial" w:hAnsi="Arial"/>
          <w:sz w:val="22"/>
          <w:szCs w:val="22"/>
          <w:color w:val="auto"/>
        </w:rPr>
      </w:pPr>
    </w:p>
    <w:p>
      <w:pPr>
        <w:ind w:left="866" w:right="100" w:hanging="110"/>
        <w:spacing w:after="0" w:line="238" w:lineRule="auto"/>
        <w:tabs>
          <w:tab w:leader="none" w:pos="1160" w:val="left"/>
        </w:tabs>
        <w:numPr>
          <w:ilvl w:val="1"/>
          <w:numId w:val="4"/>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Arial" w:cs="Arial" w:eastAsia="Arial" w:hAnsi="Arial"/>
          <w:sz w:val="22"/>
          <w:szCs w:val="22"/>
          <w:color w:val="auto"/>
        </w:rPr>
      </w:pPr>
    </w:p>
    <w:p>
      <w:pPr>
        <w:ind w:left="1326" w:hanging="570"/>
        <w:spacing w:after="0"/>
        <w:tabs>
          <w:tab w:leader="none" w:pos="1326" w:val="left"/>
        </w:tabs>
        <w:numPr>
          <w:ilvl w:val="1"/>
          <w:numId w:val="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w:t>
      </w:r>
    </w:p>
    <w:p>
      <w:pPr>
        <w:spacing w:after="0" w:line="43" w:lineRule="exact"/>
        <w:rPr>
          <w:sz w:val="20"/>
          <w:szCs w:val="20"/>
          <w:color w:val="auto"/>
        </w:rPr>
      </w:pPr>
    </w:p>
    <w:p>
      <w:pPr>
        <w:jc w:val="both"/>
        <w:ind w:left="866" w:right="360"/>
        <w:spacing w:after="0" w:line="308" w:lineRule="auto"/>
        <w:rPr>
          <w:sz w:val="20"/>
          <w:szCs w:val="20"/>
          <w:color w:val="auto"/>
        </w:rPr>
      </w:pPr>
      <w:r>
        <w:rPr>
          <w:rFonts w:ascii="Arial" w:cs="Arial" w:eastAsia="Arial" w:hAnsi="Arial"/>
          <w:sz w:val="19"/>
          <w:szCs w:val="19"/>
          <w:color w:val="auto"/>
        </w:rPr>
        <w:t>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sz w:val="20"/>
          <w:szCs w:val="20"/>
          <w:color w:val="auto"/>
        </w:rPr>
      </w:pPr>
    </w:p>
    <w:p>
      <w:pPr>
        <w:ind w:left="866" w:right="600" w:hanging="110"/>
        <w:spacing w:after="0" w:line="297" w:lineRule="auto"/>
        <w:tabs>
          <w:tab w:leader="none" w:pos="1160" w:val="left"/>
        </w:tabs>
        <w:numPr>
          <w:ilvl w:val="0"/>
          <w:numId w:val="5"/>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9"/>
          <w:szCs w:val="19"/>
          <w:color w:val="auto"/>
        </w:rPr>
      </w:pPr>
    </w:p>
    <w:p>
      <w:pPr>
        <w:jc w:val="both"/>
        <w:ind w:left="866" w:right="80" w:hanging="110"/>
        <w:spacing w:after="0" w:line="238" w:lineRule="auto"/>
        <w:tabs>
          <w:tab w:leader="none" w:pos="1172" w:val="left"/>
        </w:tabs>
        <w:numPr>
          <w:ilvl w:val="0"/>
          <w:numId w:val="5"/>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7" w:lineRule="exact"/>
        <w:rPr>
          <w:sz w:val="20"/>
          <w:szCs w:val="20"/>
          <w:color w:val="auto"/>
        </w:rPr>
      </w:pPr>
    </w:p>
    <w:p>
      <w:pPr>
        <w:ind w:left="866" w:right="80" w:hanging="866"/>
        <w:spacing w:after="0" w:line="232" w:lineRule="auto"/>
        <w:tabs>
          <w:tab w:leader="none" w:pos="812"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w:t>
      </w:r>
    </w:p>
    <w:p>
      <w:pPr>
        <w:spacing w:after="0" w:line="2" w:lineRule="exact"/>
        <w:rPr>
          <w:sz w:val="20"/>
          <w:szCs w:val="20"/>
          <w:color w:val="auto"/>
        </w:rPr>
      </w:pPr>
    </w:p>
    <w:p>
      <w:pPr>
        <w:ind w:left="666"/>
        <w:spacing w:after="0"/>
        <w:rPr>
          <w:sz w:val="20"/>
          <w:szCs w:val="20"/>
          <w:color w:val="auto"/>
        </w:rPr>
      </w:pPr>
      <w:r>
        <w:rPr>
          <w:rFonts w:ascii="Arial" w:cs="Arial" w:eastAsia="Arial" w:hAnsi="Arial"/>
          <w:sz w:val="18"/>
          <w:szCs w:val="18"/>
          <w:color w:val="auto"/>
        </w:rPr>
        <w:t>the audit committee of the registrant’s board of directors (or persons performing the equivalent functions):</w:t>
      </w:r>
    </w:p>
    <w:p>
      <w:pPr>
        <w:spacing w:after="0" w:line="265" w:lineRule="exact"/>
        <w:rPr>
          <w:sz w:val="20"/>
          <w:szCs w:val="20"/>
          <w:color w:val="auto"/>
        </w:rPr>
      </w:pPr>
    </w:p>
    <w:p>
      <w:pPr>
        <w:ind w:left="866" w:right="760" w:hanging="110"/>
        <w:spacing w:after="0" w:line="251" w:lineRule="auto"/>
        <w:tabs>
          <w:tab w:leader="none" w:pos="1214" w:val="left"/>
        </w:tabs>
        <w:numPr>
          <w:ilvl w:val="0"/>
          <w:numId w:val="7"/>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21"/>
          <w:szCs w:val="21"/>
          <w:color w:val="auto"/>
        </w:rPr>
      </w:pPr>
    </w:p>
    <w:p>
      <w:pPr>
        <w:ind w:left="46" w:right="500" w:firstLine="710"/>
        <w:spacing w:after="0" w:line="232" w:lineRule="auto"/>
        <w:tabs>
          <w:tab w:leader="none" w:pos="1162"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4" w:lineRule="exact"/>
        <w:rPr>
          <w:sz w:val="20"/>
          <w:szCs w:val="20"/>
          <w:color w:val="auto"/>
        </w:rPr>
      </w:pPr>
    </w:p>
    <w:p>
      <w:pPr>
        <w:ind w:left="46"/>
        <w:spacing w:after="0"/>
        <w:tabs>
          <w:tab w:leader="none" w:pos="926" w:val="left"/>
          <w:tab w:leader="none" w:pos="6826"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May 6, 2009</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990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3" w:lineRule="exact"/>
        <w:rPr>
          <w:sz w:val="20"/>
          <w:szCs w:val="20"/>
          <w:color w:val="auto"/>
        </w:rPr>
      </w:pPr>
    </w:p>
    <w:p>
      <w:pPr>
        <w:ind w:left="6666"/>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ind w:left="6666"/>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66"/>
          </w:cols>
          <w:pgMar w:left="194" w:top="364" w:right="239" w:bottom="1440" w:gutter="0" w:footer="0" w:header="0"/>
        </w:sectPr>
      </w:pPr>
    </w:p>
    <w:bookmarkStart w:id="23" w:name="page24"/>
    <w:bookmarkEnd w:id="23"/>
    <w:p>
      <w:pPr>
        <w:ind w:left="6206"/>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226"/>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ind w:left="46"/>
        <w:spacing w:after="0"/>
        <w:rPr>
          <w:sz w:val="20"/>
          <w:szCs w:val="20"/>
          <w:color w:val="auto"/>
        </w:rPr>
      </w:pPr>
      <w:r>
        <w:rPr>
          <w:rFonts w:ascii="Arial" w:cs="Arial" w:eastAsia="Arial" w:hAnsi="Arial"/>
          <w:sz w:val="18"/>
          <w:szCs w:val="18"/>
          <w:color w:val="auto"/>
        </w:rPr>
        <w:t>I, James H. Dorton, certify that:</w:t>
      </w:r>
    </w:p>
    <w:p>
      <w:pPr>
        <w:spacing w:after="0" w:line="245" w:lineRule="exact"/>
        <w:rPr>
          <w:sz w:val="20"/>
          <w:szCs w:val="20"/>
          <w:color w:val="auto"/>
        </w:rPr>
      </w:pPr>
    </w:p>
    <w:p>
      <w:pPr>
        <w:ind w:left="806" w:hanging="752"/>
        <w:spacing w:after="0"/>
        <w:tabs>
          <w:tab w:leader="none" w:pos="806" w:val="left"/>
        </w:tabs>
        <w:numPr>
          <w:ilvl w:val="0"/>
          <w:numId w:val="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NN, Inc.;</w:t>
      </w:r>
    </w:p>
    <w:p>
      <w:pPr>
        <w:spacing w:after="0" w:line="233" w:lineRule="exact"/>
        <w:rPr>
          <w:rFonts w:ascii="Arial" w:cs="Arial" w:eastAsia="Arial" w:hAnsi="Arial"/>
          <w:sz w:val="22"/>
          <w:szCs w:val="22"/>
          <w:color w:val="auto"/>
        </w:rPr>
      </w:pPr>
    </w:p>
    <w:p>
      <w:pPr>
        <w:ind w:left="546" w:right="40" w:hanging="492"/>
        <w:spacing w:after="0"/>
        <w:tabs>
          <w:tab w:leader="none" w:pos="816"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7" w:lineRule="exact"/>
        <w:rPr>
          <w:rFonts w:ascii="Arial" w:cs="Arial" w:eastAsia="Arial" w:hAnsi="Arial"/>
          <w:sz w:val="22"/>
          <w:szCs w:val="22"/>
          <w:color w:val="auto"/>
        </w:rPr>
      </w:pPr>
    </w:p>
    <w:p>
      <w:pPr>
        <w:ind w:left="706" w:hanging="652"/>
        <w:spacing w:after="0"/>
        <w:tabs>
          <w:tab w:leader="none" w:pos="706" w:val="left"/>
        </w:tabs>
        <w:numPr>
          <w:ilvl w:val="0"/>
          <w:numId w:val="8"/>
        </w:numPr>
        <w:rPr>
          <w:rFonts w:ascii="Arial" w:cs="Arial" w:eastAsia="Arial" w:hAnsi="Arial"/>
          <w:sz w:val="19"/>
          <w:szCs w:val="19"/>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w:t>
      </w:r>
    </w:p>
    <w:p>
      <w:pPr>
        <w:spacing w:after="0" w:line="25" w:lineRule="exact"/>
        <w:rPr>
          <w:sz w:val="20"/>
          <w:szCs w:val="20"/>
          <w:color w:val="auto"/>
        </w:rPr>
      </w:pPr>
    </w:p>
    <w:p>
      <w:pPr>
        <w:ind w:left="546"/>
        <w:spacing w:after="0"/>
        <w:rPr>
          <w:sz w:val="20"/>
          <w:szCs w:val="20"/>
          <w:color w:val="auto"/>
        </w:rPr>
      </w:pPr>
      <w:r>
        <w:rPr>
          <w:rFonts w:ascii="Arial" w:cs="Arial" w:eastAsia="Arial" w:hAnsi="Arial"/>
          <w:sz w:val="18"/>
          <w:szCs w:val="18"/>
          <w:color w:val="auto"/>
        </w:rPr>
        <w:t>financial condition, results of operations and cash flows of the registrant as of, and for, the periods presented in this report;</w:t>
      </w:r>
    </w:p>
    <w:p>
      <w:pPr>
        <w:spacing w:after="0" w:line="279" w:lineRule="exact"/>
        <w:rPr>
          <w:sz w:val="20"/>
          <w:szCs w:val="20"/>
          <w:color w:val="auto"/>
        </w:rPr>
      </w:pPr>
    </w:p>
    <w:p>
      <w:pPr>
        <w:ind w:left="546" w:right="20" w:hanging="492"/>
        <w:spacing w:after="0" w:line="238" w:lineRule="auto"/>
        <w:tabs>
          <w:tab w:leader="none" w:pos="816"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6" w:lineRule="exact"/>
        <w:rPr>
          <w:rFonts w:ascii="Arial" w:cs="Arial" w:eastAsia="Arial" w:hAnsi="Arial"/>
          <w:sz w:val="22"/>
          <w:szCs w:val="22"/>
          <w:color w:val="auto"/>
        </w:rPr>
      </w:pPr>
    </w:p>
    <w:p>
      <w:pPr>
        <w:ind w:left="866" w:right="100" w:hanging="110"/>
        <w:spacing w:after="0" w:line="238" w:lineRule="auto"/>
        <w:tabs>
          <w:tab w:leader="none" w:pos="1160" w:val="left"/>
        </w:tabs>
        <w:numPr>
          <w:ilvl w:val="1"/>
          <w:numId w:val="9"/>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Arial" w:cs="Arial" w:eastAsia="Arial" w:hAnsi="Arial"/>
          <w:sz w:val="22"/>
          <w:szCs w:val="22"/>
          <w:color w:val="auto"/>
        </w:rPr>
      </w:pPr>
    </w:p>
    <w:p>
      <w:pPr>
        <w:ind w:left="1326" w:hanging="570"/>
        <w:spacing w:after="0"/>
        <w:tabs>
          <w:tab w:leader="none" w:pos="1326" w:val="left"/>
        </w:tabs>
        <w:numPr>
          <w:ilvl w:val="1"/>
          <w:numId w:val="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w:t>
      </w:r>
    </w:p>
    <w:p>
      <w:pPr>
        <w:spacing w:after="0" w:line="43" w:lineRule="exact"/>
        <w:rPr>
          <w:sz w:val="20"/>
          <w:szCs w:val="20"/>
          <w:color w:val="auto"/>
        </w:rPr>
      </w:pPr>
    </w:p>
    <w:p>
      <w:pPr>
        <w:jc w:val="both"/>
        <w:ind w:left="866" w:right="360"/>
        <w:spacing w:after="0" w:line="308" w:lineRule="auto"/>
        <w:rPr>
          <w:sz w:val="20"/>
          <w:szCs w:val="20"/>
          <w:color w:val="auto"/>
        </w:rPr>
      </w:pPr>
      <w:r>
        <w:rPr>
          <w:rFonts w:ascii="Arial" w:cs="Arial" w:eastAsia="Arial" w:hAnsi="Arial"/>
          <w:sz w:val="19"/>
          <w:szCs w:val="19"/>
          <w:color w:val="auto"/>
        </w:rPr>
        <w:t>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sz w:val="20"/>
          <w:szCs w:val="20"/>
          <w:color w:val="auto"/>
        </w:rPr>
      </w:pPr>
    </w:p>
    <w:p>
      <w:pPr>
        <w:ind w:left="866" w:right="600" w:hanging="110"/>
        <w:spacing w:after="0" w:line="297" w:lineRule="auto"/>
        <w:tabs>
          <w:tab w:leader="none" w:pos="1160" w:val="left"/>
        </w:tabs>
        <w:numPr>
          <w:ilvl w:val="1"/>
          <w:numId w:val="10"/>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9"/>
          <w:szCs w:val="19"/>
          <w:color w:val="auto"/>
        </w:rPr>
      </w:pPr>
    </w:p>
    <w:p>
      <w:pPr>
        <w:jc w:val="both"/>
        <w:ind w:left="866" w:right="80" w:hanging="110"/>
        <w:spacing w:after="0" w:line="238" w:lineRule="auto"/>
        <w:tabs>
          <w:tab w:leader="none" w:pos="1172" w:val="left"/>
        </w:tabs>
        <w:numPr>
          <w:ilvl w:val="1"/>
          <w:numId w:val="10"/>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6" w:lineRule="exact"/>
        <w:rPr>
          <w:rFonts w:ascii="Arial" w:cs="Arial" w:eastAsia="Arial" w:hAnsi="Arial"/>
          <w:sz w:val="22"/>
          <w:szCs w:val="22"/>
          <w:color w:val="auto"/>
        </w:rPr>
      </w:pPr>
    </w:p>
    <w:p>
      <w:pPr>
        <w:ind w:left="806" w:hanging="806"/>
        <w:spacing w:after="0"/>
        <w:tabs>
          <w:tab w:leader="none" w:pos="806" w:val="left"/>
        </w:tabs>
        <w:numPr>
          <w:ilvl w:val="0"/>
          <w:numId w:val="11"/>
        </w:numPr>
        <w:rPr>
          <w:rFonts w:ascii="Arial" w:cs="Arial" w:eastAsia="Arial" w:hAnsi="Arial"/>
          <w:sz w:val="19"/>
          <w:szCs w:val="19"/>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w:t>
      </w:r>
    </w:p>
    <w:p>
      <w:pPr>
        <w:spacing w:after="0" w:line="14" w:lineRule="exact"/>
        <w:rPr>
          <w:sz w:val="20"/>
          <w:szCs w:val="20"/>
          <w:color w:val="auto"/>
        </w:rPr>
      </w:pPr>
    </w:p>
    <w:p>
      <w:pPr>
        <w:ind w:left="866"/>
        <w:spacing w:after="0"/>
        <w:rPr>
          <w:sz w:val="20"/>
          <w:szCs w:val="20"/>
          <w:color w:val="auto"/>
        </w:rPr>
      </w:pPr>
      <w:r>
        <w:rPr>
          <w:rFonts w:ascii="Arial" w:cs="Arial" w:eastAsia="Arial" w:hAnsi="Arial"/>
          <w:sz w:val="18"/>
          <w:szCs w:val="18"/>
          <w:color w:val="auto"/>
        </w:rPr>
        <w:t>registrant’s auditors and</w:t>
      </w:r>
    </w:p>
    <w:p>
      <w:pPr>
        <w:spacing w:after="0" w:line="7" w:lineRule="exact"/>
        <w:rPr>
          <w:sz w:val="20"/>
          <w:szCs w:val="20"/>
          <w:color w:val="auto"/>
        </w:rPr>
      </w:pPr>
    </w:p>
    <w:p>
      <w:pPr>
        <w:ind w:left="666"/>
        <w:spacing w:after="0"/>
        <w:rPr>
          <w:sz w:val="20"/>
          <w:szCs w:val="20"/>
          <w:color w:val="auto"/>
        </w:rPr>
      </w:pPr>
      <w:r>
        <w:rPr>
          <w:rFonts w:ascii="Arial" w:cs="Arial" w:eastAsia="Arial" w:hAnsi="Arial"/>
          <w:sz w:val="18"/>
          <w:szCs w:val="18"/>
          <w:color w:val="auto"/>
        </w:rPr>
        <w:t>the audit committee of the registrant’s board of directors (or persons performing the equivalent functions):</w:t>
      </w:r>
    </w:p>
    <w:p>
      <w:pPr>
        <w:spacing w:after="0" w:line="265" w:lineRule="exact"/>
        <w:rPr>
          <w:sz w:val="20"/>
          <w:szCs w:val="20"/>
          <w:color w:val="auto"/>
        </w:rPr>
      </w:pPr>
    </w:p>
    <w:p>
      <w:pPr>
        <w:ind w:left="866" w:right="760" w:hanging="110"/>
        <w:spacing w:after="0" w:line="251" w:lineRule="auto"/>
        <w:tabs>
          <w:tab w:leader="none" w:pos="1214" w:val="left"/>
        </w:tabs>
        <w:numPr>
          <w:ilvl w:val="0"/>
          <w:numId w:val="12"/>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21"/>
          <w:szCs w:val="21"/>
          <w:color w:val="auto"/>
        </w:rPr>
      </w:pPr>
    </w:p>
    <w:p>
      <w:pPr>
        <w:ind w:left="46" w:right="500" w:firstLine="710"/>
        <w:spacing w:after="0" w:line="232" w:lineRule="auto"/>
        <w:tabs>
          <w:tab w:leader="none" w:pos="1162" w:val="left"/>
        </w:tabs>
        <w:numPr>
          <w:ilvl w:val="0"/>
          <w:numId w:val="12"/>
        </w:numPr>
        <w:rPr>
          <w:rFonts w:ascii="Arial" w:cs="Arial" w:eastAsia="Arial" w:hAnsi="Arial"/>
          <w:sz w:val="22"/>
          <w:szCs w:val="22"/>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6" w:type="dxa"/>
        <w:tblCellMar>
          <w:top w:w="0" w:type="dxa"/>
          <w:left w:w="0" w:type="dxa"/>
          <w:bottom w:w="0" w:type="dxa"/>
          <w:right w:w="0" w:type="dxa"/>
        </w:tblCellMar>
      </w:tblPr>
      <w:tr>
        <w:trPr>
          <w:trHeight w:val="207"/>
        </w:trPr>
        <w:tc>
          <w:tcPr>
            <w:tcW w:w="1760" w:type="dxa"/>
            <w:vAlign w:val="bottom"/>
            <w:gridSpan w:val="3"/>
          </w:tcPr>
          <w:p>
            <w:pPr>
              <w:spacing w:after="0"/>
              <w:rPr>
                <w:sz w:val="20"/>
                <w:szCs w:val="20"/>
                <w:color w:val="auto"/>
              </w:rPr>
            </w:pPr>
            <w:r>
              <w:rPr>
                <w:rFonts w:ascii="Arial" w:cs="Arial" w:eastAsia="Arial" w:hAnsi="Arial"/>
                <w:sz w:val="18"/>
                <w:szCs w:val="18"/>
                <w:color w:val="auto"/>
              </w:rPr>
              <w:t>Date: May 6, 2009</w:t>
            </w:r>
          </w:p>
        </w:tc>
        <w:tc>
          <w:tcPr>
            <w:tcW w:w="53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 James H. Dorton</w:t>
            </w:r>
          </w:p>
        </w:tc>
      </w:tr>
      <w:tr>
        <w:trPr>
          <w:trHeight w:val="20"/>
        </w:trPr>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60" w:type="dxa"/>
            <w:vAlign w:val="bottom"/>
            <w:gridSpan w:val="3"/>
          </w:tcPr>
          <w:p>
            <w:pPr>
              <w:ind w:left="5120"/>
              <w:spacing w:after="0"/>
              <w:rPr>
                <w:sz w:val="20"/>
                <w:szCs w:val="20"/>
                <w:color w:val="auto"/>
              </w:rPr>
            </w:pPr>
            <w:r>
              <w:rPr>
                <w:rFonts w:ascii="Arial" w:cs="Arial" w:eastAsia="Arial" w:hAnsi="Arial"/>
                <w:sz w:val="18"/>
                <w:szCs w:val="18"/>
                <w:color w:val="auto"/>
              </w:rPr>
              <w:t>James H. Dorton</w:t>
            </w:r>
          </w:p>
        </w:tc>
      </w:tr>
      <w:tr>
        <w:trPr>
          <w:trHeight w:val="216"/>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60" w:type="dxa"/>
            <w:vAlign w:val="bottom"/>
            <w:gridSpan w:val="3"/>
          </w:tcPr>
          <w:p>
            <w:pPr>
              <w:ind w:left="5220"/>
              <w:spacing w:after="0"/>
              <w:rPr>
                <w:sz w:val="20"/>
                <w:szCs w:val="20"/>
                <w:color w:val="auto"/>
              </w:rPr>
            </w:pPr>
            <w:r>
              <w:rPr>
                <w:rFonts w:ascii="Arial" w:cs="Arial" w:eastAsia="Arial" w:hAnsi="Arial"/>
                <w:sz w:val="18"/>
                <w:szCs w:val="18"/>
                <w:color w:val="auto"/>
                <w:w w:val="90"/>
              </w:rPr>
              <w:t>Vice President – Corporate Development and Chief Financial</w:t>
            </w:r>
          </w:p>
        </w:tc>
      </w:tr>
      <w:tr>
        <w:trPr>
          <w:trHeight w:val="230"/>
        </w:trPr>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3"/>
          </w:tcPr>
          <w:p>
            <w:pPr>
              <w:ind w:left="3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66"/>
          </w:cols>
          <w:pgMar w:left="194"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73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6, 2009</w:t>
      </w:r>
      <w:r>
        <w:rPr>
          <w:sz w:val="20"/>
          <w:szCs w:val="20"/>
          <w:color w:val="auto"/>
        </w:rPr>
        <w:tab/>
      </w:r>
      <w:r>
        <w:rPr>
          <w:rFonts w:ascii="Arial" w:cs="Arial" w:eastAsia="Arial" w:hAnsi="Arial"/>
          <w:sz w:val="16"/>
          <w:szCs w:val="16"/>
          <w:u w:val="single" w:color="auto"/>
          <w:color w:val="auto"/>
        </w:rPr>
        <w:t xml:space="preserve">/s/ Roderick R. Baty </w:t>
      </w:r>
      <w:r>
        <w:rPr>
          <w:rFonts w:ascii="Arial" w:cs="Arial" w:eastAsia="Arial" w:hAnsi="Arial"/>
          <w:sz w:val="16"/>
          <w:szCs w:val="16"/>
          <w:color w:val="auto"/>
        </w:rPr>
        <w:t>__</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CERTIFICATION OF CHIEF FINANCIAL OFFICER PURSUANT</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6, 2009</w:t>
      </w:r>
      <w:r>
        <w:rPr>
          <w:sz w:val="20"/>
          <w:szCs w:val="20"/>
          <w:color w:val="auto"/>
        </w:rPr>
        <w:tab/>
      </w:r>
      <w:r>
        <w:rPr>
          <w:rFonts w:ascii="Arial" w:cs="Arial" w:eastAsia="Arial" w:hAnsi="Arial"/>
          <w:sz w:val="16"/>
          <w:szCs w:val="16"/>
          <w:u w:val="single" w:color="auto"/>
          <w:color w:val="auto"/>
        </w:rPr>
        <w:t>/s/ James H. Dorton</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Vice President – Corporate Development and Chief Financial Officer</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4"/>
    </w:lvl>
    <w:lvl w:ilvl="1">
      <w:lvlJc w:val="left"/>
      <w:lvlText w:val="(%2)"/>
      <w:numFmt w:val="lowerLetter"/>
      <w:start w:val="1"/>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4"/>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3"/>
    </w:lvl>
  </w:abstractNum>
  <w:abstractNum w:abstractNumId="10">
    <w:nsid w:val="1190CDE7"/>
    <w:multiLevelType w:val="hybridMultilevel"/>
    <w:lvl w:ilvl="0">
      <w:lvlJc w:val="left"/>
      <w:lvlText w:val="%1."/>
      <w:numFmt w:val="decimal"/>
      <w:start w:val="5"/>
    </w:lvl>
    <w:lvl w:ilvl="1">
      <w:lvlJc w:val="left"/>
      <w:lvlText w:val="%2"/>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2019-12-10T12:12:09Z</dcterms:created>
  <dcterms:modified xsi:type="dcterms:W3CDTF">2019-12-10T12:12:09Z</dcterms:modified>
</cp:coreProperties>
</file>