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February 25,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25, 2003, the Company issued a press release announcing its financial results for the fourth quarter and the fiscal year ended December 31, 2002. A copy of the press release is attached as Exhibit 99.1 hereto and incorporated herein by reference.</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1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February 25,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25, 2003</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66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136" w:right="1440" w:bottom="1440" w:gutter="0" w:footer="0" w:header="0"/>
        </w:sectPr>
      </w:pPr>
    </w:p>
    <w:bookmarkStart w:id="2" w:name="page3"/>
    <w:bookmarkEnd w:id="2"/>
    <w:p>
      <w:pPr>
        <w:ind w:left="5060"/>
        <w:spacing w:after="0"/>
        <w:rPr>
          <w:sz w:val="20"/>
          <w:szCs w:val="20"/>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t>RE: NN, Inc.</w:t>
      </w:r>
    </w:p>
    <w:p>
      <w:pPr>
        <w:ind w:left="506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39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66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Julie Tu</w:t>
      </w:r>
    </w:p>
    <w:p>
      <w:pPr>
        <w:spacing w:after="0"/>
        <w:tabs>
          <w:tab w:leader="none" w:pos="166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66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212-445-8456</w:t>
      </w:r>
    </w:p>
    <w:p>
      <w:pPr>
        <w:spacing w:after="0" w:line="200" w:lineRule="exact"/>
        <w:rPr>
          <w:sz w:val="20"/>
          <w:szCs w:val="20"/>
          <w:color w:val="auto"/>
        </w:rPr>
      </w:pPr>
    </w:p>
    <w:p>
      <w:pPr>
        <w:sectPr>
          <w:pgSz w:w="11900" w:h="16838" w:orient="portrait"/>
          <w:cols w:equalWidth="0" w:num="2">
            <w:col w:w="5400" w:space="720"/>
            <w:col w:w="4099"/>
          </w:cols>
          <w:pgMar w:left="240" w:top="139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February 25, 2003</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b w:val="1"/>
          <w:bCs w:val="1"/>
          <w:color w:val="auto"/>
        </w:rPr>
        <w:t>NN, INC. REPORTS REVENUE IMPROVEMENTS OF 22.9%</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b w:val="1"/>
          <w:bCs w:val="1"/>
          <w:color w:val="auto"/>
        </w:rPr>
        <w:t>IN THE 2002 FOURTH QUARTER AND 7.1% FOR THE FULL YEAR</w:t>
      </w:r>
    </w:p>
    <w:p>
      <w:pPr>
        <w:sectPr>
          <w:pgSz w:w="11900" w:h="16838" w:orient="portrait"/>
          <w:cols w:equalWidth="0" w:num="1">
            <w:col w:w="10219"/>
          </w:cols>
          <w:pgMar w:left="240" w:top="1392" w:right="1440" w:bottom="0" w:gutter="0" w:footer="0" w:header="0"/>
          <w:type w:val="continuous"/>
        </w:sectPr>
      </w:pP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Full Year 2002 Adjusted Earnings Per Share</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Increased 100% From $0.27 to $0.54</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b w:val="1"/>
          <w:bCs w:val="1"/>
          <w:color w:val="auto"/>
        </w:rPr>
        <w:t xml:space="preserve">Johnson City, Tenn., February 25, 2003 </w:t>
      </w:r>
      <w:r>
        <w:rPr>
          <w:rFonts w:ascii="Courier New" w:cs="Courier New" w:eastAsia="Courier New" w:hAnsi="Courier New"/>
          <w:sz w:val="16"/>
          <w:szCs w:val="16"/>
          <w:color w:val="auto"/>
        </w:rPr>
        <w:t>- NN, Inc. (Nasdaq: NNBR) today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reported its financial results for the fourth quarter ended December 31, 2002.</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for the fourth quarter of 2002 were $49.1 million, up 22.9% from $40.0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for the same period of 2001. Net income for the fourth quarter of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totaled $7.3 million, or $0.46 per share compared to a net loss of $1.0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$0.07 loss per share for the fourth quarter of 2001. Earnings per share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$0.46 for the fourth quarter of 2002 include a non-taxable gain of $5.9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$0.38 per share, associated with the previously announced purchase of</w:t>
      </w:r>
    </w:p>
    <w:p>
      <w:pPr>
        <w:spacing w:after="0" w:line="238" w:lineRule="auto"/>
        <w:rPr>
          <w:sz w:val="20"/>
          <w:szCs w:val="20"/>
          <w:color w:val="auto"/>
        </w:rPr>
      </w:pPr>
      <w:r>
        <w:rPr>
          <w:rFonts w:ascii="Courier New" w:cs="Courier New" w:eastAsia="Courier New" w:hAnsi="Courier New"/>
          <w:sz w:val="18"/>
          <w:szCs w:val="18"/>
          <w:color w:val="auto"/>
        </w:rPr>
        <w:t>INA/FAG's 23 % interest in NN Euroball on December 20, 2002. Additionally,</w:t>
      </w:r>
    </w:p>
    <w:p>
      <w:pPr>
        <w:spacing w:after="0"/>
        <w:rPr>
          <w:sz w:val="20"/>
          <w:szCs w:val="20"/>
          <w:color w:val="auto"/>
        </w:rPr>
      </w:pPr>
      <w:r>
        <w:rPr>
          <w:rFonts w:ascii="Courier New" w:cs="Courier New" w:eastAsia="Courier New" w:hAnsi="Courier New"/>
          <w:sz w:val="18"/>
          <w:szCs w:val="18"/>
          <w:color w:val="auto"/>
        </w:rPr>
        <w:t>recorded in the 2002 fourth quarter was an after-tax charge of $767,000,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$0.05 per share. This charge was associated with an additional impairment charge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to the Walterboro, South Carolina facility, which was closed in</w:t>
      </w:r>
    </w:p>
    <w:p>
      <w:pPr>
        <w:spacing w:after="0" w:line="238" w:lineRule="auto"/>
        <w:rPr>
          <w:sz w:val="20"/>
          <w:szCs w:val="20"/>
          <w:color w:val="auto"/>
        </w:rPr>
      </w:pPr>
      <w:r>
        <w:rPr>
          <w:rFonts w:ascii="Courier New" w:cs="Courier New" w:eastAsia="Courier New" w:hAnsi="Courier New"/>
          <w:sz w:val="18"/>
          <w:szCs w:val="18"/>
          <w:color w:val="auto"/>
        </w:rPr>
        <w:t>September of 2001. Adjusting for these items, net income was $2.2 million or</w:t>
      </w:r>
    </w:p>
    <w:p>
      <w:pPr>
        <w:spacing w:after="0"/>
        <w:rPr>
          <w:sz w:val="20"/>
          <w:szCs w:val="20"/>
          <w:color w:val="auto"/>
        </w:rPr>
      </w:pPr>
      <w:r>
        <w:rPr>
          <w:rFonts w:ascii="Courier New" w:cs="Courier New" w:eastAsia="Courier New" w:hAnsi="Courier New"/>
          <w:sz w:val="18"/>
          <w:szCs w:val="18"/>
          <w:color w:val="auto"/>
        </w:rPr>
        <w:t>$0.14 per share for the 2002 fourth quarter.</w:t>
      </w:r>
    </w:p>
    <w:p>
      <w:pPr>
        <w:spacing w:after="0" w:line="20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fourth quarter of 2001 net loss includes approximately $1.2 million in net after-tax charges to earnings, or $0.08 per share as well as $300,000 of NN Arte minority interest losses included in NN's financial statements. The details of the approximately $1.2 million of after-tax charges to earnings are as follows: $766,000 associated with the closing of the Company's Walterboro, South Carolina manufacturing facility, including a charge related to the impairment of the facility at lower than book value; a loss of $140,000 associated with the 2001 divestiture of NN's 30% interest in the joint venture ball company in China; an additional reserve of approximately $270,000 in the 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quarter for the remaining balance of a trade account receivable associated with a previously announced customer that had filed for Chapter 7 bankruptcy protection; approximately $145,000 in charges associated with Euroball corporate organizational and structuring charges; and finally, earnings of approximately $100,000 associated with the receipt of insurance proceeds from the demutualization of an insurance carrier. Additionally, effective January 1, 2002, the Company adopted Statement of Financial Accounting Standard No. 142 (SFAS142) "Goodwill and Other Intangible Assets," which states that goodwill and intangible assets deemed to have indefinite lives are no longer subject to amortization, but are periodically evaluated for impairment. The fourth quarter of 2001 included goodwill amortization expense of $279,000 net of tax and minority interest. Adjusting for these items, net income for the fourth quarter of 2001 was $464,000 or $0.03 per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for the full year of 2002 were $193.0 million, up 7.1% compared to</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$180.2 million in 2001. Net sales in 2001 reflect approximately 10 1/2 months of revenue contribution from Delta Rubber Company, which was acquired on February 16, 2001 in a transaction using the purchase method of accounting.</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Net income for the full year of 2002 totaled $13.7 million, or $0.87 per share, compared to $4.7 million or $0.30 per share, for the same period of 2001.</w:t>
      </w:r>
    </w:p>
    <w:p>
      <w:pPr>
        <w:sectPr>
          <w:pgSz w:w="11900" w:h="16838" w:orient="portrait"/>
          <w:cols w:equalWidth="0" w:num="1">
            <w:col w:w="10219"/>
          </w:cols>
          <w:pgMar w:left="240" w:top="1392" w:right="1440" w:bottom="0" w:gutter="0" w:footer="0" w:header="0"/>
          <w:type w:val="continuous"/>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Excluding the aforementioned non-taxable gain on the purchase of INA/FAG's 23% interest in NN Euroball of $5.9 million and an after-tax charge of $767,000 reflecting the impairment associated with the Walterboro closing, net income totaled $8.5 million, or $0.54 per share. Adjusting for the aforementioned items recorded in the fourth quarter as well as a full year of goodwill amortization, net income for 2001 totaled $4.2 million, or $0.27 per share.</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David L. Dyckman, Chief Financial Officer, commented, "This was the third consecutive quarter in which we reported year-over-year improvement in revenues and operating results when compared to 2001. Revenues for the fourth quarter of 2002 of $49.1 million grew by approximately 22.9% over fourth quarter 2001. We experienced good demand associated with strong automotive sales throughout 2002. However, sales to the general industrial segment continued to remain at depressed levels throughout 2002. Adjusted EPS of $0.54 per share for 2002 increased 100% from the adjusted $0.27 per share earned in 2001.</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percentage of net sales, the gross profit margin was 24.8% in the fourth quarter of 2002 versus 22.2% in the fourth quarter of 2001. For the full year of 2002, the gross profit margin was 25.2% as compared to 23.8% for the full year of 2001. This improvement over the prior year reflects the continuing benefit of the initiatives to lower our cost structure, the consolidation of our domestic ball and roller operations in the fourth quarter of 2001 and increased efficiencies associated with higher volume levels.</w:t>
      </w:r>
    </w:p>
    <w:p>
      <w:pPr>
        <w:spacing w:after="0" w:line="211"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"Selling, general and administrative expenses for the fourth quarter of 2002 declined to 8.0% as a percentage of net sales compared to 11.1% in the prior year. For the full year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selling, general and administrative expenses as a percentage of sales were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8.9% compared to 9.3% in 2001.</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"We are especially pleased to report positive results for both the fourth quarter and full year despite the fact that economies in both Europe and North America remain uncertain.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"During 2002, we focused on prudent balance sheet management as evidenced by our strong cash flow and debt reduction results. Excluding the impact of purchasing INA/FAG's interest in NN Euroball in December 2002, the Company reduced debt by $15.3 million for the year, exceeding our goal of reducing debt by $12 million.</w:t>
      </w:r>
    </w:p>
    <w:p>
      <w:pPr>
        <w:spacing w:after="0" w:line="18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"Looking forward into 2003, we believe NN is well positioned to achieve solid results despite the continuing uncertainty of the current global economic environment. Accordingly, we anticipate earnings per share for the first quarter of 2003 to be in the range of $0.16 per share to $0.18 per share. After considering the earnings accretion of the purchase of INA/FAG's 23% share in NN Euroball, we are raising our full year earnings per share guidance to $0.68 to $0.71, on revenues of approximately $200 million. While we will continue to focus on debt reduction and maximizing cash flow, we anticipate increasing our capital expenditures from $6.6 million in 2002 to $9.4 million in 2003.</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continuing our due diligence process regarding the acquisition of SKF's Veenendaal, the Netherlands, tapered roller and metal cage manufacturing operation. Pending successful negotiations, we would anticipate closing in the first quarter of 2003. In addition, we are currently in discussions with SKF regarding their right to sell NN their 23% ownership interest in NN Euroball. We believe these pending transactions would expand NN's bearing component product offering while at the same time would provide additional value to our global bearing customers. Assuming the completion of the above transactions, our debt profile will still be at relatively conservative levels, approximately two times debt-to-EBITDA."</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shelf registration filed with the Securities and Exchange Commission on September 26, 2002 was declared effective on February 11, 2003. The registration provides for the sale of 3.7 million selling stockholder shares and up to $36.0 million of company shares."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18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i w:val="1"/>
          <w:iCs w:val="1"/>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i w:val="1"/>
          <w:iCs w:val="1"/>
          <w:color w:val="auto"/>
        </w:rPr>
        <w:t>forward-looking statements.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980"/>
        <w:spacing w:after="0" w:line="237" w:lineRule="auto"/>
        <w:rPr>
          <w:sz w:val="20"/>
          <w:szCs w:val="20"/>
          <w:color w:val="auto"/>
        </w:rPr>
      </w:pPr>
      <w:r>
        <w:rPr>
          <w:rFonts w:ascii="Courier New" w:cs="Courier New" w:eastAsia="Courier New" w:hAnsi="Courier New"/>
          <w:sz w:val="18"/>
          <w:szCs w:val="18"/>
          <w:i w:val="1"/>
          <w:iCs w:val="1"/>
          <w:color w:val="auto"/>
        </w:rPr>
        <w:t>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gridSpan w:val="2"/>
          </w:tcPr>
          <w:p>
            <w:pPr>
              <w:jc w:val="center"/>
              <w:ind w:right="72"/>
              <w:spacing w:after="0"/>
              <w:rPr>
                <w:sz w:val="20"/>
                <w:szCs w:val="20"/>
                <w:color w:val="auto"/>
              </w:rPr>
            </w:pPr>
            <w:r>
              <w:rPr>
                <w:rFonts w:ascii="Courier New" w:cs="Courier New" w:eastAsia="Courier New" w:hAnsi="Courier New"/>
                <w:sz w:val="18"/>
                <w:szCs w:val="18"/>
                <w:b w:val="1"/>
                <w:bCs w:val="1"/>
                <w:color w:val="auto"/>
                <w:w w:val="97"/>
              </w:rPr>
              <w:t>NN, Inc.</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52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b w:val="1"/>
                <w:bCs w:val="1"/>
                <w:color w:val="auto"/>
                <w:w w:val="97"/>
              </w:rPr>
              <w:t>Condensed Statements of Income</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52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b w:val="1"/>
                <w:bCs w:val="1"/>
                <w:color w:val="auto"/>
                <w:w w:val="97"/>
              </w:rPr>
              <w:t>(In Thousands, except per share amounts)</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b w:val="1"/>
                <w:bCs w:val="1"/>
                <w:color w:val="auto"/>
              </w:rPr>
              <w:t>(Unaudited)</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08"/>
        </w:trPr>
        <w:tc>
          <w:tcPr>
            <w:tcW w:w="4440" w:type="dxa"/>
            <w:vAlign w:val="bottom"/>
          </w:tcPr>
          <w:p>
            <w:pPr>
              <w:spacing w:after="0"/>
              <w:rPr>
                <w:sz w:val="24"/>
                <w:szCs w:val="24"/>
                <w:color w:val="auto"/>
              </w:rPr>
            </w:pPr>
          </w:p>
        </w:tc>
        <w:tc>
          <w:tcPr>
            <w:tcW w:w="3520" w:type="dxa"/>
            <w:vAlign w:val="bottom"/>
            <w:gridSpan w:val="4"/>
          </w:tcPr>
          <w:p>
            <w:pPr>
              <w:jc w:val="right"/>
              <w:ind w:right="812"/>
              <w:spacing w:after="0"/>
              <w:rPr>
                <w:sz w:val="20"/>
                <w:szCs w:val="20"/>
                <w:color w:val="auto"/>
              </w:rPr>
            </w:pPr>
            <w:r>
              <w:rPr>
                <w:rFonts w:ascii="Courier New" w:cs="Courier New" w:eastAsia="Courier New" w:hAnsi="Courier New"/>
                <w:sz w:val="18"/>
                <w:szCs w:val="18"/>
                <w:b w:val="1"/>
                <w:bCs w:val="1"/>
                <w:color w:val="auto"/>
              </w:rPr>
              <w:t>Three Months Ended</w:t>
            </w:r>
          </w:p>
        </w:tc>
        <w:tc>
          <w:tcPr>
            <w:tcW w:w="3460" w:type="dxa"/>
            <w:vAlign w:val="bottom"/>
            <w:gridSpan w:val="3"/>
          </w:tcPr>
          <w:p>
            <w:pPr>
              <w:jc w:val="right"/>
              <w:ind w:right="892"/>
              <w:spacing w:after="0"/>
              <w:rPr>
                <w:sz w:val="20"/>
                <w:szCs w:val="20"/>
                <w:color w:val="auto"/>
              </w:rPr>
            </w:pPr>
            <w:r>
              <w:rPr>
                <w:rFonts w:ascii="Courier New" w:cs="Courier New" w:eastAsia="Courier New" w:hAnsi="Courier New"/>
                <w:sz w:val="18"/>
                <w:szCs w:val="18"/>
                <w:b w:val="1"/>
                <w:bCs w:val="1"/>
                <w:color w:val="auto"/>
              </w:rPr>
              <w:t>Twelve Months Ended</w:t>
            </w:r>
          </w:p>
        </w:tc>
      </w:tr>
      <w:tr>
        <w:trPr>
          <w:trHeight w:val="203"/>
        </w:trPr>
        <w:tc>
          <w:tcPr>
            <w:tcW w:w="4440" w:type="dxa"/>
            <w:vAlign w:val="bottom"/>
          </w:tcPr>
          <w:p>
            <w:pPr>
              <w:spacing w:after="0"/>
              <w:rPr>
                <w:sz w:val="17"/>
                <w:szCs w:val="17"/>
                <w:color w:val="auto"/>
              </w:rPr>
            </w:pPr>
          </w:p>
        </w:tc>
        <w:tc>
          <w:tcPr>
            <w:tcW w:w="2520" w:type="dxa"/>
            <w:vAlign w:val="bottom"/>
            <w:gridSpan w:val="3"/>
          </w:tcPr>
          <w:p>
            <w:pPr>
              <w:ind w:left="1040"/>
              <w:spacing w:after="0" w:line="203" w:lineRule="exact"/>
              <w:rPr>
                <w:sz w:val="20"/>
                <w:szCs w:val="20"/>
                <w:color w:val="auto"/>
              </w:rPr>
            </w:pPr>
            <w:r>
              <w:rPr>
                <w:rFonts w:ascii="Courier New" w:cs="Courier New" w:eastAsia="Courier New" w:hAnsi="Courier New"/>
                <w:sz w:val="18"/>
                <w:szCs w:val="18"/>
                <w:b w:val="1"/>
                <w:bCs w:val="1"/>
                <w:color w:val="auto"/>
              </w:rPr>
              <w:t>December 31,</w:t>
            </w:r>
          </w:p>
        </w:tc>
        <w:tc>
          <w:tcPr>
            <w:tcW w:w="1000" w:type="dxa"/>
            <w:vAlign w:val="bottom"/>
          </w:tcPr>
          <w:p>
            <w:pPr>
              <w:spacing w:after="0"/>
              <w:rPr>
                <w:sz w:val="17"/>
                <w:szCs w:val="17"/>
                <w:color w:val="auto"/>
              </w:rPr>
            </w:pP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b w:val="1"/>
                <w:bCs w:val="1"/>
                <w:color w:val="auto"/>
              </w:rPr>
              <w:t>December 31,</w:t>
            </w:r>
          </w:p>
        </w:tc>
        <w:tc>
          <w:tcPr>
            <w:tcW w:w="12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720" w:type="dxa"/>
            <w:vAlign w:val="bottom"/>
          </w:tcPr>
          <w:p>
            <w:pPr>
              <w:spacing w:after="0"/>
              <w:rPr>
                <w:sz w:val="17"/>
                <w:szCs w:val="17"/>
                <w:color w:val="auto"/>
              </w:rPr>
            </w:pPr>
          </w:p>
        </w:tc>
        <w:tc>
          <w:tcPr>
            <w:tcW w:w="1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720" w:type="dxa"/>
            <w:vAlign w:val="bottom"/>
            <w:gridSpan w:val="2"/>
          </w:tcPr>
          <w:p>
            <w:pPr>
              <w:jc w:val="right"/>
              <w:ind w:right="992"/>
              <w:spacing w:after="0" w:line="203" w:lineRule="exact"/>
              <w:rPr>
                <w:sz w:val="20"/>
                <w:szCs w:val="20"/>
                <w:color w:val="auto"/>
              </w:rPr>
            </w:pPr>
            <w:r>
              <w:rPr>
                <w:rFonts w:ascii="Courier New" w:cs="Courier New" w:eastAsia="Courier New" w:hAnsi="Courier New"/>
                <w:sz w:val="18"/>
                <w:szCs w:val="18"/>
                <w:b w:val="1"/>
                <w:bCs w:val="1"/>
                <w:color w:val="auto"/>
              </w:rPr>
              <w:t>2001</w:t>
            </w:r>
          </w:p>
        </w:tc>
      </w:tr>
      <w:tr>
        <w:trPr>
          <w:trHeight w:val="203"/>
        </w:trPr>
        <w:tc>
          <w:tcPr>
            <w:tcW w:w="4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3"/>
                <w:szCs w:val="13"/>
                <w:b w:val="1"/>
                <w:bCs w:val="1"/>
                <w:color w:val="auto"/>
                <w:w w:val="72"/>
              </w:rPr>
              <w:t>-------------------------------</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$ 49,144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39,997</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$ 192,981</w:t>
            </w:r>
          </w:p>
        </w:tc>
        <w:tc>
          <w:tcPr>
            <w:tcW w:w="1720" w:type="dxa"/>
            <w:vAlign w:val="bottom"/>
            <w:gridSpan w:val="2"/>
          </w:tcPr>
          <w:p>
            <w:pPr>
              <w:jc w:val="right"/>
              <w:ind w:right="472"/>
              <w:spacing w:after="0" w:line="203" w:lineRule="exact"/>
              <w:rPr>
                <w:sz w:val="20"/>
                <w:szCs w:val="20"/>
                <w:color w:val="auto"/>
              </w:rPr>
            </w:pPr>
            <w:r>
              <w:rPr>
                <w:rFonts w:ascii="Courier New" w:cs="Courier New" w:eastAsia="Courier New" w:hAnsi="Courier New"/>
                <w:sz w:val="18"/>
                <w:szCs w:val="18"/>
                <w:color w:val="auto"/>
              </w:rPr>
              <w:t>$ 180,151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36,972</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31,105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144,274</w:t>
            </w:r>
          </w:p>
        </w:tc>
        <w:tc>
          <w:tcPr>
            <w:tcW w:w="1720" w:type="dxa"/>
            <w:vAlign w:val="bottom"/>
            <w:gridSpan w:val="2"/>
          </w:tcPr>
          <w:p>
            <w:pPr>
              <w:jc w:val="right"/>
              <w:ind w:right="472"/>
              <w:spacing w:after="0" w:line="203" w:lineRule="exact"/>
              <w:rPr>
                <w:sz w:val="20"/>
                <w:szCs w:val="20"/>
                <w:color w:val="auto"/>
              </w:rPr>
            </w:pPr>
            <w:r>
              <w:rPr>
                <w:rFonts w:ascii="Courier New" w:cs="Courier New" w:eastAsia="Courier New" w:hAnsi="Courier New"/>
                <w:sz w:val="18"/>
                <w:szCs w:val="18"/>
                <w:color w:val="auto"/>
              </w:rPr>
              <w:t>137,221</w:t>
            </w:r>
          </w:p>
        </w:tc>
      </w:tr>
      <w:tr>
        <w:trPr>
          <w:trHeight w:val="203"/>
        </w:trPr>
        <w:tc>
          <w:tcPr>
            <w:tcW w:w="4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Gross profit</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12,172</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8,892</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48,707</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w w:val="95"/>
              </w:rPr>
              <w:t>42,930</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11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3,947</w:t>
            </w:r>
          </w:p>
        </w:tc>
        <w:tc>
          <w:tcPr>
            <w:tcW w:w="64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4,428</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17,259</w:t>
            </w:r>
          </w:p>
        </w:tc>
        <w:tc>
          <w:tcPr>
            <w:tcW w:w="52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Courier New" w:cs="Courier New" w:eastAsia="Courier New" w:hAnsi="Courier New"/>
                <w:sz w:val="18"/>
                <w:szCs w:val="18"/>
                <w:color w:val="auto"/>
                <w:w w:val="95"/>
              </w:rPr>
              <w:t>16,752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2,769</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3,169</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11,212</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w w:val="95"/>
              </w:rPr>
              <w:t>13,340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 impairment costs</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1,199</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1,562</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1,277</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2,312</w:t>
            </w:r>
          </w:p>
        </w:tc>
      </w:tr>
      <w:tr>
        <w:trPr>
          <w:trHeight w:val="203"/>
        </w:trPr>
        <w:tc>
          <w:tcPr>
            <w:tcW w:w="4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4,257</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18,959</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w w:val="95"/>
              </w:rPr>
              <w:t>10,526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1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574</w:t>
            </w:r>
          </w:p>
        </w:tc>
        <w:tc>
          <w:tcPr>
            <w:tcW w:w="64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792</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2,451</w:t>
            </w:r>
          </w:p>
        </w:tc>
        <w:tc>
          <w:tcPr>
            <w:tcW w:w="52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Courier New" w:cs="Courier New" w:eastAsia="Courier New" w:hAnsi="Courier New"/>
                <w:sz w:val="18"/>
                <w:szCs w:val="18"/>
                <w:color w:val="auto"/>
              </w:rPr>
              <w:t>4,006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loss of</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unconsolidated affiliate</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gain on involuntary conversion</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gridSpan w:val="2"/>
          </w:tcPr>
          <w:p>
            <w:pPr>
              <w:jc w:val="right"/>
              <w:ind w:right="472"/>
              <w:spacing w:after="0" w:line="203" w:lineRule="exact"/>
              <w:rPr>
                <w:sz w:val="20"/>
                <w:szCs w:val="20"/>
                <w:color w:val="auto"/>
              </w:rPr>
            </w:pPr>
            <w:r>
              <w:rPr>
                <w:rFonts w:ascii="Courier New" w:cs="Courier New" w:eastAsia="Courier New" w:hAnsi="Courier New"/>
                <w:sz w:val="18"/>
                <w:szCs w:val="18"/>
                <w:color w:val="auto"/>
              </w:rPr>
              <w:t>(3,901)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gain on purchase of minority interest</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(5,904)</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(5,904)</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9,558</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(1,347)</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22,899</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w w:val="95"/>
              </w:rPr>
              <w:t>10,607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1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w:t>
            </w:r>
          </w:p>
        </w:tc>
        <w:tc>
          <w:tcPr>
            <w:tcW w:w="64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(786)</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6,457</w:t>
            </w:r>
          </w:p>
        </w:tc>
        <w:tc>
          <w:tcPr>
            <w:tcW w:w="52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Courier New" w:cs="Courier New" w:eastAsia="Courier New" w:hAnsi="Courier New"/>
                <w:sz w:val="18"/>
                <w:szCs w:val="18"/>
                <w:color w:val="auto"/>
              </w:rPr>
              <w:t>4,094</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2,778</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1,753</w:t>
            </w:r>
          </w:p>
        </w:tc>
      </w:tr>
      <w:tr>
        <w:trPr>
          <w:trHeight w:val="203"/>
        </w:trPr>
        <w:tc>
          <w:tcPr>
            <w:tcW w:w="4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7,289</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(1,035)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13,664</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4,760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principle, net of income</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tax benefit of $112</w:t>
            </w:r>
          </w:p>
        </w:tc>
        <w:tc>
          <w:tcPr>
            <w:tcW w:w="1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7,289</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(1,035)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$ 13,664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4,662</w:t>
            </w:r>
          </w:p>
        </w:tc>
      </w:tr>
      <w:tr>
        <w:trPr>
          <w:trHeight w:val="203"/>
        </w:trPr>
        <w:tc>
          <w:tcPr>
            <w:tcW w:w="4440" w:type="dxa"/>
            <w:vAlign w:val="bottom"/>
          </w:tcPr>
          <w:p>
            <w:pPr>
              <w:spacing w:after="0"/>
              <w:rPr>
                <w:sz w:val="17"/>
                <w:szCs w:val="17"/>
                <w:color w:val="auto"/>
              </w:rPr>
            </w:pPr>
          </w:p>
        </w:tc>
        <w:tc>
          <w:tcPr>
            <w:tcW w:w="3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Diluted income (loss) per common share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0.46</w:t>
            </w:r>
          </w:p>
        </w:tc>
        <w:tc>
          <w:tcPr>
            <w:tcW w:w="6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(0.07)</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0.87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472"/>
              <w:spacing w:after="0"/>
              <w:rPr>
                <w:sz w:val="20"/>
                <w:szCs w:val="20"/>
                <w:color w:val="auto"/>
              </w:rPr>
            </w:pPr>
            <w:r>
              <w:rPr>
                <w:rFonts w:ascii="Courier New" w:cs="Courier New" w:eastAsia="Courier New" w:hAnsi="Courier New"/>
                <w:sz w:val="18"/>
                <w:szCs w:val="18"/>
                <w:color w:val="auto"/>
              </w:rPr>
              <w:t>0.30</w:t>
            </w:r>
          </w:p>
        </w:tc>
      </w:tr>
      <w:tr>
        <w:trPr>
          <w:trHeight w:val="203"/>
        </w:trPr>
        <w:tc>
          <w:tcPr>
            <w:tcW w:w="4440" w:type="dxa"/>
            <w:vAlign w:val="bottom"/>
          </w:tcPr>
          <w:p>
            <w:pPr>
              <w:spacing w:after="0"/>
              <w:rPr>
                <w:sz w:val="17"/>
                <w:szCs w:val="17"/>
                <w:color w:val="auto"/>
              </w:rPr>
            </w:pPr>
          </w:p>
        </w:tc>
        <w:tc>
          <w:tcPr>
            <w:tcW w:w="3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diluted shares</w:t>
            </w:r>
          </w:p>
        </w:tc>
        <w:tc>
          <w:tcPr>
            <w:tcW w:w="11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15,709</w:t>
            </w:r>
          </w:p>
        </w:tc>
        <w:tc>
          <w:tcPr>
            <w:tcW w:w="64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15,679</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15,714</w:t>
            </w:r>
          </w:p>
        </w:tc>
        <w:tc>
          <w:tcPr>
            <w:tcW w:w="52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Courier New" w:cs="Courier New" w:eastAsia="Courier New" w:hAnsi="Courier New"/>
                <w:sz w:val="18"/>
                <w:szCs w:val="18"/>
                <w:color w:val="auto"/>
                <w:w w:val="95"/>
              </w:rPr>
              <w:t>15,540</w:t>
            </w:r>
          </w:p>
        </w:tc>
      </w:tr>
      <w:tr>
        <w:trPr>
          <w:trHeight w:val="203"/>
        </w:trPr>
        <w:tc>
          <w:tcPr>
            <w:tcW w:w="4440" w:type="dxa"/>
            <w:vAlign w:val="bottom"/>
          </w:tcPr>
          <w:p>
            <w:pPr>
              <w:spacing w:after="0"/>
              <w:rPr>
                <w:sz w:val="17"/>
                <w:szCs w:val="17"/>
                <w:color w:val="auto"/>
              </w:rPr>
            </w:pPr>
          </w:p>
        </w:tc>
        <w:tc>
          <w:tcPr>
            <w:tcW w:w="3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46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r>
      <w:tr>
        <w:trPr>
          <w:trHeight w:val="387"/>
        </w:trPr>
        <w:tc>
          <w:tcPr>
            <w:tcW w:w="4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6" w:right="239" w:bottom="0" w:gutter="0" w:footer="0" w:header="0"/>
        </w:sectPr>
      </w:pPr>
    </w:p>
    <w:bookmarkStart w:id="5" w:name="page6"/>
    <w:bookmarkEnd w:id="5"/>
    <w:p>
      <w:pPr>
        <w:jc w:val="center"/>
        <w:ind w:right="1139"/>
        <w:spacing w:after="0"/>
        <w:rPr>
          <w:sz w:val="20"/>
          <w:szCs w:val="20"/>
          <w:color w:val="auto"/>
        </w:rPr>
      </w:pPr>
      <w:r>
        <w:rPr>
          <w:rFonts w:ascii="Courier New" w:cs="Courier New" w:eastAsia="Courier New" w:hAnsi="Courier New"/>
          <w:sz w:val="18"/>
          <w:szCs w:val="18"/>
          <w:b w:val="1"/>
          <w:bCs w:val="1"/>
          <w:color w:val="auto"/>
        </w:rPr>
        <w:t>NN, Inc.</w:t>
      </w:r>
    </w:p>
    <w:p>
      <w:pPr>
        <w:jc w:val="center"/>
        <w:ind w:right="1139"/>
        <w:spacing w:after="0" w:line="238" w:lineRule="auto"/>
        <w:rPr>
          <w:sz w:val="20"/>
          <w:szCs w:val="20"/>
          <w:color w:val="auto"/>
        </w:rPr>
      </w:pPr>
      <w:r>
        <w:rPr>
          <w:rFonts w:ascii="Courier New" w:cs="Courier New" w:eastAsia="Courier New" w:hAnsi="Courier New"/>
          <w:sz w:val="18"/>
          <w:szCs w:val="18"/>
          <w:b w:val="1"/>
          <w:bCs w:val="1"/>
          <w:color w:val="auto"/>
        </w:rPr>
        <w:t>Condensed Balance Sheets</w:t>
      </w:r>
    </w:p>
    <w:p>
      <w:pPr>
        <w:jc w:val="center"/>
        <w:ind w:right="1139"/>
        <w:spacing w:after="0"/>
        <w:rPr>
          <w:sz w:val="20"/>
          <w:szCs w:val="20"/>
          <w:color w:val="auto"/>
        </w:rPr>
      </w:pPr>
      <w:r>
        <w:rPr>
          <w:rFonts w:ascii="Courier New" w:cs="Courier New" w:eastAsia="Courier New" w:hAnsi="Courier New"/>
          <w:sz w:val="18"/>
          <w:szCs w:val="18"/>
          <w:b w:val="1"/>
          <w:bCs w:val="1"/>
          <w:color w:val="auto"/>
        </w:rPr>
        <w:t>(In Thousands)</w:t>
      </w:r>
    </w:p>
    <w:tbl>
      <w:tblPr>
        <w:tblLayout w:type="fixed"/>
        <w:tblInd w:w="0" w:type="dxa"/>
        <w:tblCellMar>
          <w:top w:w="0" w:type="dxa"/>
          <w:left w:w="0" w:type="dxa"/>
          <w:bottom w:w="0" w:type="dxa"/>
          <w:right w:w="0" w:type="dxa"/>
        </w:tblCellMar>
      </w:tblPr>
      <w:tr>
        <w:trPr>
          <w:trHeight w:val="202"/>
        </w:trPr>
        <w:tc>
          <w:tcPr>
            <w:tcW w:w="5380" w:type="dxa"/>
            <w:vAlign w:val="bottom"/>
          </w:tcPr>
          <w:p>
            <w:pPr>
              <w:ind w:left="4020"/>
              <w:spacing w:after="0" w:line="202" w:lineRule="exact"/>
              <w:rPr>
                <w:sz w:val="20"/>
                <w:szCs w:val="20"/>
                <w:color w:val="auto"/>
              </w:rPr>
            </w:pPr>
            <w:r>
              <w:rPr>
                <w:rFonts w:ascii="Courier New" w:cs="Courier New" w:eastAsia="Courier New" w:hAnsi="Courier New"/>
                <w:sz w:val="18"/>
                <w:szCs w:val="18"/>
                <w:b w:val="1"/>
                <w:bCs w:val="1"/>
                <w:color w:val="auto"/>
              </w:rPr>
              <w:t>(Unaudited)</w:t>
            </w: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10"/>
        </w:trPr>
        <w:tc>
          <w:tcPr>
            <w:tcW w:w="5380" w:type="dxa"/>
            <w:vAlign w:val="bottom"/>
          </w:tcPr>
          <w:p>
            <w:pPr>
              <w:spacing w:after="0"/>
              <w:rPr>
                <w:sz w:val="24"/>
                <w:szCs w:val="24"/>
                <w:color w:val="auto"/>
              </w:rPr>
            </w:pP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b w:val="1"/>
                <w:bCs w:val="1"/>
                <w:color w:val="auto"/>
              </w:rPr>
              <w:t>December 31,</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b w:val="1"/>
                <w:bCs w:val="1"/>
                <w:color w:val="auto"/>
              </w:rPr>
              <w:t>December 31,</w:t>
            </w:r>
          </w:p>
        </w:tc>
      </w:tr>
      <w:tr>
        <w:trPr>
          <w:trHeight w:val="203"/>
        </w:trPr>
        <w:tc>
          <w:tcPr>
            <w:tcW w:w="5380" w:type="dxa"/>
            <w:vAlign w:val="bottom"/>
          </w:tcPr>
          <w:p>
            <w:pPr>
              <w:spacing w:after="0"/>
              <w:rPr>
                <w:sz w:val="17"/>
                <w:szCs w:val="17"/>
                <w:color w:val="auto"/>
              </w:rPr>
            </w:pPr>
          </w:p>
        </w:tc>
        <w:tc>
          <w:tcPr>
            <w:tcW w:w="2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8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b w:val="1"/>
                <w:bCs w:val="1"/>
                <w:color w:val="auto"/>
              </w:rPr>
              <w:t>2001</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Assets</w:t>
            </w: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$ 5,144</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$ 3,024</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28,966</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24,832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23,402</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23,418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4,359</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4,343</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61,871</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55,617</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88,199</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82,770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2,213</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42,166</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40,282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4,016</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5,118</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$ 198,465</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$ 188,135</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b w:val="1"/>
                <w:bCs w:val="1"/>
                <w:color w:val="auto"/>
              </w:rPr>
              <w:t>Liabilities and Stockholders' Equity</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$23,020</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$15,693</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6,354</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3,813</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long-term notes payable</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2,675</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3,237</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40,235</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33,397</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19,706</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30,932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9,791</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6,499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46,135</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47,661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9,319</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7,607</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125,186</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126,096</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Total stockholders' equity</w:t>
            </w:r>
          </w:p>
        </w:tc>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73,279</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62,039</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$ 198,465</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$ 188,135</w:t>
            </w:r>
          </w:p>
        </w:tc>
      </w:tr>
      <w:tr>
        <w:trPr>
          <w:trHeight w:val="203"/>
        </w:trPr>
        <w:tc>
          <w:tcPr>
            <w:tcW w:w="538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2019-12-14T02:36:04Z</dcterms:created>
  <dcterms:modified xsi:type="dcterms:W3CDTF">2019-12-14T02:36:04Z</dcterms:modified>
</cp:coreProperties>
</file>