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ind w:left="160" w:hanging="158"/>
        <w:spacing w:after="0"/>
        <w:tabs>
          <w:tab w:leader="none" w:pos="160" w:val="left"/>
        </w:tabs>
        <w:numPr>
          <w:ilvl w:val="0"/>
          <w:numId w:val="1"/>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w:t>
      </w:r>
    </w:p>
    <w:p>
      <w:pPr>
        <w:spacing w:after="0" w:line="6" w:lineRule="exact"/>
        <w:rPr>
          <w:rFonts w:ascii="Courier New" w:cs="Courier New" w:eastAsia="Courier New" w:hAnsi="Courier New"/>
          <w:sz w:val="13"/>
          <w:szCs w:val="13"/>
          <w:b w:val="1"/>
          <w:bCs w:val="1"/>
          <w:color w:val="auto"/>
        </w:rPr>
      </w:pPr>
    </w:p>
    <w:p>
      <w:pPr>
        <w:ind w:left="184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SECURITIES AND EXCHANGE COMMISSION</w:t>
      </w:r>
    </w:p>
    <w:p>
      <w:pPr>
        <w:spacing w:after="0" w:line="6" w:lineRule="exact"/>
        <w:rPr>
          <w:rFonts w:ascii="Courier New" w:cs="Courier New" w:eastAsia="Courier New" w:hAnsi="Courier New"/>
          <w:sz w:val="13"/>
          <w:szCs w:val="13"/>
          <w:b w:val="1"/>
          <w:bCs w:val="1"/>
          <w:color w:val="auto"/>
        </w:rPr>
      </w:pPr>
    </w:p>
    <w:p>
      <w:pPr>
        <w:ind w:left="232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Washington, D.C. 20549</w:t>
      </w:r>
    </w:p>
    <w:p>
      <w:pPr>
        <w:spacing w:after="0" w:line="6" w:lineRule="exact"/>
        <w:rPr>
          <w:rFonts w:ascii="Courier New" w:cs="Courier New" w:eastAsia="Courier New" w:hAnsi="Courier New"/>
          <w:sz w:val="13"/>
          <w:szCs w:val="13"/>
          <w:b w:val="1"/>
          <w:bCs w:val="1"/>
          <w:color w:val="auto"/>
        </w:rPr>
      </w:pPr>
    </w:p>
    <w:p>
      <w:pPr>
        <w:ind w:left="240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____________________</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3740" w:type="dxa"/>
            <w:vAlign w:val="bottom"/>
            <w:gridSpan w:val="2"/>
          </w:tcPr>
          <w:p>
            <w:pPr>
              <w:jc w:val="center"/>
              <w:ind w:left="2133"/>
              <w:spacing w:after="0"/>
              <w:rPr>
                <w:sz w:val="20"/>
                <w:szCs w:val="20"/>
                <w:color w:val="auto"/>
              </w:rPr>
            </w:pPr>
            <w:r>
              <w:rPr>
                <w:rFonts w:ascii="Courier New" w:cs="Courier New" w:eastAsia="Courier New" w:hAnsi="Courier New"/>
                <w:sz w:val="13"/>
                <w:szCs w:val="13"/>
                <w:b w:val="1"/>
                <w:bCs w:val="1"/>
                <w:color w:val="auto"/>
              </w:rPr>
              <w:t>FORM 10-K/A</w:t>
            </w: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308"/>
        </w:trPr>
        <w:tc>
          <w:tcPr>
            <w:tcW w:w="280" w:type="dxa"/>
            <w:vAlign w:val="bottom"/>
          </w:tcPr>
          <w:p>
            <w:pPr>
              <w:spacing w:after="0"/>
              <w:rPr>
                <w:sz w:val="20"/>
                <w:szCs w:val="20"/>
                <w:color w:val="auto"/>
              </w:rPr>
            </w:pPr>
            <w:r>
              <w:rPr>
                <w:rFonts w:ascii="Courier New" w:cs="Courier New" w:eastAsia="Courier New" w:hAnsi="Courier New"/>
                <w:sz w:val="13"/>
                <w:szCs w:val="13"/>
                <w:b w:val="1"/>
                <w:bCs w:val="1"/>
                <w:color w:val="auto"/>
              </w:rPr>
              <w:t>|X|</w:t>
            </w:r>
          </w:p>
        </w:tc>
        <w:tc>
          <w:tcPr>
            <w:tcW w:w="5660" w:type="dxa"/>
            <w:vAlign w:val="bottom"/>
            <w:gridSpan w:val="4"/>
          </w:tcPr>
          <w:p>
            <w:pPr>
              <w:ind w:left="440"/>
              <w:spacing w:after="0"/>
              <w:rPr>
                <w:sz w:val="20"/>
                <w:szCs w:val="20"/>
                <w:color w:val="auto"/>
              </w:rPr>
            </w:pPr>
            <w:r>
              <w:rPr>
                <w:rFonts w:ascii="Courier New" w:cs="Courier New" w:eastAsia="Courier New" w:hAnsi="Courier New"/>
                <w:sz w:val="13"/>
                <w:szCs w:val="13"/>
                <w:b w:val="1"/>
                <w:bCs w:val="1"/>
                <w:color w:val="auto"/>
              </w:rPr>
              <w:t>ANNUAL REPORT PURSUANT TO SECTION 13 OR 15(d) OF THE</w:t>
            </w:r>
          </w:p>
        </w:tc>
      </w:tr>
      <w:tr>
        <w:trPr>
          <w:trHeight w:val="154"/>
        </w:trPr>
        <w:tc>
          <w:tcPr>
            <w:tcW w:w="280" w:type="dxa"/>
            <w:vAlign w:val="bottom"/>
          </w:tcPr>
          <w:p>
            <w:pPr>
              <w:spacing w:after="0"/>
              <w:rPr>
                <w:sz w:val="13"/>
                <w:szCs w:val="13"/>
                <w:color w:val="auto"/>
              </w:rPr>
            </w:pPr>
          </w:p>
        </w:tc>
        <w:tc>
          <w:tcPr>
            <w:tcW w:w="3740" w:type="dxa"/>
            <w:vAlign w:val="bottom"/>
            <w:gridSpan w:val="2"/>
          </w:tcPr>
          <w:p>
            <w:pPr>
              <w:ind w:left="440"/>
              <w:spacing w:after="0"/>
              <w:rPr>
                <w:sz w:val="20"/>
                <w:szCs w:val="20"/>
                <w:color w:val="auto"/>
              </w:rPr>
            </w:pPr>
            <w:r>
              <w:rPr>
                <w:rFonts w:ascii="Courier New" w:cs="Courier New" w:eastAsia="Courier New" w:hAnsi="Courier New"/>
                <w:sz w:val="13"/>
                <w:szCs w:val="13"/>
                <w:b w:val="1"/>
                <w:bCs w:val="1"/>
                <w:color w:val="auto"/>
              </w:rPr>
              <w:t>SECURITIES EXCHANGE ACT OF 1934</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8"/>
        </w:trPr>
        <w:tc>
          <w:tcPr>
            <w:tcW w:w="280" w:type="dxa"/>
            <w:vAlign w:val="bottom"/>
          </w:tcPr>
          <w:p>
            <w:pPr>
              <w:spacing w:after="0"/>
              <w:rPr>
                <w:sz w:val="24"/>
                <w:szCs w:val="24"/>
                <w:color w:val="auto"/>
              </w:rPr>
            </w:pPr>
          </w:p>
        </w:tc>
        <w:tc>
          <w:tcPr>
            <w:tcW w:w="5660" w:type="dxa"/>
            <w:vAlign w:val="bottom"/>
            <w:gridSpan w:val="4"/>
          </w:tcPr>
          <w:p>
            <w:pPr>
              <w:jc w:val="center"/>
              <w:ind w:left="213"/>
              <w:spacing w:after="0"/>
              <w:rPr>
                <w:sz w:val="20"/>
                <w:szCs w:val="20"/>
                <w:color w:val="auto"/>
              </w:rPr>
            </w:pPr>
            <w:r>
              <w:rPr>
                <w:rFonts w:ascii="Courier New" w:cs="Courier New" w:eastAsia="Courier New" w:hAnsi="Courier New"/>
                <w:sz w:val="13"/>
                <w:szCs w:val="13"/>
                <w:b w:val="1"/>
                <w:bCs w:val="1"/>
                <w:color w:val="auto"/>
              </w:rPr>
              <w:t>For the fiscal year ended December 31, 2002</w:t>
            </w:r>
          </w:p>
        </w:tc>
      </w:tr>
      <w:tr>
        <w:trPr>
          <w:trHeight w:val="154"/>
        </w:trPr>
        <w:tc>
          <w:tcPr>
            <w:tcW w:w="280" w:type="dxa"/>
            <w:vAlign w:val="bottom"/>
          </w:tcPr>
          <w:p>
            <w:pPr>
              <w:spacing w:after="0"/>
              <w:rPr>
                <w:sz w:val="13"/>
                <w:szCs w:val="13"/>
                <w:color w:val="auto"/>
              </w:rPr>
            </w:pPr>
          </w:p>
        </w:tc>
        <w:tc>
          <w:tcPr>
            <w:tcW w:w="3740" w:type="dxa"/>
            <w:vAlign w:val="bottom"/>
            <w:gridSpan w:val="2"/>
          </w:tcPr>
          <w:p>
            <w:pPr>
              <w:jc w:val="center"/>
              <w:ind w:left="2053"/>
              <w:spacing w:after="0"/>
              <w:rPr>
                <w:sz w:val="20"/>
                <w:szCs w:val="20"/>
                <w:color w:val="auto"/>
              </w:rPr>
            </w:pPr>
            <w:r>
              <w:rPr>
                <w:rFonts w:ascii="Courier New" w:cs="Courier New" w:eastAsia="Courier New" w:hAnsi="Courier New"/>
                <w:sz w:val="13"/>
                <w:szCs w:val="13"/>
                <w:b w:val="1"/>
                <w:bCs w:val="1"/>
                <w:color w:val="auto"/>
              </w:rPr>
              <w:t>OR</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280" w:type="dxa"/>
            <w:vAlign w:val="bottom"/>
          </w:tcPr>
          <w:p>
            <w:pPr>
              <w:spacing w:after="0"/>
              <w:rPr>
                <w:sz w:val="20"/>
                <w:szCs w:val="20"/>
                <w:color w:val="auto"/>
              </w:rPr>
            </w:pPr>
            <w:r>
              <w:rPr>
                <w:rFonts w:ascii="Courier New" w:cs="Courier New" w:eastAsia="Courier New" w:hAnsi="Courier New"/>
                <w:sz w:val="13"/>
                <w:szCs w:val="13"/>
                <w:b w:val="1"/>
                <w:bCs w:val="1"/>
                <w:color w:val="auto"/>
              </w:rPr>
              <w:t>|_|</w:t>
            </w:r>
          </w:p>
        </w:tc>
        <w:tc>
          <w:tcPr>
            <w:tcW w:w="5660" w:type="dxa"/>
            <w:vAlign w:val="bottom"/>
            <w:gridSpan w:val="4"/>
          </w:tcPr>
          <w:p>
            <w:pPr>
              <w:ind w:left="440"/>
              <w:spacing w:after="0"/>
              <w:rPr>
                <w:sz w:val="20"/>
                <w:szCs w:val="20"/>
                <w:color w:val="auto"/>
              </w:rPr>
            </w:pPr>
            <w:r>
              <w:rPr>
                <w:rFonts w:ascii="Courier New" w:cs="Courier New" w:eastAsia="Courier New" w:hAnsi="Courier New"/>
                <w:sz w:val="13"/>
                <w:szCs w:val="13"/>
                <w:b w:val="1"/>
                <w:bCs w:val="1"/>
                <w:color w:val="auto"/>
              </w:rPr>
              <w:t>TRANSITION REPORT PURSUANT TO SECTION 13 OR 15(d) OF THE</w:t>
            </w:r>
          </w:p>
        </w:tc>
      </w:tr>
      <w:tr>
        <w:trPr>
          <w:trHeight w:val="154"/>
        </w:trPr>
        <w:tc>
          <w:tcPr>
            <w:tcW w:w="280" w:type="dxa"/>
            <w:vAlign w:val="bottom"/>
          </w:tcPr>
          <w:p>
            <w:pPr>
              <w:spacing w:after="0"/>
              <w:rPr>
                <w:sz w:val="13"/>
                <w:szCs w:val="13"/>
                <w:color w:val="auto"/>
              </w:rPr>
            </w:pPr>
          </w:p>
        </w:tc>
        <w:tc>
          <w:tcPr>
            <w:tcW w:w="3740" w:type="dxa"/>
            <w:vAlign w:val="bottom"/>
            <w:gridSpan w:val="2"/>
          </w:tcPr>
          <w:p>
            <w:pPr>
              <w:ind w:left="440"/>
              <w:spacing w:after="0"/>
              <w:rPr>
                <w:sz w:val="20"/>
                <w:szCs w:val="20"/>
                <w:color w:val="auto"/>
              </w:rPr>
            </w:pPr>
            <w:r>
              <w:rPr>
                <w:rFonts w:ascii="Courier New" w:cs="Courier New" w:eastAsia="Courier New" w:hAnsi="Courier New"/>
                <w:sz w:val="13"/>
                <w:szCs w:val="13"/>
                <w:b w:val="1"/>
                <w:bCs w:val="1"/>
                <w:color w:val="auto"/>
              </w:rPr>
              <w:t>SECURITIES EXCHANGE ACT OF 1934</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280" w:type="dxa"/>
            <w:vAlign w:val="bottom"/>
          </w:tcPr>
          <w:p>
            <w:pPr>
              <w:spacing w:after="0"/>
              <w:rPr>
                <w:sz w:val="13"/>
                <w:szCs w:val="13"/>
                <w:color w:val="auto"/>
              </w:rPr>
            </w:pPr>
          </w:p>
        </w:tc>
        <w:tc>
          <w:tcPr>
            <w:tcW w:w="5660" w:type="dxa"/>
            <w:vAlign w:val="bottom"/>
            <w:gridSpan w:val="4"/>
          </w:tcPr>
          <w:p>
            <w:pPr>
              <w:jc w:val="center"/>
              <w:ind w:left="213"/>
              <w:spacing w:after="0"/>
              <w:rPr>
                <w:sz w:val="20"/>
                <w:szCs w:val="20"/>
                <w:color w:val="auto"/>
              </w:rPr>
            </w:pPr>
            <w:r>
              <w:rPr>
                <w:rFonts w:ascii="Courier New" w:cs="Courier New" w:eastAsia="Courier New" w:hAnsi="Courier New"/>
                <w:sz w:val="13"/>
                <w:szCs w:val="13"/>
                <w:b w:val="1"/>
                <w:bCs w:val="1"/>
                <w:color w:val="auto"/>
              </w:rPr>
              <w:t>For the transition period from to</w:t>
            </w:r>
          </w:p>
        </w:tc>
      </w:tr>
      <w:tr>
        <w:trPr>
          <w:trHeight w:val="281"/>
        </w:trPr>
        <w:tc>
          <w:tcPr>
            <w:tcW w:w="280" w:type="dxa"/>
            <w:vAlign w:val="bottom"/>
          </w:tcPr>
          <w:p>
            <w:pPr>
              <w:spacing w:after="0"/>
              <w:rPr>
                <w:sz w:val="24"/>
                <w:szCs w:val="24"/>
                <w:color w:val="auto"/>
              </w:rPr>
            </w:pPr>
          </w:p>
        </w:tc>
        <w:tc>
          <w:tcPr>
            <w:tcW w:w="5660" w:type="dxa"/>
            <w:vAlign w:val="bottom"/>
            <w:gridSpan w:val="4"/>
          </w:tcPr>
          <w:p>
            <w:pPr>
              <w:jc w:val="center"/>
              <w:ind w:left="133"/>
              <w:spacing w:after="0"/>
              <w:rPr>
                <w:sz w:val="20"/>
                <w:szCs w:val="20"/>
                <w:color w:val="auto"/>
              </w:rPr>
            </w:pPr>
            <w:r>
              <w:rPr>
                <w:rFonts w:ascii="Courier New" w:cs="Courier New" w:eastAsia="Courier New" w:hAnsi="Courier New"/>
                <w:sz w:val="13"/>
                <w:szCs w:val="13"/>
                <w:b w:val="1"/>
                <w:bCs w:val="1"/>
                <w:color w:val="auto"/>
              </w:rPr>
              <w:t>Commission file number 0-23486</w:t>
            </w:r>
          </w:p>
        </w:tc>
      </w:tr>
      <w:tr>
        <w:trPr>
          <w:trHeight w:val="20"/>
        </w:trPr>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2"/>
        </w:trPr>
        <w:tc>
          <w:tcPr>
            <w:tcW w:w="280" w:type="dxa"/>
            <w:vAlign w:val="bottom"/>
          </w:tcPr>
          <w:p>
            <w:pPr>
              <w:spacing w:after="0"/>
              <w:rPr>
                <w:sz w:val="14"/>
                <w:szCs w:val="14"/>
                <w:color w:val="auto"/>
              </w:rPr>
            </w:pPr>
          </w:p>
        </w:tc>
        <w:tc>
          <w:tcPr>
            <w:tcW w:w="3740" w:type="dxa"/>
            <w:vAlign w:val="bottom"/>
            <w:gridSpan w:val="2"/>
          </w:tcPr>
          <w:p>
            <w:pPr>
              <w:jc w:val="center"/>
              <w:ind w:left="2053"/>
              <w:spacing w:after="0"/>
              <w:rPr>
                <w:sz w:val="20"/>
                <w:szCs w:val="20"/>
                <w:color w:val="auto"/>
              </w:rPr>
            </w:pPr>
            <w:r>
              <w:rPr>
                <w:rFonts w:ascii="Courier New" w:cs="Courier New" w:eastAsia="Courier New" w:hAnsi="Courier New"/>
                <w:sz w:val="13"/>
                <w:szCs w:val="13"/>
                <w:b w:val="1"/>
                <w:bCs w:val="1"/>
                <w:color w:val="auto"/>
              </w:rPr>
              <w:t>____________________</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08"/>
        </w:trPr>
        <w:tc>
          <w:tcPr>
            <w:tcW w:w="280" w:type="dxa"/>
            <w:vAlign w:val="bottom"/>
          </w:tcPr>
          <w:p>
            <w:pPr>
              <w:spacing w:after="0"/>
              <w:rPr>
                <w:sz w:val="24"/>
                <w:szCs w:val="24"/>
                <w:color w:val="auto"/>
              </w:rPr>
            </w:pPr>
          </w:p>
        </w:tc>
        <w:tc>
          <w:tcPr>
            <w:tcW w:w="3740" w:type="dxa"/>
            <w:vAlign w:val="bottom"/>
            <w:gridSpan w:val="2"/>
          </w:tcPr>
          <w:p>
            <w:pPr>
              <w:jc w:val="center"/>
              <w:ind w:left="2053"/>
              <w:spacing w:after="0"/>
              <w:rPr>
                <w:sz w:val="20"/>
                <w:szCs w:val="20"/>
                <w:color w:val="auto"/>
              </w:rPr>
            </w:pPr>
            <w:r>
              <w:rPr>
                <w:rFonts w:ascii="Courier New" w:cs="Courier New" w:eastAsia="Courier New" w:hAnsi="Courier New"/>
                <w:sz w:val="13"/>
                <w:szCs w:val="13"/>
                <w:b w:val="1"/>
                <w:bCs w:val="1"/>
                <w:color w:val="auto"/>
              </w:rPr>
              <w:t>NN, INC.</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54"/>
        </w:trPr>
        <w:tc>
          <w:tcPr>
            <w:tcW w:w="280" w:type="dxa"/>
            <w:vAlign w:val="bottom"/>
          </w:tcPr>
          <w:p>
            <w:pPr>
              <w:spacing w:after="0"/>
              <w:rPr>
                <w:sz w:val="13"/>
                <w:szCs w:val="13"/>
                <w:color w:val="auto"/>
              </w:rPr>
            </w:pPr>
          </w:p>
        </w:tc>
        <w:tc>
          <w:tcPr>
            <w:tcW w:w="5660" w:type="dxa"/>
            <w:vAlign w:val="bottom"/>
            <w:gridSpan w:val="4"/>
          </w:tcPr>
          <w:p>
            <w:pPr>
              <w:jc w:val="center"/>
              <w:ind w:left="133"/>
              <w:spacing w:after="0"/>
              <w:rPr>
                <w:sz w:val="20"/>
                <w:szCs w:val="20"/>
                <w:color w:val="auto"/>
              </w:rPr>
            </w:pPr>
            <w:r>
              <w:rPr>
                <w:rFonts w:ascii="Courier New" w:cs="Courier New" w:eastAsia="Courier New" w:hAnsi="Courier New"/>
                <w:sz w:val="13"/>
                <w:szCs w:val="13"/>
                <w:b w:val="1"/>
                <w:bCs w:val="1"/>
                <w:color w:val="auto"/>
              </w:rPr>
              <w:t>(Exact name of registrant as specified in its charter)</w:t>
            </w:r>
          </w:p>
        </w:tc>
      </w:tr>
      <w:tr>
        <w:trPr>
          <w:trHeight w:val="154"/>
        </w:trPr>
        <w:tc>
          <w:tcPr>
            <w:tcW w:w="280" w:type="dxa"/>
            <w:vAlign w:val="bottom"/>
          </w:tcPr>
          <w:p>
            <w:pPr>
              <w:spacing w:after="0"/>
              <w:rPr>
                <w:sz w:val="13"/>
                <w:szCs w:val="13"/>
                <w:color w:val="auto"/>
              </w:rPr>
            </w:pPr>
          </w:p>
        </w:tc>
        <w:tc>
          <w:tcPr>
            <w:tcW w:w="3740" w:type="dxa"/>
            <w:vAlign w:val="bottom"/>
            <w:gridSpan w:val="2"/>
          </w:tcPr>
          <w:p>
            <w:pPr>
              <w:ind w:left="600"/>
              <w:spacing w:after="0"/>
              <w:rPr>
                <w:sz w:val="20"/>
                <w:szCs w:val="20"/>
                <w:color w:val="auto"/>
              </w:rPr>
            </w:pPr>
            <w:r>
              <w:rPr>
                <w:rFonts w:ascii="Courier New" w:cs="Courier New" w:eastAsia="Courier New" w:hAnsi="Courier New"/>
                <w:sz w:val="13"/>
                <w:szCs w:val="13"/>
                <w:b w:val="1"/>
                <w:bCs w:val="1"/>
                <w:color w:val="auto"/>
              </w:rPr>
              <w:t>Delaware</w:t>
            </w:r>
          </w:p>
        </w:tc>
        <w:tc>
          <w:tcPr>
            <w:tcW w:w="1920" w:type="dxa"/>
            <w:vAlign w:val="bottom"/>
            <w:gridSpan w:val="2"/>
          </w:tcPr>
          <w:p>
            <w:pPr>
              <w:jc w:val="center"/>
              <w:ind w:left="253"/>
              <w:spacing w:after="0"/>
              <w:rPr>
                <w:sz w:val="20"/>
                <w:szCs w:val="20"/>
                <w:color w:val="auto"/>
              </w:rPr>
            </w:pPr>
            <w:r>
              <w:rPr>
                <w:rFonts w:ascii="Courier New" w:cs="Courier New" w:eastAsia="Courier New" w:hAnsi="Courier New"/>
                <w:sz w:val="13"/>
                <w:szCs w:val="13"/>
                <w:b w:val="1"/>
                <w:bCs w:val="1"/>
                <w:color w:val="auto"/>
              </w:rPr>
              <w:t>62-1096725</w:t>
            </w:r>
          </w:p>
        </w:tc>
      </w:tr>
      <w:tr>
        <w:trPr>
          <w:trHeight w:val="154"/>
        </w:trPr>
        <w:tc>
          <w:tcPr>
            <w:tcW w:w="4020" w:type="dxa"/>
            <w:vAlign w:val="bottom"/>
            <w:gridSpan w:val="3"/>
          </w:tcPr>
          <w:p>
            <w:pPr>
              <w:spacing w:after="0"/>
              <w:rPr>
                <w:sz w:val="20"/>
                <w:szCs w:val="20"/>
                <w:color w:val="auto"/>
              </w:rPr>
            </w:pPr>
            <w:r>
              <w:rPr>
                <w:rFonts w:ascii="Courier New" w:cs="Courier New" w:eastAsia="Courier New" w:hAnsi="Courier New"/>
                <w:sz w:val="13"/>
                <w:szCs w:val="13"/>
                <w:color w:val="auto"/>
              </w:rPr>
              <w:t>(State or other jurisdiction of</w:t>
            </w:r>
          </w:p>
        </w:tc>
        <w:tc>
          <w:tcPr>
            <w:tcW w:w="400" w:type="dxa"/>
            <w:vAlign w:val="bottom"/>
          </w:tcPr>
          <w:p>
            <w:pPr>
              <w:spacing w:after="0"/>
              <w:rPr>
                <w:sz w:val="13"/>
                <w:szCs w:val="13"/>
                <w:color w:val="auto"/>
              </w:rPr>
            </w:pPr>
          </w:p>
        </w:tc>
        <w:tc>
          <w:tcPr>
            <w:tcW w:w="152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(I.R.S. Employer</w:t>
            </w:r>
          </w:p>
        </w:tc>
      </w:tr>
      <w:tr>
        <w:trPr>
          <w:trHeight w:val="154"/>
        </w:trPr>
        <w:tc>
          <w:tcPr>
            <w:tcW w:w="4020" w:type="dxa"/>
            <w:vAlign w:val="bottom"/>
            <w:gridSpan w:val="3"/>
          </w:tcPr>
          <w:p>
            <w:pPr>
              <w:spacing w:after="0"/>
              <w:rPr>
                <w:sz w:val="20"/>
                <w:szCs w:val="20"/>
                <w:color w:val="auto"/>
              </w:rPr>
            </w:pPr>
            <w:r>
              <w:rPr>
                <w:rFonts w:ascii="Courier New" w:cs="Courier New" w:eastAsia="Courier New" w:hAnsi="Courier New"/>
                <w:sz w:val="13"/>
                <w:szCs w:val="13"/>
                <w:color w:val="auto"/>
              </w:rPr>
              <w:t>incorporation or organization)</w:t>
            </w:r>
          </w:p>
        </w:tc>
        <w:tc>
          <w:tcPr>
            <w:tcW w:w="1920" w:type="dxa"/>
            <w:vAlign w:val="bottom"/>
            <w:gridSpan w:val="2"/>
          </w:tcPr>
          <w:p>
            <w:pPr>
              <w:jc w:val="center"/>
              <w:ind w:left="333"/>
              <w:spacing w:after="0"/>
              <w:rPr>
                <w:sz w:val="20"/>
                <w:szCs w:val="20"/>
                <w:color w:val="auto"/>
              </w:rPr>
            </w:pPr>
            <w:r>
              <w:rPr>
                <w:rFonts w:ascii="Courier New" w:cs="Courier New" w:eastAsia="Courier New" w:hAnsi="Courier New"/>
                <w:sz w:val="13"/>
                <w:szCs w:val="13"/>
                <w:color w:val="auto"/>
              </w:rPr>
              <w:t>Identification No.)</w:t>
            </w:r>
          </w:p>
        </w:tc>
      </w:tr>
      <w:tr>
        <w:trPr>
          <w:trHeight w:val="308"/>
        </w:trPr>
        <w:tc>
          <w:tcPr>
            <w:tcW w:w="280" w:type="dxa"/>
            <w:vAlign w:val="bottom"/>
          </w:tcPr>
          <w:p>
            <w:pPr>
              <w:spacing w:after="0"/>
              <w:rPr>
                <w:sz w:val="24"/>
                <w:szCs w:val="24"/>
                <w:color w:val="auto"/>
              </w:rPr>
            </w:pPr>
          </w:p>
        </w:tc>
        <w:tc>
          <w:tcPr>
            <w:tcW w:w="3740" w:type="dxa"/>
            <w:vAlign w:val="bottom"/>
            <w:gridSpan w:val="2"/>
          </w:tcPr>
          <w:p>
            <w:pPr>
              <w:ind w:left="680"/>
              <w:spacing w:after="0"/>
              <w:rPr>
                <w:sz w:val="20"/>
                <w:szCs w:val="20"/>
                <w:color w:val="auto"/>
              </w:rPr>
            </w:pPr>
            <w:r>
              <w:rPr>
                <w:rFonts w:ascii="Courier New" w:cs="Courier New" w:eastAsia="Courier New" w:hAnsi="Courier New"/>
                <w:sz w:val="13"/>
                <w:szCs w:val="13"/>
                <w:b w:val="1"/>
                <w:bCs w:val="1"/>
                <w:color w:val="auto"/>
              </w:rPr>
              <w:t>2000 Waters Edge Drive</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54"/>
        </w:trPr>
        <w:tc>
          <w:tcPr>
            <w:tcW w:w="280" w:type="dxa"/>
            <w:vAlign w:val="bottom"/>
          </w:tcPr>
          <w:p>
            <w:pPr>
              <w:spacing w:after="0"/>
              <w:rPr>
                <w:sz w:val="13"/>
                <w:szCs w:val="13"/>
                <w:color w:val="auto"/>
              </w:rPr>
            </w:pPr>
          </w:p>
        </w:tc>
        <w:tc>
          <w:tcPr>
            <w:tcW w:w="3740" w:type="dxa"/>
            <w:vAlign w:val="bottom"/>
            <w:gridSpan w:val="2"/>
          </w:tcPr>
          <w:p>
            <w:pPr>
              <w:ind w:left="680"/>
              <w:spacing w:after="0"/>
              <w:rPr>
                <w:sz w:val="20"/>
                <w:szCs w:val="20"/>
                <w:color w:val="auto"/>
              </w:rPr>
            </w:pPr>
            <w:r>
              <w:rPr>
                <w:rFonts w:ascii="Courier New" w:cs="Courier New" w:eastAsia="Courier New" w:hAnsi="Courier New"/>
                <w:sz w:val="13"/>
                <w:szCs w:val="13"/>
                <w:b w:val="1"/>
                <w:bCs w:val="1"/>
                <w:color w:val="auto"/>
              </w:rPr>
              <w:t>Johnson City, Tennessee</w:t>
            </w:r>
          </w:p>
        </w:tc>
        <w:tc>
          <w:tcPr>
            <w:tcW w:w="1920" w:type="dxa"/>
            <w:vAlign w:val="bottom"/>
            <w:gridSpan w:val="2"/>
          </w:tcPr>
          <w:p>
            <w:pPr>
              <w:jc w:val="right"/>
              <w:ind w:right="493"/>
              <w:spacing w:after="0"/>
              <w:rPr>
                <w:sz w:val="20"/>
                <w:szCs w:val="20"/>
                <w:color w:val="auto"/>
              </w:rPr>
            </w:pPr>
            <w:r>
              <w:rPr>
                <w:rFonts w:ascii="Courier New" w:cs="Courier New" w:eastAsia="Courier New" w:hAnsi="Courier New"/>
                <w:sz w:val="13"/>
                <w:szCs w:val="13"/>
                <w:b w:val="1"/>
                <w:bCs w:val="1"/>
                <w:color w:val="auto"/>
              </w:rPr>
              <w:t>37604</w:t>
            </w:r>
          </w:p>
        </w:tc>
      </w:tr>
      <w:tr>
        <w:trPr>
          <w:trHeight w:val="154"/>
        </w:trPr>
        <w:tc>
          <w:tcPr>
            <w:tcW w:w="280" w:type="dxa"/>
            <w:vAlign w:val="bottom"/>
          </w:tcPr>
          <w:p>
            <w:pPr>
              <w:spacing w:after="0"/>
              <w:rPr>
                <w:sz w:val="13"/>
                <w:szCs w:val="13"/>
                <w:color w:val="auto"/>
              </w:rPr>
            </w:pPr>
          </w:p>
        </w:tc>
        <w:tc>
          <w:tcPr>
            <w:tcW w:w="37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(Address of principal executive offices)</w:t>
            </w:r>
          </w:p>
        </w:tc>
        <w:tc>
          <w:tcPr>
            <w:tcW w:w="400" w:type="dxa"/>
            <w:vAlign w:val="bottom"/>
          </w:tcPr>
          <w:p>
            <w:pPr>
              <w:spacing w:after="0"/>
              <w:rPr>
                <w:sz w:val="13"/>
                <w:szCs w:val="13"/>
                <w:color w:val="auto"/>
              </w:rPr>
            </w:pPr>
          </w:p>
        </w:tc>
        <w:tc>
          <w:tcPr>
            <w:tcW w:w="152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(Zip Code)</w:t>
            </w:r>
          </w:p>
        </w:tc>
      </w:tr>
      <w:tr>
        <w:trPr>
          <w:trHeight w:val="308"/>
        </w:trPr>
        <w:tc>
          <w:tcPr>
            <w:tcW w:w="280" w:type="dxa"/>
            <w:vAlign w:val="bottom"/>
          </w:tcPr>
          <w:p>
            <w:pPr>
              <w:spacing w:after="0"/>
              <w:rPr>
                <w:sz w:val="24"/>
                <w:szCs w:val="24"/>
                <w:color w:val="auto"/>
              </w:rPr>
            </w:pPr>
          </w:p>
        </w:tc>
        <w:tc>
          <w:tcPr>
            <w:tcW w:w="5660" w:type="dxa"/>
            <w:vAlign w:val="bottom"/>
            <w:gridSpan w:val="4"/>
          </w:tcPr>
          <w:p>
            <w:pPr>
              <w:jc w:val="center"/>
              <w:ind w:left="133"/>
              <w:spacing w:after="0"/>
              <w:rPr>
                <w:sz w:val="20"/>
                <w:szCs w:val="20"/>
                <w:color w:val="auto"/>
              </w:rPr>
            </w:pPr>
            <w:r>
              <w:rPr>
                <w:rFonts w:ascii="Courier New" w:cs="Courier New" w:eastAsia="Courier New" w:hAnsi="Courier New"/>
                <w:sz w:val="13"/>
                <w:szCs w:val="13"/>
                <w:color w:val="auto"/>
              </w:rPr>
              <w:t>Registrant's telephone number, including area code: (423) 743-9151</w:t>
            </w:r>
          </w:p>
        </w:tc>
      </w:tr>
      <w:tr>
        <w:trPr>
          <w:trHeight w:val="154"/>
        </w:trPr>
        <w:tc>
          <w:tcPr>
            <w:tcW w:w="280" w:type="dxa"/>
            <w:vAlign w:val="bottom"/>
          </w:tcPr>
          <w:p>
            <w:pPr>
              <w:spacing w:after="0"/>
              <w:rPr>
                <w:sz w:val="13"/>
                <w:szCs w:val="13"/>
                <w:color w:val="auto"/>
              </w:rPr>
            </w:pPr>
          </w:p>
        </w:tc>
        <w:tc>
          <w:tcPr>
            <w:tcW w:w="3740" w:type="dxa"/>
            <w:vAlign w:val="bottom"/>
            <w:gridSpan w:val="2"/>
          </w:tcPr>
          <w:p>
            <w:pPr>
              <w:jc w:val="center"/>
              <w:ind w:left="2053"/>
              <w:spacing w:after="0"/>
              <w:rPr>
                <w:sz w:val="20"/>
                <w:szCs w:val="20"/>
                <w:color w:val="auto"/>
              </w:rPr>
            </w:pPr>
            <w:r>
              <w:rPr>
                <w:rFonts w:ascii="Courier New" w:cs="Courier New" w:eastAsia="Courier New" w:hAnsi="Courier New"/>
                <w:sz w:val="13"/>
                <w:szCs w:val="13"/>
                <w:color w:val="auto"/>
              </w:rPr>
              <w:t>____________________</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8"/>
        </w:trPr>
        <w:tc>
          <w:tcPr>
            <w:tcW w:w="280" w:type="dxa"/>
            <w:vAlign w:val="bottom"/>
          </w:tcPr>
          <w:p>
            <w:pPr>
              <w:spacing w:after="0"/>
              <w:rPr>
                <w:sz w:val="24"/>
                <w:szCs w:val="24"/>
                <w:color w:val="auto"/>
              </w:rPr>
            </w:pPr>
          </w:p>
        </w:tc>
        <w:tc>
          <w:tcPr>
            <w:tcW w:w="5660" w:type="dxa"/>
            <w:vAlign w:val="bottom"/>
            <w:gridSpan w:val="4"/>
          </w:tcPr>
          <w:p>
            <w:pPr>
              <w:jc w:val="center"/>
              <w:ind w:left="213"/>
              <w:spacing w:after="0"/>
              <w:rPr>
                <w:sz w:val="20"/>
                <w:szCs w:val="20"/>
                <w:color w:val="auto"/>
              </w:rPr>
            </w:pPr>
            <w:r>
              <w:rPr>
                <w:rFonts w:ascii="Courier New" w:cs="Courier New" w:eastAsia="Courier New" w:hAnsi="Courier New"/>
                <w:sz w:val="13"/>
                <w:szCs w:val="13"/>
                <w:color w:val="auto"/>
              </w:rPr>
              <w:t>Securities registered pursuant to Section 12(b) of the Act:</w:t>
            </w:r>
          </w:p>
        </w:tc>
      </w:tr>
      <w:tr>
        <w:trPr>
          <w:trHeight w:val="308"/>
        </w:trPr>
        <w:tc>
          <w:tcPr>
            <w:tcW w:w="280" w:type="dxa"/>
            <w:vAlign w:val="bottom"/>
          </w:tcPr>
          <w:p>
            <w:pPr>
              <w:spacing w:after="0"/>
              <w:rPr>
                <w:sz w:val="24"/>
                <w:szCs w:val="24"/>
                <w:color w:val="auto"/>
              </w:rPr>
            </w:pPr>
          </w:p>
        </w:tc>
        <w:tc>
          <w:tcPr>
            <w:tcW w:w="3740" w:type="dxa"/>
            <w:vAlign w:val="bottom"/>
            <w:gridSpan w:val="2"/>
          </w:tcPr>
          <w:p>
            <w:pPr>
              <w:jc w:val="center"/>
              <w:ind w:right="1260"/>
              <w:spacing w:after="0"/>
              <w:rPr>
                <w:sz w:val="20"/>
                <w:szCs w:val="20"/>
                <w:color w:val="auto"/>
              </w:rPr>
            </w:pPr>
            <w:r>
              <w:rPr>
                <w:rFonts w:ascii="Courier New" w:cs="Courier New" w:eastAsia="Courier New" w:hAnsi="Courier New"/>
                <w:sz w:val="13"/>
                <w:szCs w:val="13"/>
                <w:color w:val="auto"/>
              </w:rPr>
              <w:t>Title of</w:t>
            </w:r>
          </w:p>
        </w:tc>
        <w:tc>
          <w:tcPr>
            <w:tcW w:w="1920" w:type="dxa"/>
            <w:vAlign w:val="bottom"/>
            <w:gridSpan w:val="2"/>
          </w:tcPr>
          <w:p>
            <w:pPr>
              <w:jc w:val="center"/>
              <w:ind w:right="173"/>
              <w:spacing w:after="0"/>
              <w:rPr>
                <w:sz w:val="20"/>
                <w:szCs w:val="20"/>
                <w:color w:val="auto"/>
              </w:rPr>
            </w:pPr>
            <w:r>
              <w:rPr>
                <w:rFonts w:ascii="Courier New" w:cs="Courier New" w:eastAsia="Courier New" w:hAnsi="Courier New"/>
                <w:sz w:val="13"/>
                <w:szCs w:val="13"/>
                <w:color w:val="auto"/>
              </w:rPr>
              <w:t>Name of each exchange</w:t>
            </w:r>
          </w:p>
        </w:tc>
      </w:tr>
      <w:tr>
        <w:trPr>
          <w:trHeight w:val="154"/>
        </w:trPr>
        <w:tc>
          <w:tcPr>
            <w:tcW w:w="280" w:type="dxa"/>
            <w:vAlign w:val="bottom"/>
          </w:tcPr>
          <w:p>
            <w:pPr>
              <w:spacing w:after="0"/>
              <w:rPr>
                <w:sz w:val="13"/>
                <w:szCs w:val="13"/>
                <w:color w:val="auto"/>
              </w:rPr>
            </w:pPr>
          </w:p>
        </w:tc>
        <w:tc>
          <w:tcPr>
            <w:tcW w:w="3740" w:type="dxa"/>
            <w:vAlign w:val="bottom"/>
            <w:gridSpan w:val="2"/>
          </w:tcPr>
          <w:p>
            <w:pPr>
              <w:jc w:val="center"/>
              <w:ind w:right="1260"/>
              <w:spacing w:after="0"/>
              <w:rPr>
                <w:sz w:val="20"/>
                <w:szCs w:val="20"/>
                <w:color w:val="auto"/>
              </w:rPr>
            </w:pPr>
            <w:r>
              <w:rPr>
                <w:rFonts w:ascii="Courier New" w:cs="Courier New" w:eastAsia="Courier New" w:hAnsi="Courier New"/>
                <w:sz w:val="13"/>
                <w:szCs w:val="13"/>
                <w:color w:val="auto"/>
              </w:rPr>
              <w:t>each class</w:t>
            </w:r>
          </w:p>
        </w:tc>
        <w:tc>
          <w:tcPr>
            <w:tcW w:w="1920" w:type="dxa"/>
            <w:vAlign w:val="bottom"/>
            <w:gridSpan w:val="2"/>
          </w:tcPr>
          <w:p>
            <w:pPr>
              <w:jc w:val="center"/>
              <w:ind w:right="173"/>
              <w:spacing w:after="0"/>
              <w:rPr>
                <w:sz w:val="20"/>
                <w:szCs w:val="20"/>
                <w:color w:val="auto"/>
              </w:rPr>
            </w:pPr>
            <w:r>
              <w:rPr>
                <w:rFonts w:ascii="Courier New" w:cs="Courier New" w:eastAsia="Courier New" w:hAnsi="Courier New"/>
                <w:sz w:val="13"/>
                <w:szCs w:val="13"/>
                <w:color w:val="auto"/>
              </w:rPr>
              <w:t>on which registered</w:t>
            </w:r>
          </w:p>
        </w:tc>
      </w:tr>
      <w:tr>
        <w:trPr>
          <w:trHeight w:val="154"/>
        </w:trPr>
        <w:tc>
          <w:tcPr>
            <w:tcW w:w="280" w:type="dxa"/>
            <w:vAlign w:val="bottom"/>
          </w:tcPr>
          <w:p>
            <w:pPr>
              <w:spacing w:after="0"/>
              <w:rPr>
                <w:sz w:val="13"/>
                <w:szCs w:val="13"/>
                <w:color w:val="auto"/>
              </w:rPr>
            </w:pPr>
          </w:p>
        </w:tc>
        <w:tc>
          <w:tcPr>
            <w:tcW w:w="3580" w:type="dxa"/>
            <w:vAlign w:val="bottom"/>
          </w:tcPr>
          <w:p>
            <w:pPr>
              <w:jc w:val="center"/>
              <w:ind w:right="1033"/>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1920" w:type="dxa"/>
            <w:vAlign w:val="bottom"/>
            <w:gridSpan w:val="2"/>
          </w:tcPr>
          <w:p>
            <w:pPr>
              <w:jc w:val="center"/>
              <w:ind w:right="173"/>
              <w:spacing w:after="0"/>
              <w:rPr>
                <w:sz w:val="20"/>
                <w:szCs w:val="20"/>
                <w:color w:val="auto"/>
              </w:rPr>
            </w:pPr>
            <w:r>
              <w:rPr>
                <w:rFonts w:ascii="Courier New" w:cs="Courier New" w:eastAsia="Courier New" w:hAnsi="Courier New"/>
                <w:sz w:val="13"/>
                <w:szCs w:val="13"/>
                <w:color w:val="auto"/>
              </w:rPr>
              <w:t>---------------------</w:t>
            </w:r>
          </w:p>
        </w:tc>
      </w:tr>
      <w:tr>
        <w:trPr>
          <w:trHeight w:val="308"/>
        </w:trPr>
        <w:tc>
          <w:tcPr>
            <w:tcW w:w="280" w:type="dxa"/>
            <w:vAlign w:val="bottom"/>
          </w:tcPr>
          <w:p>
            <w:pPr>
              <w:spacing w:after="0"/>
              <w:rPr>
                <w:sz w:val="24"/>
                <w:szCs w:val="24"/>
                <w:color w:val="auto"/>
              </w:rPr>
            </w:pPr>
          </w:p>
        </w:tc>
        <w:tc>
          <w:tcPr>
            <w:tcW w:w="3740" w:type="dxa"/>
            <w:vAlign w:val="bottom"/>
            <w:gridSpan w:val="2"/>
          </w:tcPr>
          <w:p>
            <w:pPr>
              <w:jc w:val="center"/>
              <w:ind w:right="1260"/>
              <w:spacing w:after="0"/>
              <w:rPr>
                <w:sz w:val="20"/>
                <w:szCs w:val="20"/>
                <w:color w:val="auto"/>
              </w:rPr>
            </w:pPr>
            <w:r>
              <w:rPr>
                <w:rFonts w:ascii="Courier New" w:cs="Courier New" w:eastAsia="Courier New" w:hAnsi="Courier New"/>
                <w:sz w:val="13"/>
                <w:szCs w:val="13"/>
                <w:color w:val="auto"/>
              </w:rPr>
              <w:t>None</w:t>
            </w:r>
          </w:p>
        </w:tc>
        <w:tc>
          <w:tcPr>
            <w:tcW w:w="400" w:type="dxa"/>
            <w:vAlign w:val="bottom"/>
          </w:tcPr>
          <w:p>
            <w:pPr>
              <w:spacing w:after="0"/>
              <w:rPr>
                <w:sz w:val="24"/>
                <w:szCs w:val="24"/>
                <w:color w:val="auto"/>
              </w:rPr>
            </w:pPr>
          </w:p>
        </w:tc>
        <w:tc>
          <w:tcPr>
            <w:tcW w:w="1520" w:type="dxa"/>
            <w:vAlign w:val="bottom"/>
          </w:tcPr>
          <w:p>
            <w:pPr>
              <w:ind w:left="240"/>
              <w:spacing w:after="0"/>
              <w:rPr>
                <w:sz w:val="20"/>
                <w:szCs w:val="20"/>
                <w:color w:val="auto"/>
              </w:rPr>
            </w:pPr>
            <w:r>
              <w:rPr>
                <w:rFonts w:ascii="Courier New" w:cs="Courier New" w:eastAsia="Courier New" w:hAnsi="Courier New"/>
                <w:sz w:val="13"/>
                <w:szCs w:val="13"/>
                <w:color w:val="auto"/>
              </w:rPr>
              <w:t>None</w:t>
            </w:r>
          </w:p>
        </w:tc>
      </w:tr>
    </w:tbl>
    <w:p>
      <w:pPr>
        <w:spacing w:after="0" w:line="159" w:lineRule="exact"/>
        <w:rPr>
          <w:sz w:val="24"/>
          <w:szCs w:val="24"/>
          <w:color w:val="auto"/>
        </w:rPr>
      </w:pPr>
    </w:p>
    <w:p>
      <w:pPr>
        <w:jc w:val="center"/>
        <w:ind w:right="3739"/>
        <w:spacing w:after="0"/>
        <w:rPr>
          <w:sz w:val="20"/>
          <w:szCs w:val="20"/>
          <w:color w:val="auto"/>
        </w:rPr>
      </w:pPr>
      <w:r>
        <w:rPr>
          <w:rFonts w:ascii="Courier New" w:cs="Courier New" w:eastAsia="Courier New" w:hAnsi="Courier New"/>
          <w:sz w:val="13"/>
          <w:szCs w:val="13"/>
          <w:color w:val="auto"/>
        </w:rPr>
        <w:t>Securities registered pursuant to Section 12(g) of the Act:</w:t>
      </w:r>
    </w:p>
    <w:p>
      <w:pPr>
        <w:spacing w:after="0" w:line="161"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Common Stock, par value $.01</w:t>
      </w:r>
    </w:p>
    <w:p>
      <w:pPr>
        <w:spacing w:after="0" w:line="7"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(Title of class)</w:t>
      </w:r>
    </w:p>
    <w:p>
      <w:pPr>
        <w:spacing w:after="0" w:line="161" w:lineRule="exact"/>
        <w:rPr>
          <w:sz w:val="24"/>
          <w:szCs w:val="24"/>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52" w:lineRule="exact"/>
        <w:rPr>
          <w:sz w:val="24"/>
          <w:szCs w:val="24"/>
          <w:color w:val="auto"/>
        </w:rPr>
      </w:pPr>
    </w:p>
    <w:p>
      <w:pPr>
        <w:spacing w:after="0"/>
        <w:tabs>
          <w:tab w:leader="none" w:pos="540" w:val="left"/>
          <w:tab w:leader="none" w:pos="1340" w:val="left"/>
          <w:tab w:leader="none" w:pos="182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|X|</w:t>
      </w:r>
      <w:r>
        <w:rPr>
          <w:sz w:val="20"/>
          <w:szCs w:val="20"/>
          <w:color w:val="auto"/>
        </w:rPr>
        <w:tab/>
      </w:r>
      <w:r>
        <w:rPr>
          <w:rFonts w:ascii="Courier New" w:cs="Courier New" w:eastAsia="Courier New" w:hAnsi="Courier New"/>
          <w:sz w:val="13"/>
          <w:szCs w:val="13"/>
          <w:color w:val="auto"/>
        </w:rPr>
        <w:t>No</w:t>
      </w:r>
      <w:r>
        <w:rPr>
          <w:sz w:val="20"/>
          <w:szCs w:val="20"/>
          <w:color w:val="auto"/>
        </w:rPr>
        <w:tab/>
      </w:r>
      <w:r>
        <w:rPr>
          <w:rFonts w:ascii="Courier New" w:cs="Courier New" w:eastAsia="Courier New" w:hAnsi="Courier New"/>
          <w:sz w:val="13"/>
          <w:szCs w:val="13"/>
          <w:color w:val="auto"/>
        </w:rPr>
        <w:t>| |</w:t>
      </w:r>
    </w:p>
    <w:p>
      <w:pPr>
        <w:spacing w:after="0" w:line="315" w:lineRule="exact"/>
        <w:rPr>
          <w:sz w:val="24"/>
          <w:szCs w:val="24"/>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52" w:lineRule="exact"/>
        <w:rPr>
          <w:sz w:val="24"/>
          <w:szCs w:val="24"/>
          <w:color w:val="auto"/>
        </w:rPr>
      </w:pPr>
    </w:p>
    <w:p>
      <w:pPr>
        <w:ind w:right="3979" w:firstLine="722"/>
        <w:spacing w:after="0" w:line="254" w:lineRule="auto"/>
        <w:rPr>
          <w:sz w:val="20"/>
          <w:szCs w:val="20"/>
          <w:color w:val="auto"/>
        </w:rPr>
      </w:pPr>
      <w:r>
        <w:rPr>
          <w:rFonts w:ascii="Courier New" w:cs="Courier New" w:eastAsia="Courier New" w:hAnsi="Courier New"/>
          <w:sz w:val="13"/>
          <w:szCs w:val="13"/>
          <w:color w:val="auto"/>
        </w:rPr>
        <w:t>Indicate by check mark whether the registrant is an accelerated filer (as defined in Rule 12b-2 of the Exchange Act).</w:t>
      </w:r>
    </w:p>
    <w:p>
      <w:pPr>
        <w:spacing w:after="0" w:line="151" w:lineRule="exact"/>
        <w:rPr>
          <w:sz w:val="24"/>
          <w:szCs w:val="24"/>
          <w:color w:val="auto"/>
        </w:rPr>
      </w:pPr>
    </w:p>
    <w:p>
      <w:pPr>
        <w:spacing w:after="0"/>
        <w:tabs>
          <w:tab w:leader="none" w:pos="540" w:val="left"/>
          <w:tab w:leader="none" w:pos="1340" w:val="left"/>
          <w:tab w:leader="none" w:pos="182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|X|</w:t>
      </w:r>
      <w:r>
        <w:rPr>
          <w:sz w:val="20"/>
          <w:szCs w:val="20"/>
          <w:color w:val="auto"/>
        </w:rPr>
        <w:tab/>
      </w:r>
      <w:r>
        <w:rPr>
          <w:rFonts w:ascii="Courier New" w:cs="Courier New" w:eastAsia="Courier New" w:hAnsi="Courier New"/>
          <w:sz w:val="13"/>
          <w:szCs w:val="13"/>
          <w:color w:val="auto"/>
        </w:rPr>
        <w:t>No</w:t>
      </w:r>
      <w:r>
        <w:rPr>
          <w:sz w:val="20"/>
          <w:szCs w:val="20"/>
          <w:color w:val="auto"/>
        </w:rPr>
        <w:tab/>
      </w:r>
      <w:r>
        <w:rPr>
          <w:rFonts w:ascii="Courier New" w:cs="Courier New" w:eastAsia="Courier New" w:hAnsi="Courier New"/>
          <w:sz w:val="13"/>
          <w:szCs w:val="13"/>
          <w:color w:val="auto"/>
        </w:rPr>
        <w:t>|_|</w:t>
      </w:r>
    </w:p>
    <w:p>
      <w:pPr>
        <w:spacing w:after="0" w:line="161" w:lineRule="exact"/>
        <w:rPr>
          <w:sz w:val="24"/>
          <w:szCs w:val="24"/>
          <w:color w:val="auto"/>
        </w:rPr>
      </w:pPr>
    </w:p>
    <w:p>
      <w:pPr>
        <w:ind w:right="4059" w:firstLine="722"/>
        <w:spacing w:after="0" w:line="254" w:lineRule="auto"/>
        <w:rPr>
          <w:sz w:val="20"/>
          <w:szCs w:val="20"/>
          <w:color w:val="auto"/>
        </w:rPr>
      </w:pPr>
      <w:r>
        <w:rPr>
          <w:rFonts w:ascii="Courier New" w:cs="Courier New" w:eastAsia="Courier New" w:hAnsi="Courier New"/>
          <w:sz w:val="13"/>
          <w:szCs w:val="13"/>
          <w:color w:val="auto"/>
        </w:rPr>
        <w:t>The number of shares of the registrant's common stock outstanding on March 28, 2003 was 15,372,841.</w:t>
      </w:r>
    </w:p>
    <w:p>
      <w:pPr>
        <w:spacing w:after="0" w:line="151" w:lineRule="exact"/>
        <w:rPr>
          <w:sz w:val="24"/>
          <w:szCs w:val="24"/>
          <w:color w:val="auto"/>
        </w:rPr>
      </w:pPr>
    </w:p>
    <w:p>
      <w:pPr>
        <w:ind w:right="3979" w:firstLine="722"/>
        <w:spacing w:after="0" w:line="253" w:lineRule="auto"/>
        <w:rPr>
          <w:sz w:val="20"/>
          <w:szCs w:val="20"/>
          <w:color w:val="auto"/>
        </w:rPr>
      </w:pPr>
      <w:r>
        <w:rPr>
          <w:rFonts w:ascii="Courier New" w:cs="Courier New" w:eastAsia="Courier New" w:hAnsi="Courier New"/>
          <w:sz w:val="13"/>
          <w:szCs w:val="13"/>
          <w:color w:val="auto"/>
        </w:rPr>
        <w:t>The aggregate market value of the voting stock held by non-affiliates of the registrant at March 28, 2003, based on the closing price on the NASDAQ National Market System on that date was approximately $139,739,125.</w:t>
      </w:r>
    </w:p>
    <w:p>
      <w:pPr>
        <w:spacing w:after="0" w:line="151" w:lineRule="exact"/>
        <w:rPr>
          <w:sz w:val="24"/>
          <w:szCs w:val="24"/>
          <w:color w:val="auto"/>
        </w:rPr>
      </w:pPr>
    </w:p>
    <w:p>
      <w:pPr>
        <w:ind w:left="1840"/>
        <w:spacing w:after="0"/>
        <w:rPr>
          <w:sz w:val="20"/>
          <w:szCs w:val="20"/>
          <w:color w:val="auto"/>
        </w:rPr>
      </w:pPr>
      <w:r>
        <w:rPr>
          <w:rFonts w:ascii="Courier New" w:cs="Courier New" w:eastAsia="Courier New" w:hAnsi="Courier New"/>
          <w:sz w:val="13"/>
          <w:szCs w:val="13"/>
          <w:b w:val="1"/>
          <w:bCs w:val="1"/>
          <w:color w:val="auto"/>
        </w:rPr>
        <w:t>DOCUMENTS INCORPORATED BY REFERENCE</w:t>
      </w:r>
    </w:p>
    <w:p>
      <w:pPr>
        <w:spacing w:after="0" w:line="161" w:lineRule="exact"/>
        <w:rPr>
          <w:sz w:val="24"/>
          <w:szCs w:val="24"/>
          <w:color w:val="auto"/>
        </w:rPr>
      </w:pPr>
    </w:p>
    <w:p>
      <w:pPr>
        <w:ind w:right="3819" w:firstLine="722"/>
        <w:spacing w:after="0" w:line="254" w:lineRule="auto"/>
        <w:rPr>
          <w:sz w:val="20"/>
          <w:szCs w:val="20"/>
          <w:color w:val="auto"/>
        </w:rPr>
      </w:pPr>
      <w:r>
        <w:rPr>
          <w:rFonts w:ascii="Courier New" w:cs="Courier New" w:eastAsia="Courier New" w:hAnsi="Courier New"/>
          <w:sz w:val="13"/>
          <w:szCs w:val="13"/>
          <w:color w:val="auto"/>
        </w:rPr>
        <w:t>Portions of the Proxy Statement with respect to the 2003 Annual Meeting of Stockholders are incorporated by reference in Part III of this Form 10-K.</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2960"/>
        <w:spacing w:after="0"/>
        <w:rPr>
          <w:sz w:val="20"/>
          <w:szCs w:val="20"/>
          <w:color w:val="auto"/>
        </w:rPr>
      </w:pPr>
      <w:r>
        <w:rPr>
          <w:rFonts w:ascii="Courier New" w:cs="Courier New" w:eastAsia="Courier New" w:hAnsi="Courier New"/>
          <w:sz w:val="13"/>
          <w:szCs w:val="13"/>
          <w:b w:val="1"/>
          <w:bCs w:val="1"/>
          <w:color w:val="auto"/>
        </w:rPr>
        <w:t>PART I</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b w:val="1"/>
          <w:bCs w:val="1"/>
          <w:color w:val="auto"/>
        </w:rPr>
        <w:t>Explanatory Statement</w:t>
      </w:r>
    </w:p>
    <w:p>
      <w:pPr>
        <w:spacing w:after="0" w:line="161" w:lineRule="exact"/>
        <w:rPr>
          <w:sz w:val="24"/>
          <w:szCs w:val="24"/>
          <w:color w:val="auto"/>
        </w:rPr>
      </w:pPr>
    </w:p>
    <w:p>
      <w:pPr>
        <w:ind w:left="640"/>
        <w:spacing w:after="0"/>
        <w:rPr>
          <w:sz w:val="20"/>
          <w:szCs w:val="20"/>
          <w:color w:val="auto"/>
        </w:rPr>
      </w:pPr>
      <w:r>
        <w:rPr>
          <w:rFonts w:ascii="Courier New" w:cs="Courier New" w:eastAsia="Courier New" w:hAnsi="Courier New"/>
          <w:sz w:val="13"/>
          <w:szCs w:val="13"/>
          <w:color w:val="auto"/>
        </w:rPr>
        <w:t>This Amendment on Form 10-K/A amends the Registrant's Annual Report 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Form 10-K for the fiscal year ended December 31, 2002, and is being filed solely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to amend the financial reporting of certain transactions related to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formation of NN Euroball, ApS ("Euroball") on July 31, 2000, and the subsequent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purchase on December 20, 2002 of the 23% interest in Euroball held by FAG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Kugelfischer George Schaefer AG, which was subsequently acquired by INA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Schaeffler KG (collectively, "INA/FAG"). These restatements had no material effect 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the Company's reported net sales, gross profit, income from operations or cash</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flows for the fiscal years ended December 31, 2002, 2001 or 2000.</w:t>
      </w:r>
    </w:p>
    <w:p>
      <w:pPr>
        <w:spacing w:after="0" w:line="161" w:lineRule="exact"/>
        <w:rPr>
          <w:sz w:val="24"/>
          <w:szCs w:val="24"/>
          <w:color w:val="auto"/>
        </w:rPr>
      </w:pPr>
    </w:p>
    <w:p>
      <w:pPr>
        <w:ind w:right="3819" w:firstLine="642"/>
        <w:spacing w:after="0" w:line="251" w:lineRule="auto"/>
        <w:rPr>
          <w:sz w:val="20"/>
          <w:szCs w:val="20"/>
          <w:color w:val="auto"/>
        </w:rPr>
      </w:pPr>
      <w:r>
        <w:rPr>
          <w:rFonts w:ascii="Courier New" w:cs="Courier New" w:eastAsia="Courier New" w:hAnsi="Courier New"/>
          <w:sz w:val="13"/>
          <w:szCs w:val="13"/>
          <w:color w:val="auto"/>
        </w:rPr>
        <w:t>We have revised the valuation of the original purchase price associated with the formation of Euroball in July 2000. This revision resulted in a reduction of goodwill of approximately 4.1 million Euro ($3.8 million). Further, we have increased stockholders' equity by approximately 10.0 million Euro ($9.3 million) to reflect the amount by which the Company's proportionate interest in Euroball exceeded the book value of the net assets exchanged by the Company. As a result of these two adjustments, minority interest in consolidated subsidiaries has been reduced by approximately $7.4 million, $12.6 million and $13.3 million, at December 31, 2002, 2001 and 2000, respectively, goodwill has been reduced $4.3 million, $3.7 million and $3.9 million, at December 31, 2002,</w:t>
      </w:r>
    </w:p>
    <w:p>
      <w:pPr>
        <w:sectPr>
          <w:pgSz w:w="11900" w:h="16903" w:orient="portrait"/>
          <w:cols w:equalWidth="0" w:num="1">
            <w:col w:w="10239"/>
          </w:cols>
          <w:pgMar w:left="220" w:top="378" w:right="1440" w:bottom="0" w:gutter="0" w:footer="0" w:header="0"/>
        </w:sectPr>
      </w:pPr>
    </w:p>
    <w:bookmarkStart w:id="1" w:name="page2"/>
    <w:bookmarkEnd w:id="1"/>
    <w:p>
      <w:pPr>
        <w:ind w:right="3819"/>
        <w:spacing w:after="0" w:line="252" w:lineRule="auto"/>
        <w:rPr>
          <w:sz w:val="20"/>
          <w:szCs w:val="20"/>
          <w:color w:val="auto"/>
        </w:rPr>
      </w:pPr>
      <w:r>
        <w:rPr>
          <w:rFonts w:ascii="Courier New" w:cs="Courier New" w:eastAsia="Courier New" w:hAnsi="Courier New"/>
          <w:sz w:val="13"/>
          <w:szCs w:val="13"/>
          <w:color w:val="auto"/>
        </w:rPr>
        <w:t>2001 and 2000, respectively, and paid in capital increased $9.3 million at December 31, 2002, 2001 and 2000 from amounts previously reported. Comprehensive income has also been restated for the foreign currency translation effects of these adjustments.</w:t>
      </w:r>
    </w:p>
    <w:p>
      <w:pPr>
        <w:spacing w:after="0" w:line="153"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In the previously issued December 31, 2002 Consolidated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Statements, when the Company acquired the 23% interest in Euroball held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INA/FAG in December 2002, the excess of minority interest in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subsidiaries over the purchase price was recorded as a non-taxable gain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amount of approximately $5.9 million. As restated, in the accompanying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Consolidated Financial Statements, the non-taxable gain has been excluded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excess of the purchase price over the fair value of INA/FAG's 23%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the net assets of Euroball was allocated to goodwill. The resulting impact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Consolidated Financial Statements is an increase to goodwill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approximately $1.5 million and a decrease in retained earnings of $5.9 million as of</w:t>
      </w:r>
    </w:p>
    <w:p>
      <w:pPr>
        <w:spacing w:after="0" w:line="7" w:lineRule="exact"/>
        <w:rPr>
          <w:sz w:val="20"/>
          <w:szCs w:val="20"/>
          <w:color w:val="auto"/>
        </w:rPr>
      </w:pPr>
    </w:p>
    <w:p>
      <w:pPr>
        <w:ind w:right="3819"/>
        <w:spacing w:after="0" w:line="253" w:lineRule="auto"/>
        <w:rPr>
          <w:sz w:val="20"/>
          <w:szCs w:val="20"/>
          <w:color w:val="auto"/>
        </w:rPr>
      </w:pPr>
      <w:r>
        <w:rPr>
          <w:rFonts w:ascii="Courier New" w:cs="Courier New" w:eastAsia="Courier New" w:hAnsi="Courier New"/>
          <w:sz w:val="13"/>
          <w:szCs w:val="13"/>
          <w:color w:val="auto"/>
        </w:rPr>
        <w:t>December 31, 2002 and reversal of the $5.9 million gain previously recorded in the Consolidated Statement of Income and Comprehensive Income for the year ended December 31, 2002.</w:t>
      </w:r>
    </w:p>
    <w:p>
      <w:pPr>
        <w:spacing w:after="0" w:line="151" w:lineRule="exact"/>
        <w:rPr>
          <w:sz w:val="20"/>
          <w:szCs w:val="20"/>
          <w:color w:val="auto"/>
        </w:rPr>
      </w:pPr>
    </w:p>
    <w:p>
      <w:pPr>
        <w:ind w:right="4059" w:firstLine="561"/>
        <w:spacing w:after="0" w:line="252" w:lineRule="auto"/>
        <w:rPr>
          <w:sz w:val="20"/>
          <w:szCs w:val="20"/>
          <w:color w:val="auto"/>
        </w:rPr>
      </w:pPr>
      <w:r>
        <w:rPr>
          <w:rFonts w:ascii="Courier New" w:cs="Courier New" w:eastAsia="Courier New" w:hAnsi="Courier New"/>
          <w:sz w:val="13"/>
          <w:szCs w:val="13"/>
          <w:color w:val="auto"/>
        </w:rPr>
        <w:t>Additionally, the Company has reclassified minority interest in consolidated subsidiaries from a component of total liabilities to a separate line item in the Consolidated Balance Sheets at December 31, 2002, 2001 and 2000.</w:t>
      </w:r>
    </w:p>
    <w:p>
      <w:pPr>
        <w:spacing w:after="0" w:line="15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Items amended include Item 1, Item 6, Item 7, Item 8 and Item 15. In addition, in connection with the filing of this Amendment and pursuant to the rules of the Securities and Exchange Commission, the Registrant is including with this Amendment certain currently dated certifications in Item 15. Other than those described in Note 1 to the Consolidated Financial Statements, no other material changes have been made to this Annual Report on Form 10-K/A. This Form 10-K/A does not modify or update the disclosure contained in the Annual Report in any way other than as required to reflect the amendments discussed above.</w:t>
      </w:r>
    </w:p>
    <w:p>
      <w:pPr>
        <w:spacing w:after="0" w:line="200" w:lineRule="exact"/>
        <w:rPr>
          <w:sz w:val="20"/>
          <w:szCs w:val="20"/>
          <w:color w:val="auto"/>
        </w:rPr>
      </w:pPr>
    </w:p>
    <w:p>
      <w:pPr>
        <w:spacing w:after="0" w:line="26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3"/>
          <w:szCs w:val="13"/>
          <w:b w:val="1"/>
          <w:bCs w:val="1"/>
          <w:color w:val="auto"/>
        </w:rPr>
        <w:t>Item 1.</w:t>
      </w:r>
      <w:r>
        <w:rPr>
          <w:sz w:val="20"/>
          <w:szCs w:val="20"/>
          <w:color w:val="auto"/>
        </w:rPr>
        <w:tab/>
      </w:r>
      <w:r>
        <w:rPr>
          <w:rFonts w:ascii="Courier New" w:cs="Courier New" w:eastAsia="Courier New" w:hAnsi="Courier New"/>
          <w:sz w:val="13"/>
          <w:szCs w:val="13"/>
          <w:b w:val="1"/>
          <w:bCs w:val="1"/>
          <w:color w:val="auto"/>
        </w:rPr>
        <w:t>Business Overview</w:t>
      </w:r>
    </w:p>
    <w:p>
      <w:pPr>
        <w:spacing w:after="0" w:line="161"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NN, Inc. 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and other precision plastic components. Through a series of acquisitions executed as part of that plan, we have built on our strong core ball business and greatly expanded our bearing component product offering. Today, we offer among the industry's most complete line of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10-K/A, the terms "NN", "the Company", "we", "our", or "us" mean NN, Inc. and its subsidiaries.</w:t>
      </w:r>
    </w:p>
    <w:p>
      <w:pPr>
        <w:spacing w:after="0" w:line="312"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For managerial and financial analysis purposes, management views the Company's operations in three segments: the domestic ball and roller operations of Erwin, Tennessee and Mountain City, Tennessee ("Domestic Ball and Roller Segment"), the Euroball facilities of Kilkenny, Ireland, Eltmann, Germany and Pinerolo, Italy ("Euroball Segment") and the operations of Industrial Molding Corporation ("IMC"), The Delta Rubber Company ("Delta") and NN Arte ("Plastics Segment"). Financial information about the Domestic Ball and Roller Segment, the Euroball Segment and the Plastics Segment are set forth in our Consolidated Financial Statements beginning on page 28.</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Recent Developments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December 20, 2002, we acquired the 23 percent interest in NN Euroball, ApS ("Euroball") held by INA/FAG. Euroball was formed in 2000 by the Company, FAG Kugelfischer George Schaefer AG, which was subsequently acquired by INA - Schaeffler KG (collectively, "INA/FAG"), and AB SKF ("SKF"). INA/FAG is a global bearing manufacturer and one of our largest customers. We paid approximately 13.4 million Euros ($13.8 million) for INA/FAG's interest in Euroball. Following the closing of the transaction, we own 77 percent of the outstanding shares of Euroball and SKF owns the remaining 23 percent. SKF consented to our purchase of INA/FAG's interest pursuant to the terms of the Euroball Shareholder Agreement. SKF has the right, beginning January 1, 2003 to require us to purchase its interest in Euroball, based on a formula price detailed in the Euroball Shareholder Agreement. SKF has informed us that it intends to exercise its right and we expect to purchase its interest during the second quarter of 2003.</w:t>
      </w:r>
    </w:p>
    <w:p>
      <w:pPr>
        <w:spacing w:after="0" w:line="31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December 9, 2002, we announced that we had signed a letter of intent to acquire certain component manufacturing operations of SKF in Veenendaal, The Netherlands. SKF, a Swedish corporation, is a global bearing manufacturer and one of our major customers. The transaction, which is expected to close in the second quarter of 2003, is subject to a number of conditions, including the execution of a definitive asset acquisition agreement, completion of due diligence, approval of NN's and SKF's boards of directors and any necessary approval of relevant government agencies.</w:t>
      </w:r>
    </w:p>
    <w:p>
      <w:pPr>
        <w:spacing w:after="0" w:line="156" w:lineRule="exact"/>
        <w:rPr>
          <w:sz w:val="20"/>
          <w:szCs w:val="20"/>
          <w:color w:val="auto"/>
        </w:rPr>
      </w:pPr>
    </w:p>
    <w:p>
      <w:pPr>
        <w:ind w:right="3979" w:firstLine="722"/>
        <w:spacing w:after="0" w:line="251" w:lineRule="auto"/>
        <w:rPr>
          <w:sz w:val="20"/>
          <w:szCs w:val="20"/>
          <w:color w:val="auto"/>
        </w:rPr>
      </w:pPr>
      <w:r>
        <w:rPr>
          <w:rFonts w:ascii="Courier New" w:cs="Courier New" w:eastAsia="Courier New" w:hAnsi="Courier New"/>
          <w:sz w:val="13"/>
          <w:szCs w:val="13"/>
          <w:color w:val="auto"/>
        </w:rPr>
        <w:t>On January 24, 2003, we exercised our call right to purchase the remaining 49 percent interest in NN Mexico, LLC. The transaction, which is expected to close in the second quarter of 2003, is subject to a number of conditions, including the approval of NN's board of directors. The transaction is not expected to materially impact our financial condition or results of operations. Based on the purchase price formula contained in the principal agreement between the parties, the purchase price for such interest is anticipated to be zero.</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Corporate Information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NN, originally organized in October, 1980, is incorporated in Delaware, with our</w:t>
      </w:r>
    </w:p>
    <w:p>
      <w:pPr>
        <w:sectPr>
          <w:pgSz w:w="11900" w:h="16838" w:orient="portrait"/>
          <w:cols w:equalWidth="0" w:num="1">
            <w:col w:w="10239"/>
          </w:cols>
          <w:pgMar w:left="220" w:top="141" w:right="1440" w:bottom="0" w:gutter="0" w:footer="0" w:header="0"/>
        </w:sectPr>
      </w:pPr>
    </w:p>
    <w:bookmarkStart w:id="2" w:name="page3"/>
    <w:bookmarkEnd w:id="2"/>
    <w:p>
      <w:pPr>
        <w:ind w:right="3819"/>
        <w:spacing w:after="0" w:line="251" w:lineRule="auto"/>
        <w:rPr>
          <w:sz w:val="20"/>
          <w:szCs w:val="20"/>
          <w:color w:val="auto"/>
        </w:rPr>
      </w:pPr>
      <w:r>
        <w:rPr>
          <w:rFonts w:ascii="Courier New" w:cs="Courier New" w:eastAsia="Courier New" w:hAnsi="Courier New"/>
          <w:sz w:val="13"/>
          <w:szCs w:val="13"/>
          <w:color w:val="auto"/>
        </w:rPr>
        <w:t>principal executive offices located at 2000 Water's Edge Drive, Johnson City, Tennessee 37604 and our telephone number is (423) 743-9151. Our web site address is www.nnbr.com. Information contained on our web site is not part of this Annual Report. Our annual report on Form 10-K/A, quarterly reports on Form</w:t>
      </w:r>
    </w:p>
    <w:p>
      <w:pPr>
        <w:spacing w:after="0" w:line="1"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10-Q/A, current reports on Form 8-K and amendments thereto are available on our web site under "SEC Reports." Prior to February 5, 2003, these reports were available through a hyperlink to a third-party service which provided limited free access to such reports. We believed that such hyperlink provided unlimited free access to our filings with the Commission, however, this hyperlink did not provide unlimited free access to the reports. Therefore, the amendments to our Form 10-Q and Form 10-K filed on November 22, 2002 and our Forms 8-K filed December 9, 2002 and December 20, 2002 were not available free of charge to all viewers through our web site. After February 5, 2003, our hyperlink provides unlimited free access to our filings with the Commission on our web site under "SEC Reports".</w:t>
      </w:r>
    </w:p>
    <w:p>
      <w:pPr>
        <w:spacing w:after="0" w:line="31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Products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Precision Steel Balls. </w:t>
      </w:r>
      <w:r>
        <w:rPr>
          <w:rFonts w:ascii="Courier New" w:cs="Courier New" w:eastAsia="Courier New" w:hAnsi="Courier New"/>
          <w:sz w:val="13"/>
          <w:szCs w:val="13"/>
          <w:color w:val="auto"/>
        </w:rPr>
        <w:t>At our Erwin, Tennessee and Mountain City,</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Tennessee facilities and our Euroball facilities, we manufacture and sell high quality, precision steel balls in sizes ranging in diameter from 1/8 of an inch to 12 1/2 inches. We produce and sell balls in grades ranging from grade 3 to grade 1000, as established by the American Bearing Manufacturers Association. The grade number for a ball or a roller indicates the degree of spherical or cylindrical precision of the ball or roller; for example, grade 3 balls are manufactured to within three-millionths of an inch of roundness and grade 50 rollers are manufactured to within fifty-millionths of an inch of roundness. Our steel balls are used primarily by manufacturers of anti-friction bearings where precise spherical, tolerance and surface finish accuracies are required. At our Domestic Ball and Roller Segment, sales of steel balls accounted for approximately 88%, 89% and 92% of the segment's net sales in 2002, 2001 and 2000, respectively.</w:t>
      </w:r>
    </w:p>
    <w:p>
      <w:pPr>
        <w:spacing w:after="0" w:line="31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Steel Rollers. </w:t>
      </w:r>
      <w:r>
        <w:rPr>
          <w:rFonts w:ascii="Courier New" w:cs="Courier New" w:eastAsia="Courier New" w:hAnsi="Courier New"/>
          <w:sz w:val="13"/>
          <w:szCs w:val="13"/>
          <w:color w:val="auto"/>
        </w:rPr>
        <w:t>We manufacture cylindrical rollers at our Erwin,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Tennessee facility. These cylindrical rollers are produced in a wide variety of sizes, ranging from grade 50 to grade 1000. Rollers are used in place of balls in anti-friction bearings that are subjected to heavy load conditions. Our roller products are used primarily for applications similar to those of our ball product lines, plus certain non-bearing applications such as hydraulic pumps and motors.</w:t>
      </w:r>
    </w:p>
    <w:p>
      <w:pPr>
        <w:spacing w:after="0" w:line="30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Bearing Seals and Retainers. </w:t>
      </w:r>
      <w:r>
        <w:rPr>
          <w:rFonts w:ascii="Courier New" w:cs="Courier New" w:eastAsia="Courier New" w:hAnsi="Courier New"/>
          <w:sz w:val="13"/>
          <w:szCs w:val="13"/>
          <w:color w:val="auto"/>
        </w:rPr>
        <w:t>We manufacture and sell a wide range of</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precision bearing seals produced through a variety of compression and injection molding processes and adhesion technologies to create rubber-to-metal bonded bearing seals. The seals are used in applications for automotive, industrial, agricultural, mining and aerospace markets. We also manufacture and sell high precision plastic retainers for ball and roller bearings used in a wide variety of industrial applications. Retainers are used to separate and space balls or rollers within a fully assembled bearing.</w:t>
      </w:r>
    </w:p>
    <w:p>
      <w:pPr>
        <w:spacing w:after="0" w:line="156"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Precision Plastic Components. </w:t>
      </w:r>
      <w:r>
        <w:rPr>
          <w:rFonts w:ascii="Courier New" w:cs="Courier New" w:eastAsia="Courier New" w:hAnsi="Courier New"/>
          <w:sz w:val="13"/>
          <w:szCs w:val="13"/>
          <w:color w:val="auto"/>
        </w:rPr>
        <w:t>We also manufacture and sell a wide range</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of specialized plastic products including automotive under-the-hood components, electronic instrument cases and precision electronic connectors and lenses, as well as a variety of other specialized parts.</w:t>
      </w:r>
    </w:p>
    <w:p>
      <w:pPr>
        <w:spacing w:after="0" w:line="153" w:lineRule="exact"/>
        <w:rPr>
          <w:sz w:val="20"/>
          <w:szCs w:val="20"/>
          <w:color w:val="auto"/>
        </w:rPr>
      </w:pPr>
    </w:p>
    <w:p>
      <w:pPr>
        <w:ind w:right="3819" w:firstLine="722"/>
        <w:spacing w:after="0" w:line="254" w:lineRule="auto"/>
        <w:rPr>
          <w:sz w:val="20"/>
          <w:szCs w:val="20"/>
          <w:color w:val="auto"/>
        </w:rPr>
      </w:pPr>
      <w:r>
        <w:rPr>
          <w:rFonts w:ascii="Courier New" w:cs="Courier New" w:eastAsia="Courier New" w:hAnsi="Courier New"/>
          <w:sz w:val="13"/>
          <w:szCs w:val="13"/>
          <w:i w:val="1"/>
          <w:iCs w:val="1"/>
          <w:color w:val="auto"/>
        </w:rPr>
        <w:t xml:space="preserve">Research and Development. </w:t>
      </w:r>
      <w:r>
        <w:rPr>
          <w:rFonts w:ascii="Courier New" w:cs="Courier New" w:eastAsia="Courier New" w:hAnsi="Courier New"/>
          <w:sz w:val="13"/>
          <w:szCs w:val="13"/>
          <w:color w:val="auto"/>
        </w:rPr>
        <w:t>The amounts spent on research and development</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activities by us during each of the last three fiscal years are not material.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Customers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73% of our revenue. These top 10 customers include SKF, INA/FAG, Timken, Torrington, GKN, SNR, Iljin, NTN,, Delphi, and NSK. In 2002, 44% of our products were sold to customers in North America, 47% to customers in Europe, and the remaining 9% to customers located throughout the rest of the world, primarily Asia. Sales to various U.S. and foreign divisions of SKF accounted for approximately 33% of net sales in 2002 and sales to INA/FAG accounted for approximately 19% of net sales in 2002, demonstrating our long-term, strategic relationships with these key customers. Historically, we have increased our supply to SKF and INA/FAG on an annual basis and we have almost tripled our sales to these two companies since 1999. These gains are directly attributed to the success of Euroball and our efforts to develop a closer partnering relationship with our global bearing customers. None of the Company's other customers accounted for more than 5% of its net sales in 2002.</w:t>
      </w:r>
    </w:p>
    <w:p>
      <w:pPr>
        <w:spacing w:after="0" w:line="158"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Certain customers have contracted to purchase all or a majority of their bearing component requirements from us, although only a few are contractually obligated to purchase any specific amounts. While firm orders are generally received on a monthly basis, we are normally aware of future order levels well in advance of the placement of a firm order. For our domestic ball and roller operations, we maintain a computerized, bar coded inventory management system with most of our major customers that enables us to determine on a day-to-day basis the amount of these components remaining in a customer's inventory. When such inventories fall below certain levels, we automatically ship additional product.</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Euroball has entered into six-year supply agreements with SKF and INA/FAG providing for the purchase of Euroball products in amounts and at prices that are subject to adjustment on an annual basis. The agreements contain provisions obligating Euroball to maintain specified quality standards and comply with various ordering and delivery procedures, as well as other customary provisions. SKF may terminate its agreement if, among other things, Euroball</w:t>
      </w:r>
    </w:p>
    <w:p>
      <w:pPr>
        <w:spacing w:after="0" w:line="15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275" w:gutter="0" w:footer="0" w:header="0"/>
        </w:sectPr>
      </w:pPr>
    </w:p>
    <w:bookmarkStart w:id="3" w:name="page4"/>
    <w:bookmarkEnd w:id="3"/>
    <w:p>
      <w:pPr>
        <w:ind w:right="3979"/>
        <w:spacing w:after="0" w:line="252" w:lineRule="auto"/>
        <w:rPr>
          <w:sz w:val="20"/>
          <w:szCs w:val="20"/>
          <w:color w:val="auto"/>
        </w:rPr>
      </w:pPr>
      <w:r>
        <w:rPr>
          <w:rFonts w:ascii="Courier New" w:cs="Courier New" w:eastAsia="Courier New" w:hAnsi="Courier New"/>
          <w:sz w:val="13"/>
          <w:szCs w:val="13"/>
          <w:color w:val="auto"/>
        </w:rPr>
        <w:t>acquires or becomes acquired by a competitor of SKF. INA/FAG may terminate its agreement if, among other things, Euroball assigns its rights under the agreement, whether voluntarily or by operation of law. These agreements expire during 2006.</w:t>
      </w:r>
    </w:p>
    <w:p>
      <w:pPr>
        <w:spacing w:after="0" w:line="15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During 2002, the Domestic Ball and Roller Segment sold its products to more than 500 customers located in more than 25 different countries. Approximately 47% of ball and roller net sales in 2002 were to customers outside the United States. Sales to the Domestic Ball &amp; Roller Segment's top ten customers accounted for approximately 73% of the segment's net sales in 2002. Sales to SKF and INA/FAG accounted for approximately 32% and 14% of the segment's net sales in 2002, respectively.</w:t>
      </w:r>
    </w:p>
    <w:p>
      <w:pPr>
        <w:spacing w:after="0" w:line="15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During 2002, the Euroball Segment sold its products to more than 30 customers located in more than 25 different countries. Approximately 92% of its net sales in 2002 were to customers within Europe. Sales to the segment's top ten customers accounted for approximately 95% of the segment's net sales in 2002. Sales to SKF and INA/FAG accounted for approximately 51% and 25% of the segment's net sales in 2002, respectively. Sales to SKF and INA/FAG are made pursuant to the terms of supply agreements which expire in 2006.</w:t>
      </w:r>
    </w:p>
    <w:p>
      <w:pPr>
        <w:spacing w:after="0" w:line="156"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During 2002, the Plastics Segment sold its products to more than 100 customers located in more than 16 different countries. Approximately 18% of the Plastics Segment's net sales were to customers outside the United States. Sales to the segment's top ten customers accounted for approximately 62% of the Plastics Segment's net sales in 2002.</w:t>
      </w:r>
    </w:p>
    <w:p>
      <w:pPr>
        <w:spacing w:after="0" w:line="152"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See Note 12 of the Notes to Consolidated Financial Statements and "Management's 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ordinarily ship our products directly to customers within 60 days, and in some cases, during the same calendar month, of the date on which a sales order is placed. Accordingly, we generally have an insignificant amount of open (backlog) orders from customers at month end. Certain of our customers have entered into contracts with us pursuant to which they have agreed to purchase all of their requirements of specified balls and rollers and plastic molded products from us, although only a few are contractually obligated to purchase any specific amounts. While firm orders generally are received only monthly, we are normally aware of reasonably anticipated future orders well in advance of the placement of a firm order. Certain agreements are in effect with some of our largest customers, which provide for targeted, annual price adjustments that may be offset by material cost fluctuations.</w:t>
      </w:r>
    </w:p>
    <w:p>
      <w:pPr>
        <w:spacing w:after="0" w:line="157" w:lineRule="exact"/>
        <w:rPr>
          <w:sz w:val="20"/>
          <w:szCs w:val="20"/>
          <w:color w:val="auto"/>
        </w:rPr>
      </w:pPr>
    </w:p>
    <w:p>
      <w:pPr>
        <w:ind w:right="4059" w:firstLine="722"/>
        <w:spacing w:after="0" w:line="254" w:lineRule="auto"/>
        <w:rPr>
          <w:sz w:val="20"/>
          <w:szCs w:val="20"/>
          <w:color w:val="auto"/>
        </w:rPr>
      </w:pPr>
      <w:r>
        <w:rPr>
          <w:rFonts w:ascii="Courier New" w:cs="Courier New" w:eastAsia="Courier New" w:hAnsi="Courier New"/>
          <w:sz w:val="13"/>
          <w:szCs w:val="13"/>
          <w:color w:val="auto"/>
        </w:rPr>
        <w:t>The following table presents a breakdown of our net sales for fiscal years 2000 through 2002:</w:t>
      </w:r>
    </w:p>
    <w:p>
      <w:pPr>
        <w:spacing w:after="0" w:line="305"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360" w:type="dxa"/>
            <w:vAlign w:val="bottom"/>
          </w:tcPr>
          <w:p>
            <w:pPr>
              <w:spacing w:after="0"/>
              <w:rPr>
                <w:sz w:val="20"/>
                <w:szCs w:val="20"/>
                <w:color w:val="auto"/>
              </w:rPr>
            </w:pPr>
            <w:r>
              <w:rPr>
                <w:rFonts w:ascii="Courier New" w:cs="Courier New" w:eastAsia="Courier New" w:hAnsi="Courier New"/>
                <w:sz w:val="13"/>
                <w:szCs w:val="13"/>
                <w:b w:val="1"/>
                <w:bCs w:val="1"/>
                <w:color w:val="auto"/>
              </w:rPr>
              <w:t>(In Thousands)</w:t>
            </w:r>
          </w:p>
        </w:tc>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8"/>
        </w:trPr>
        <w:tc>
          <w:tcPr>
            <w:tcW w:w="2360" w:type="dxa"/>
            <w:vAlign w:val="bottom"/>
          </w:tcPr>
          <w:p>
            <w:pPr>
              <w:spacing w:after="0"/>
              <w:rPr>
                <w:sz w:val="24"/>
                <w:szCs w:val="24"/>
                <w:color w:val="auto"/>
              </w:rPr>
            </w:pPr>
          </w:p>
        </w:tc>
        <w:tc>
          <w:tcPr>
            <w:tcW w:w="158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2002</w:t>
            </w:r>
          </w:p>
        </w:tc>
        <w:tc>
          <w:tcPr>
            <w:tcW w:w="128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2001</w:t>
            </w:r>
          </w:p>
        </w:tc>
        <w:tc>
          <w:tcPr>
            <w:tcW w:w="1120" w:type="dxa"/>
            <w:vAlign w:val="bottom"/>
          </w:tcPr>
          <w:p>
            <w:pPr>
              <w:jc w:val="center"/>
              <w:ind w:left="9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tcPr>
          <w:p>
            <w:pPr>
              <w:jc w:val="center"/>
              <w:ind w:left="9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360" w:type="dxa"/>
            <w:vAlign w:val="bottom"/>
          </w:tcPr>
          <w:p>
            <w:pPr>
              <w:spacing w:after="0"/>
              <w:rPr>
                <w:sz w:val="20"/>
                <w:szCs w:val="20"/>
                <w:color w:val="auto"/>
              </w:rPr>
            </w:pPr>
            <w:r>
              <w:rPr>
                <w:rFonts w:ascii="Courier New" w:cs="Courier New" w:eastAsia="Courier New" w:hAnsi="Courier New"/>
                <w:sz w:val="13"/>
                <w:szCs w:val="13"/>
                <w:color w:val="auto"/>
              </w:rPr>
              <w:t>Domestic Ball and Roller</w:t>
            </w:r>
          </w:p>
        </w:tc>
        <w:tc>
          <w:tcPr>
            <w:tcW w:w="1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2360" w:type="dxa"/>
            <w:vAlign w:val="bottom"/>
          </w:tcPr>
          <w:p>
            <w:pPr>
              <w:ind w:left="400"/>
              <w:spacing w:after="0"/>
              <w:rPr>
                <w:sz w:val="20"/>
                <w:szCs w:val="20"/>
                <w:color w:val="auto"/>
              </w:rPr>
            </w:pPr>
            <w:r>
              <w:rPr>
                <w:rFonts w:ascii="Courier New" w:cs="Courier New" w:eastAsia="Courier New" w:hAnsi="Courier New"/>
                <w:sz w:val="13"/>
                <w:szCs w:val="13"/>
                <w:color w:val="auto"/>
              </w:rPr>
              <w:t>Segment</w:t>
            </w: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$ 52,634</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$ 52,692</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$67,637</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27.3%</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29.3%</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51.2%</w:t>
            </w:r>
          </w:p>
        </w:tc>
      </w:tr>
      <w:tr>
        <w:trPr>
          <w:trHeight w:val="308"/>
        </w:trPr>
        <w:tc>
          <w:tcPr>
            <w:tcW w:w="2360" w:type="dxa"/>
            <w:vAlign w:val="bottom"/>
          </w:tcPr>
          <w:p>
            <w:pPr>
              <w:spacing w:after="0"/>
              <w:rPr>
                <w:sz w:val="20"/>
                <w:szCs w:val="20"/>
                <w:color w:val="auto"/>
              </w:rPr>
            </w:pPr>
            <w:r>
              <w:rPr>
                <w:rFonts w:ascii="Courier New" w:cs="Courier New" w:eastAsia="Courier New" w:hAnsi="Courier New"/>
                <w:sz w:val="13"/>
                <w:szCs w:val="13"/>
                <w:color w:val="auto"/>
              </w:rPr>
              <w:t>Euroball Segment</w:t>
            </w: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90,653</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86,719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33,988</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47.0%</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48.1%</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25.7%</w:t>
            </w:r>
          </w:p>
        </w:tc>
      </w:tr>
      <w:tr>
        <w:trPr>
          <w:trHeight w:val="308"/>
        </w:trPr>
        <w:tc>
          <w:tcPr>
            <w:tcW w:w="2360" w:type="dxa"/>
            <w:vAlign w:val="bottom"/>
          </w:tcPr>
          <w:p>
            <w:pPr>
              <w:spacing w:after="0"/>
              <w:rPr>
                <w:sz w:val="20"/>
                <w:szCs w:val="20"/>
                <w:color w:val="auto"/>
              </w:rPr>
            </w:pPr>
            <w:r>
              <w:rPr>
                <w:rFonts w:ascii="Courier New" w:cs="Courier New" w:eastAsia="Courier New" w:hAnsi="Courier New"/>
                <w:sz w:val="13"/>
                <w:szCs w:val="13"/>
                <w:color w:val="auto"/>
              </w:rPr>
              <w:t>Plastics Segment</w:t>
            </w: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49,568</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40,740</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30,504</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25.7%</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22.6%</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23.1%</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center"/>
              <w:ind w:left="93"/>
              <w:spacing w:after="0"/>
              <w:rPr>
                <w:sz w:val="20"/>
                <w:szCs w:val="20"/>
                <w:color w:val="auto"/>
              </w:rPr>
            </w:pPr>
            <w:r>
              <w:rPr>
                <w:rFonts w:ascii="Courier New" w:cs="Courier New" w:eastAsia="Courier New" w:hAnsi="Courier New"/>
                <w:sz w:val="13"/>
                <w:szCs w:val="13"/>
                <w:color w:val="auto"/>
              </w:rPr>
              <w:t>------------</w:t>
            </w:r>
          </w:p>
        </w:tc>
      </w:tr>
      <w:tr>
        <w:trPr>
          <w:trHeight w:val="308"/>
        </w:trPr>
        <w:tc>
          <w:tcPr>
            <w:tcW w:w="236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$ 192,856</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$ 180,151</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$ 132,129</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center"/>
              <w:ind w:left="93"/>
              <w:spacing w:after="0"/>
              <w:rPr>
                <w:sz w:val="20"/>
                <w:szCs w:val="20"/>
                <w:color w:val="auto"/>
              </w:rPr>
            </w:pPr>
            <w:r>
              <w:rPr>
                <w:rFonts w:ascii="Courier New" w:cs="Courier New" w:eastAsia="Courier New" w:hAnsi="Courier New"/>
                <w:sz w:val="13"/>
                <w:szCs w:val="13"/>
                <w:color w:val="auto"/>
              </w:rPr>
              <w:t>============</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100%</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100%</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100%</w:t>
            </w:r>
          </w:p>
        </w:tc>
      </w:tr>
      <w:tr>
        <w:trPr>
          <w:trHeight w:val="154"/>
        </w:trPr>
        <w:tc>
          <w:tcPr>
            <w:tcW w:w="2360" w:type="dxa"/>
            <w:vAlign w:val="bottom"/>
          </w:tcPr>
          <w:p>
            <w:pPr>
              <w:spacing w:after="0"/>
              <w:rPr>
                <w:sz w:val="13"/>
                <w:szCs w:val="13"/>
                <w:color w:val="auto"/>
              </w:rPr>
            </w:pPr>
          </w:p>
        </w:tc>
        <w:tc>
          <w:tcPr>
            <w:tcW w:w="15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center"/>
              <w:ind w:left="93"/>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Sales and Marketing</w:t>
      </w:r>
    </w:p>
    <w:p>
      <w:pPr>
        <w:spacing w:after="0" w:line="161"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A primary emphasis of our marketing strategy is to expand key customer relationships by offering them the value of a single supply chain partner for a wide variety of components. As a result, we have progressed toward integrating our sales organization on a global basis across all of our product lines. Our sales organization includes seven direct sales and 12</w:t>
      </w:r>
    </w:p>
    <w:p>
      <w:pPr>
        <w:spacing w:after="0" w:line="152"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139"/>
        <w:spacing w:after="0" w:line="252" w:lineRule="auto"/>
        <w:rPr>
          <w:sz w:val="20"/>
          <w:szCs w:val="20"/>
          <w:color w:val="auto"/>
        </w:rPr>
      </w:pPr>
      <w:r>
        <w:rPr>
          <w:rFonts w:ascii="Courier New" w:cs="Courier New" w:eastAsia="Courier New" w:hAnsi="Courier New"/>
          <w:sz w:val="13"/>
          <w:szCs w:val="13"/>
          <w:color w:val="auto"/>
        </w:rPr>
        <w:t>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153"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 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156"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As shown in the chart below, the addition of the retainer and seal product lines have further enhanced many of our key customer relationships, making us a more complete and integrated supplier of bearing component parts.</w:t>
      </w:r>
    </w:p>
    <w:p>
      <w:pPr>
        <w:sectPr>
          <w:pgSz w:w="11900" w:h="16838" w:orient="portrait"/>
          <w:cols w:equalWidth="0" w:num="1">
            <w:col w:w="10239"/>
          </w:cols>
          <w:pgMar w:left="220" w:top="295" w:right="1440" w:bottom="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Country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Description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Products</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w:t>
      </w:r>
    </w:p>
    <w:p>
      <w:pPr>
        <w:spacing w:after="0" w:line="7"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3"/>
          <w:szCs w:val="13"/>
          <w:b w:val="1"/>
          <w:bCs w:val="1"/>
          <w:color w:val="auto"/>
        </w:rPr>
        <w:t>Balls &amp; Rollers</w:t>
      </w:r>
      <w:r>
        <w:rPr>
          <w:sz w:val="20"/>
          <w:szCs w:val="20"/>
          <w:color w:val="auto"/>
        </w:rPr>
        <w:tab/>
      </w:r>
      <w:r>
        <w:rPr>
          <w:rFonts w:ascii="Courier New" w:cs="Courier New" w:eastAsia="Courier New" w:hAnsi="Courier New"/>
          <w:sz w:val="13"/>
          <w:szCs w:val="13"/>
          <w:b w:val="1"/>
          <w:bCs w:val="1"/>
          <w:color w:val="auto"/>
        </w:rPr>
        <w:t>Seals</w:t>
      </w:r>
    </w:p>
    <w:p>
      <w:pPr>
        <w:spacing w:after="0" w:line="7" w:lineRule="exact"/>
        <w:rPr>
          <w:sz w:val="20"/>
          <w:szCs w:val="20"/>
          <w:color w:val="auto"/>
        </w:rPr>
      </w:pPr>
    </w:p>
    <w:p>
      <w:pPr>
        <w:ind w:left="160"/>
        <w:spacing w:after="0"/>
        <w:tabs>
          <w:tab w:leader="none" w:pos="1740" w:val="left"/>
        </w:tabs>
        <w:rPr>
          <w:sz w:val="20"/>
          <w:szCs w:val="20"/>
          <w:color w:val="auto"/>
        </w:rPr>
      </w:pPr>
      <w:r>
        <w:rPr>
          <w:rFonts w:ascii="Courier New" w:cs="Courier New" w:eastAsia="Courier New" w:hAnsi="Courier New"/>
          <w:sz w:val="13"/>
          <w:szCs w:val="13"/>
          <w:b w:val="1"/>
          <w:bCs w:val="1"/>
          <w:color w:val="auto"/>
        </w:rPr>
        <w:t>---------------</w:t>
      </w:r>
      <w:r>
        <w:rPr>
          <w:sz w:val="20"/>
          <w:szCs w:val="20"/>
          <w:color w:val="auto"/>
        </w:rPr>
        <w:tab/>
      </w:r>
      <w:r>
        <w:rPr>
          <w:rFonts w:ascii="Courier New" w:cs="Courier New" w:eastAsia="Courier New" w:hAnsi="Courier New"/>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Retainers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b w:val="1"/>
          <w:bCs w:val="1"/>
          <w:color w:val="auto"/>
        </w:rPr>
        <w:t>---------</w:t>
      </w:r>
    </w:p>
    <w:p>
      <w:pPr>
        <w:sectPr>
          <w:pgSz w:w="11900" w:h="16838" w:orient="portrait"/>
          <w:cols w:equalWidth="0" w:num="5">
            <w:col w:w="720" w:space="720"/>
            <w:col w:w="720" w:space="480"/>
            <w:col w:w="2020" w:space="720"/>
            <w:col w:w="2160" w:space="240"/>
            <w:col w:w="2459"/>
          </w:cols>
          <w:pgMar w:left="220" w:top="295"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20"/>
                <w:szCs w:val="20"/>
                <w:color w:val="auto"/>
              </w:rPr>
            </w:pPr>
            <w:r>
              <w:rPr>
                <w:rFonts w:ascii="Courier New" w:cs="Courier New" w:eastAsia="Courier New" w:hAnsi="Courier New"/>
                <w:sz w:val="13"/>
                <w:szCs w:val="13"/>
                <w:color w:val="auto"/>
              </w:rPr>
              <w:t>SKF</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Sweden</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INA/FAG</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Germany</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Torrington</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USA</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NTN</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Japan</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SNR</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France</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Timken</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USA</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spacing w:after="0"/>
              <w:rPr>
                <w:sz w:val="13"/>
                <w:szCs w:val="13"/>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Delphi</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USA</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Automotive component supplier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Iljin</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Korea</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NSK</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Japan</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spacing w:after="0"/>
              <w:rPr>
                <w:sz w:val="13"/>
                <w:szCs w:val="13"/>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r>
        <w:trPr>
          <w:trHeight w:val="154"/>
        </w:trPr>
        <w:tc>
          <w:tcPr>
            <w:tcW w:w="1120" w:type="dxa"/>
            <w:vAlign w:val="bottom"/>
          </w:tcPr>
          <w:p>
            <w:pPr>
              <w:spacing w:after="0"/>
              <w:rPr>
                <w:sz w:val="20"/>
                <w:szCs w:val="20"/>
                <w:color w:val="auto"/>
              </w:rPr>
            </w:pPr>
            <w:r>
              <w:rPr>
                <w:rFonts w:ascii="Courier New" w:cs="Courier New" w:eastAsia="Courier New" w:hAnsi="Courier New"/>
                <w:sz w:val="13"/>
                <w:szCs w:val="13"/>
                <w:color w:val="auto"/>
              </w:rPr>
              <w:t>Koyo</w:t>
            </w: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Japan</w:t>
            </w:r>
          </w:p>
        </w:tc>
        <w:tc>
          <w:tcPr>
            <w:tcW w:w="3140" w:type="dxa"/>
            <w:vAlign w:val="bottom"/>
          </w:tcPr>
          <w:p>
            <w:pPr>
              <w:ind w:left="320"/>
              <w:spacing w:after="0"/>
              <w:rPr>
                <w:sz w:val="20"/>
                <w:szCs w:val="20"/>
                <w:color w:val="auto"/>
              </w:rPr>
            </w:pPr>
            <w:r>
              <w:rPr>
                <w:rFonts w:ascii="Courier New" w:cs="Courier New" w:eastAsia="Courier New" w:hAnsi="Courier New"/>
                <w:sz w:val="13"/>
                <w:szCs w:val="13"/>
                <w:color w:val="auto"/>
              </w:rPr>
              <w:t>Global bearing manufacturer</w:t>
            </w:r>
          </w:p>
        </w:tc>
        <w:tc>
          <w:tcPr>
            <w:tcW w:w="1120" w:type="dxa"/>
            <w:vAlign w:val="bottom"/>
          </w:tcPr>
          <w:p>
            <w:pPr>
              <w:ind w:left="480"/>
              <w:spacing w:after="0"/>
              <w:rPr>
                <w:sz w:val="20"/>
                <w:szCs w:val="20"/>
                <w:color w:val="auto"/>
              </w:rPr>
            </w:pPr>
            <w:r>
              <w:rPr>
                <w:rFonts w:ascii="Courier New" w:cs="Courier New" w:eastAsia="Courier New" w:hAnsi="Courier New"/>
                <w:sz w:val="13"/>
                <w:szCs w:val="13"/>
                <w:color w:val="auto"/>
              </w:rPr>
              <w:t>X</w:t>
            </w:r>
          </w:p>
        </w:tc>
        <w:tc>
          <w:tcPr>
            <w:tcW w:w="1080" w:type="dxa"/>
            <w:vAlign w:val="bottom"/>
          </w:tcPr>
          <w:p>
            <w:pPr>
              <w:ind w:left="560"/>
              <w:spacing w:after="0"/>
              <w:rPr>
                <w:sz w:val="20"/>
                <w:szCs w:val="20"/>
                <w:color w:val="auto"/>
              </w:rPr>
            </w:pPr>
            <w:r>
              <w:rPr>
                <w:rFonts w:ascii="Courier New" w:cs="Courier New" w:eastAsia="Courier New" w:hAnsi="Courier New"/>
                <w:sz w:val="13"/>
                <w:szCs w:val="13"/>
                <w:color w:val="auto"/>
              </w:rPr>
              <w:t>X</w:t>
            </w:r>
          </w:p>
        </w:tc>
        <w:tc>
          <w:tcPr>
            <w:tcW w:w="520" w:type="dxa"/>
            <w:vAlign w:val="bottom"/>
          </w:tcPr>
          <w:p>
            <w:pPr>
              <w:ind w:left="440"/>
              <w:spacing w:after="0"/>
              <w:rPr>
                <w:sz w:val="20"/>
                <w:szCs w:val="20"/>
                <w:color w:val="auto"/>
              </w:rPr>
            </w:pPr>
            <w:r>
              <w:rPr>
                <w:rFonts w:ascii="Courier New" w:cs="Courier New" w:eastAsia="Courier New" w:hAnsi="Courier New"/>
                <w:sz w:val="13"/>
                <w:szCs w:val="13"/>
                <w:color w:val="auto"/>
                <w:w w:val="76"/>
              </w:rPr>
              <w:t>X</w:t>
            </w:r>
          </w:p>
        </w:tc>
      </w:tr>
    </w:tbl>
    <w:p>
      <w:pPr>
        <w:spacing w:after="0" w:line="31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arrangements with our domestic customers typically provide that payments are due within 30 days following the date of shipment of goods. With respect to foreign customers, payments generally are due within 90 to 120 days following the date of shipment in order to allow for additional freight time and customs clearance. For customers that participate in our Domestic Ball and Roller Segments inventory management program, sales are recorded when the customer uses the product. See "Business -- Customers" and "Management's Discussion and Analysis of Financial Condition and Results of Operations -- Liquidity and Capital Resources."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Manufacturing Process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15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key to our low-cost, high quality production of seals and retainers is the incorporation of customized engineering into our manufacturing processes, metal to rubber bonding competency and experience with a broad range of engineered resins. We employ 20 skilled engineers who design and customize the tooling necessary to meet the needs of each customer's product. This design process includes the testing and quality assessment of each product.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Employees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As of December 31, 2002, we employed a total of 1,350 full-time employees. Our Domestic Ball and Roller Segment employed 226 workers, the Euroball Segment employed 654 workers, our Plastics Segment employed 465 workers, and there were five employees at the Company's corporate headquarters. Of our total employment, 19% are management/staff employees and 81%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Only the employees in the Eltmann, Germany and Pinerolo, Italy plants are unionized and we have never experienced any involuntary work stoppages. We consider our relations with our employees to be excellent.</w:t>
      </w:r>
    </w:p>
    <w:p>
      <w:pPr>
        <w:spacing w:after="0" w:line="31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Competition</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precision ball and roller industry is intensely competitive, and many of our competitors have greater financial resources than we do. Our primary domestic competitor is Hoover Precision Products, Inc., a division of Tsubakimoto Precision Products Co. Ltd. Our primary foreign competitors are Amatsuji Steel Ball Manufacturing Company, Ltd. and Tsubakimoto Precision Products Co. Ltd.</w:t>
      </w:r>
    </w:p>
    <w:p>
      <w:pPr>
        <w:spacing w:after="0" w:line="306"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We believe that competition within the precision ball and roller market is based principally on quality, price and the ability to consistently meet customer delivery requirements. Management believes that our competitive strengths are our precision manufacturing capabilities, our reputation for consistent quality and reliability, and the productivity of our workforce.</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markets for the Plastic Segment's products are also intensely competitive. Since the plastic injection molding industry is currently very fragmented, IMC and NN Arte must compete with numerous companies in each of their marketing segments. Many of these companies have substantially greater financial resources than we do and many currently offer competing products nationally and internationally. IMC's primary competitor in the bearing retainer segment is Nakanishi Manufacturing Corporation. Domestically, Nypro, Inc. and Key Plastics are the main competitors in the automotive segment. NN Arte primarily competes with various plastic injection molders in Mexico.</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believe that competition within the plastic injection molding industry is based principally on quality, price, design capabilities and speed of responsiveness and delivery. Management believes that IMC's competitive strengths are product development, tool design, fabrication, and tight tolerance molding processes. With these strengths, IMC has built its reputation in the marketplace as a quality producer of technically difficult products.</w:t>
      </w:r>
    </w:p>
    <w:p>
      <w:pPr>
        <w:spacing w:after="0" w:line="155"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While intensely competitive, the markets for Delta's products are less fragmented than IMC and NN Arte's. The bearing seal market is comprised of approximately six major competitors that range from small privately held companies to Fortune 500 global enterprises. Bearing seal manufacturers compete on the design, service, quality and price. Delta's primary competitors in the United States bearing seal market are Freudenburg-NOK, Chicago Rawhide Industries, Trostel, LTD, and Uchiyama.</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Raw Materials</w:t>
      </w:r>
    </w:p>
    <w:p>
      <w:pPr>
        <w:spacing w:after="0" w:line="161"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The primary raw material used in our Domestic Ball and Roller Segment and Euroball Segment is 52100 Steel. During 2002, approximately 98% and 99% of the steel used by these two segments, respectively, was 52100 Steel in rod and wire form. Our other steel requirements include type 440C stainless steel and type S2 rock bit steel.</w:t>
      </w:r>
    </w:p>
    <w:p>
      <w:pPr>
        <w:spacing w:after="0" w:line="152"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The Domestic Ball and Roller Segment purchases substantially all of its</w:t>
      </w:r>
    </w:p>
    <w:p>
      <w:pPr>
        <w:sectPr>
          <w:pgSz w:w="11900" w:h="16838" w:orient="portrait"/>
          <w:cols w:equalWidth="0" w:num="1">
            <w:col w:w="10239"/>
          </w:cols>
          <w:pgMar w:left="220" w:top="141" w:right="1440" w:bottom="0" w:gutter="0" w:footer="0" w:header="0"/>
        </w:sectPr>
      </w:pPr>
    </w:p>
    <w:bookmarkStart w:id="5" w:name="page6"/>
    <w:bookmarkEnd w:id="5"/>
    <w:p>
      <w:pPr>
        <w:ind w:right="3819"/>
        <w:spacing w:after="0" w:line="251" w:lineRule="auto"/>
        <w:rPr>
          <w:sz w:val="20"/>
          <w:szCs w:val="20"/>
          <w:color w:val="auto"/>
        </w:rPr>
      </w:pPr>
      <w:r>
        <w:rPr>
          <w:rFonts w:ascii="Courier New" w:cs="Courier New" w:eastAsia="Courier New" w:hAnsi="Courier New"/>
          <w:sz w:val="13"/>
          <w:szCs w:val="13"/>
          <w:color w:val="auto"/>
        </w:rPr>
        <w:t>52100 Steel requirements from foreign mills in Europe and Japan because of the lack of domestic producers of such steel in the form we require. The principal suppliers of 52100 Steel to the Domestic Ball and Roller Segment are Daido Steel (America) Inc., Lucchini USA Inc. (affiliate of Ascometal France) and Ohio Star Forge Co. The Euroball Segment purchases all of its 52100 Steel requirements from European mills. The principal supplier of 52100 Steel to the Euroball Segment is Ascometal France. (See Note 15 of the Notes to Consolidated Financial Statements) Our other steel requirements are purchased principally from foreign steel manufacturers. There are a limited number of suppliers of the 52100 Steel that we use in our Domestic Ball and Roller and Euroball Segments. We believe that if any of our current suppliers were unable to supply 52100 Steel to us, we would be able to obtain our 52100 Steel requirements from alternate sources. We cannot provide assurances that we would not face higher costs or production interruptions as a result of obtaining 52100 Steel from alternate sources.</w:t>
      </w:r>
    </w:p>
    <w:p>
      <w:pPr>
        <w:spacing w:after="0" w:line="157"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allocate steel purchases among suppliers on the basis of price and, more significantly, composition and quality. The pricing arrangements with our suppliers are typically subject to adjustment once every six months for the Domestic Ball and Roller Segment. In general, we do not enter into written supply agreements with suppliers or commit to maintain minimum monthly purchases of steel except for the supply arrangements between Ascometal and Euroball (see Note 15 of the Notes to Consolidated Financial Statements). For the Domestic Ball and Roller and Euroball Segments, the average price of 52100 Steel decreased approximately 2.5% in 2002, increased approximately 1.9% in 2001, and decreased approximately 1% in 2000.</w:t>
      </w:r>
    </w:p>
    <w:p>
      <w:pPr>
        <w:spacing w:after="0" w:line="156"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Because 52100 Steel is principally produced by foreign manufacturers, the Company's operating results would be negatively affected in the event that the U.S. or European governments imposes any significant quotas, tariffs or other duties</w:t>
      </w:r>
    </w:p>
    <w:p>
      <w:pPr>
        <w:spacing w:after="0" w:line="153"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or restrictions on the import of such steel or if the U.S. dollar decreases in value relative to foreign currencies. On March 6, 2002, the U.S. government adopted legislation that imposed certain tariffs on the import of certain foreign produced steel into the United States. Because the vast majority of the 52100 Steel we use has been exempted from recent U.S. tariffs on imported steel, we have not been materially affected by import regulations.</w:t>
      </w:r>
    </w:p>
    <w:p>
      <w:pPr>
        <w:spacing w:after="0" w:line="155"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In 2001, we established a supply alliance with The Torrington Company, which was acquired by the Timken Company in February 2003, to leverage our combined supply requirements. The purchasing entity is empowered to negotiate and execute supply agreements for both companies. Because we both use similar raw materials from many common sources, we believe the potential synergies in raw material procurement will be of significant value.</w:t>
      </w:r>
    </w:p>
    <w:p>
      <w:pPr>
        <w:spacing w:after="0" w:line="155"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The primary raw materials used by IMC and NN Arte are engineered resins. Injection grade nylon is utilized in bearing retainers, gears, automotive and other industrial products. We purchase substantially all of our resin requirements from domestic manufacturers and suppliers. The majority of these suppliers are international companies with resin manufacturing facilities located throughout the world. We experienced price decreases for engineered resins of approximately 2.5% in 2002, price increases of approximately 4.3% in 2001, and price increases of approximately 3.0% in 2000.</w:t>
      </w:r>
    </w:p>
    <w:p>
      <w:pPr>
        <w:spacing w:after="0" w:line="156"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Delta uses certified vendors to provide a customer mix of proprietary rubber compounds. Delta also procures metal stampings from several domestic suppliers. We experienced price increases for Delta's raw materials of approximately 2.5% in 2002 and 2.5% in 2001.</w:t>
      </w:r>
    </w:p>
    <w:p>
      <w:pPr>
        <w:spacing w:after="0" w:line="153"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We base purchase decisions on price, quality and service. Generally, we do not enter into written supply contracts with our suppliers or commit to maintain minimum monthly purchases of resins. The pricing arrangements with our suppliers typically can be adjusted at anytime.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Patents, Trademarks and Licenses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Seasonal Nature of Business</w:t>
      </w:r>
    </w:p>
    <w:p>
      <w:pPr>
        <w:spacing w:after="0" w:line="161" w:lineRule="exact"/>
        <w:rPr>
          <w:sz w:val="20"/>
          <w:szCs w:val="20"/>
          <w:color w:val="auto"/>
        </w:rPr>
      </w:pPr>
    </w:p>
    <w:p>
      <w:pPr>
        <w:ind w:right="3899" w:firstLine="722"/>
        <w:spacing w:after="0" w:line="254" w:lineRule="auto"/>
        <w:rPr>
          <w:sz w:val="20"/>
          <w:szCs w:val="20"/>
          <w:color w:val="auto"/>
        </w:rPr>
      </w:pPr>
      <w:r>
        <w:rPr>
          <w:rFonts w:ascii="Courier New" w:cs="Courier New" w:eastAsia="Courier New" w:hAnsi="Courier New"/>
          <w:sz w:val="13"/>
          <w:szCs w:val="13"/>
          <w:color w:val="auto"/>
        </w:rPr>
        <w:t>Historically, due to a substantial portion of sales to European customers, seasonality has been a factor for our business in that some European customers typically cease their production activities during the month of August.</w:t>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Environmental Compliance</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Based on information compiled to date, management believes that our current operations are in substantial compliance with applicable environmental laws and regulations, the violation of which would have a material adverse effect on our business and financial condition. There can be no assurance,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there can be no assurance that we will not incur significant liabilities in the future in connection with the clean-up of waste disposal sites.</w:t>
      </w:r>
    </w:p>
    <w:p>
      <w:pPr>
        <w:spacing w:after="0" w:line="311"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In the past, we have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our ball and roller facilities. The</w:t>
      </w:r>
    </w:p>
    <w:p>
      <w:pPr>
        <w:sectPr>
          <w:pgSz w:w="11900" w:h="16838" w:orient="portrait"/>
          <w:cols w:equalWidth="0" w:num="1">
            <w:col w:w="10239"/>
          </w:cols>
          <w:pgMar w:left="220" w:top="141" w:right="1440" w:bottom="0" w:gutter="0" w:footer="0" w:header="0"/>
        </w:sectPr>
      </w:pPr>
    </w:p>
    <w:bookmarkStart w:id="6" w:name="page7"/>
    <w:bookmarkEnd w:id="6"/>
    <w:p>
      <w:pPr>
        <w:ind w:right="5040"/>
        <w:spacing w:after="0" w:line="252" w:lineRule="auto"/>
        <w:rPr>
          <w:sz w:val="20"/>
          <w:szCs w:val="20"/>
          <w:color w:val="auto"/>
        </w:rPr>
      </w:pPr>
      <w:r>
        <w:rPr>
          <w:rFonts w:ascii="Courier New" w:cs="Courier New" w:eastAsia="Courier New" w:hAnsi="Courier New"/>
          <w:sz w:val="13"/>
          <w:szCs w:val="13"/>
          <w:color w:val="auto"/>
        </w:rPr>
        <w:t>remediation project is now complete, but we have certain ongoing monitoring responsibilities. The amounts we have expended in connection with this remediation project have not been material, and based upon information currently available to us, we do not believe that the future costs associated with the project will have a material adverse effect on our results of operations or financial condition.</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340" w:type="dxa"/>
            <w:vAlign w:val="bottom"/>
          </w:tcPr>
          <w:p>
            <w:pPr>
              <w:spacing w:after="0"/>
              <w:rPr>
                <w:sz w:val="20"/>
                <w:szCs w:val="20"/>
                <w:color w:val="auto"/>
              </w:rPr>
            </w:pPr>
            <w:r>
              <w:rPr>
                <w:rFonts w:ascii="Courier New" w:cs="Courier New" w:eastAsia="Courier New" w:hAnsi="Courier New"/>
                <w:sz w:val="13"/>
                <w:szCs w:val="13"/>
                <w:color w:val="auto"/>
              </w:rPr>
              <w:t>8</w:t>
            </w:r>
          </w:p>
        </w:tc>
      </w:tr>
      <w:tr>
        <w:trPr>
          <w:trHeight w:val="292"/>
        </w:trPr>
        <w:tc>
          <w:tcPr>
            <w:tcW w:w="2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r>
        <w:trPr>
          <w:trHeight w:val="439"/>
        </w:trPr>
        <w:tc>
          <w:tcPr>
            <w:tcW w:w="2040" w:type="dxa"/>
            <w:vAlign w:val="bottom"/>
          </w:tcPr>
          <w:p>
            <w:pPr>
              <w:spacing w:after="0"/>
              <w:rPr>
                <w:sz w:val="20"/>
                <w:szCs w:val="20"/>
                <w:color w:val="auto"/>
              </w:rPr>
            </w:pPr>
            <w:r>
              <w:rPr>
                <w:rFonts w:ascii="Courier New" w:cs="Courier New" w:eastAsia="Courier New" w:hAnsi="Courier New"/>
                <w:sz w:val="13"/>
                <w:szCs w:val="13"/>
                <w:b w:val="1"/>
                <w:bCs w:val="1"/>
                <w:color w:val="auto"/>
              </w:rPr>
              <w:t>Executive Officers of the</w:t>
            </w:r>
          </w:p>
        </w:tc>
        <w:tc>
          <w:tcPr>
            <w:tcW w:w="840" w:type="dxa"/>
            <w:vAlign w:val="bottom"/>
          </w:tcPr>
          <w:p>
            <w:pPr>
              <w:ind w:left="40"/>
              <w:spacing w:after="0"/>
              <w:rPr>
                <w:sz w:val="20"/>
                <w:szCs w:val="20"/>
                <w:color w:val="auto"/>
              </w:rPr>
            </w:pPr>
            <w:r>
              <w:rPr>
                <w:rFonts w:ascii="Courier New" w:cs="Courier New" w:eastAsia="Courier New" w:hAnsi="Courier New"/>
                <w:sz w:val="13"/>
                <w:szCs w:val="13"/>
                <w:b w:val="1"/>
                <w:bCs w:val="1"/>
                <w:color w:val="auto"/>
                <w:w w:val="99"/>
              </w:rPr>
              <w:t>Registrant</w:t>
            </w:r>
          </w:p>
        </w:tc>
        <w:tc>
          <w:tcPr>
            <w:tcW w:w="240" w:type="dxa"/>
            <w:vAlign w:val="bottom"/>
          </w:tcPr>
          <w:p>
            <w:pPr>
              <w:spacing w:after="0"/>
              <w:rPr>
                <w:sz w:val="24"/>
                <w:szCs w:val="24"/>
                <w:color w:val="auto"/>
              </w:rPr>
            </w:pPr>
          </w:p>
        </w:tc>
        <w:tc>
          <w:tcPr>
            <w:tcW w:w="8340" w:type="dxa"/>
            <w:vAlign w:val="bottom"/>
          </w:tcPr>
          <w:p>
            <w:pPr>
              <w:spacing w:after="0"/>
              <w:rPr>
                <w:sz w:val="24"/>
                <w:szCs w:val="24"/>
                <w:color w:val="auto"/>
              </w:rPr>
            </w:pPr>
          </w:p>
        </w:tc>
      </w:tr>
      <w:tr>
        <w:trPr>
          <w:trHeight w:val="308"/>
        </w:trPr>
        <w:tc>
          <w:tcPr>
            <w:tcW w:w="288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Our executive officers are:</w:t>
            </w:r>
          </w:p>
        </w:tc>
        <w:tc>
          <w:tcPr>
            <w:tcW w:w="240" w:type="dxa"/>
            <w:vAlign w:val="bottom"/>
          </w:tcPr>
          <w:p>
            <w:pPr>
              <w:spacing w:after="0"/>
              <w:rPr>
                <w:sz w:val="24"/>
                <w:szCs w:val="24"/>
                <w:color w:val="auto"/>
              </w:rPr>
            </w:pPr>
          </w:p>
        </w:tc>
        <w:tc>
          <w:tcPr>
            <w:tcW w:w="8340" w:type="dxa"/>
            <w:vAlign w:val="bottom"/>
          </w:tcPr>
          <w:p>
            <w:pPr>
              <w:spacing w:after="0"/>
              <w:rPr>
                <w:sz w:val="24"/>
                <w:szCs w:val="24"/>
                <w:color w:val="auto"/>
              </w:rPr>
            </w:pPr>
          </w:p>
        </w:tc>
      </w:tr>
      <w:tr>
        <w:trPr>
          <w:trHeight w:val="308"/>
        </w:trPr>
        <w:tc>
          <w:tcPr>
            <w:tcW w:w="2040" w:type="dxa"/>
            <w:vAlign w:val="bottom"/>
          </w:tcPr>
          <w:p>
            <w:pPr>
              <w:ind w:left="720"/>
              <w:spacing w:after="0"/>
              <w:rPr>
                <w:sz w:val="20"/>
                <w:szCs w:val="20"/>
                <w:color w:val="auto"/>
              </w:rPr>
            </w:pPr>
            <w:r>
              <w:rPr>
                <w:rFonts w:ascii="Courier New" w:cs="Courier New" w:eastAsia="Courier New" w:hAnsi="Courier New"/>
                <w:sz w:val="13"/>
                <w:szCs w:val="13"/>
                <w:b w:val="1"/>
                <w:bCs w:val="1"/>
                <w:color w:val="auto"/>
              </w:rPr>
              <w:t>Name</w:t>
            </w:r>
          </w:p>
        </w:tc>
        <w:tc>
          <w:tcPr>
            <w:tcW w:w="8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Courier New" w:cs="Courier New" w:eastAsia="Courier New" w:hAnsi="Courier New"/>
                <w:sz w:val="13"/>
                <w:szCs w:val="13"/>
                <w:b w:val="1"/>
                <w:bCs w:val="1"/>
                <w:color w:val="auto"/>
                <w:w w:val="93"/>
              </w:rPr>
              <w:t>Age</w:t>
            </w:r>
          </w:p>
        </w:tc>
        <w:tc>
          <w:tcPr>
            <w:tcW w:w="8340" w:type="dxa"/>
            <w:vAlign w:val="bottom"/>
          </w:tcPr>
          <w:p>
            <w:pPr>
              <w:ind w:left="420"/>
              <w:spacing w:after="0"/>
              <w:rPr>
                <w:sz w:val="20"/>
                <w:szCs w:val="20"/>
                <w:color w:val="auto"/>
              </w:rPr>
            </w:pPr>
            <w:r>
              <w:rPr>
                <w:rFonts w:ascii="Courier New" w:cs="Courier New" w:eastAsia="Courier New" w:hAnsi="Courier New"/>
                <w:sz w:val="13"/>
                <w:szCs w:val="13"/>
                <w:b w:val="1"/>
                <w:bCs w:val="1"/>
                <w:color w:val="auto"/>
              </w:rPr>
              <w:t>Position</w:t>
            </w:r>
          </w:p>
        </w:tc>
      </w:tr>
      <w:tr>
        <w:trPr>
          <w:trHeight w:val="154"/>
        </w:trPr>
        <w:tc>
          <w:tcPr>
            <w:tcW w:w="2040" w:type="dxa"/>
            <w:vAlign w:val="bottom"/>
          </w:tcPr>
          <w:p>
            <w:pPr>
              <w:ind w:left="720"/>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Courier New" w:cs="Courier New" w:eastAsia="Courier New" w:hAnsi="Courier New"/>
                <w:sz w:val="13"/>
                <w:szCs w:val="13"/>
                <w:b w:val="1"/>
                <w:bCs w:val="1"/>
                <w:color w:val="auto"/>
                <w:w w:val="93"/>
              </w:rPr>
              <w:t>---</w:t>
            </w:r>
          </w:p>
        </w:tc>
        <w:tc>
          <w:tcPr>
            <w:tcW w:w="8340" w:type="dxa"/>
            <w:vAlign w:val="bottom"/>
          </w:tcPr>
          <w:p>
            <w:pPr>
              <w:ind w:left="420"/>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2040" w:type="dxa"/>
            <w:vAlign w:val="bottom"/>
          </w:tcPr>
          <w:p>
            <w:pPr>
              <w:ind w:left="720"/>
              <w:spacing w:after="0"/>
              <w:rPr>
                <w:sz w:val="20"/>
                <w:szCs w:val="20"/>
                <w:color w:val="auto"/>
              </w:rPr>
            </w:pPr>
            <w:r>
              <w:rPr>
                <w:rFonts w:ascii="Courier New" w:cs="Courier New" w:eastAsia="Courier New" w:hAnsi="Courier New"/>
                <w:sz w:val="13"/>
                <w:szCs w:val="13"/>
                <w:color w:val="auto"/>
              </w:rPr>
              <w:t>Roderick R. Baty</w:t>
            </w:r>
          </w:p>
        </w:tc>
        <w:tc>
          <w:tcPr>
            <w:tcW w:w="8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Courier New" w:cs="Courier New" w:eastAsia="Courier New" w:hAnsi="Courier New"/>
                <w:sz w:val="13"/>
                <w:szCs w:val="13"/>
                <w:color w:val="auto"/>
              </w:rPr>
              <w:t>49</w:t>
            </w:r>
          </w:p>
        </w:tc>
        <w:tc>
          <w:tcPr>
            <w:tcW w:w="8340" w:type="dxa"/>
            <w:vAlign w:val="bottom"/>
          </w:tcPr>
          <w:p>
            <w:pPr>
              <w:ind w:left="420"/>
              <w:spacing w:after="0"/>
              <w:rPr>
                <w:sz w:val="20"/>
                <w:szCs w:val="20"/>
                <w:color w:val="auto"/>
              </w:rPr>
            </w:pPr>
            <w:r>
              <w:rPr>
                <w:rFonts w:ascii="Courier New" w:cs="Courier New" w:eastAsia="Courier New" w:hAnsi="Courier New"/>
                <w:sz w:val="13"/>
                <w:szCs w:val="13"/>
                <w:color w:val="auto"/>
              </w:rPr>
              <w:t>Chairman of the Board, Chief Executive Officer, President and</w:t>
            </w:r>
          </w:p>
        </w:tc>
      </w:tr>
      <w:tr>
        <w:trPr>
          <w:trHeight w:val="154"/>
        </w:trPr>
        <w:tc>
          <w:tcPr>
            <w:tcW w:w="2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340" w:type="dxa"/>
            <w:vAlign w:val="bottom"/>
          </w:tcPr>
          <w:p>
            <w:pPr>
              <w:ind w:left="420"/>
              <w:spacing w:after="0"/>
              <w:rPr>
                <w:sz w:val="20"/>
                <w:szCs w:val="20"/>
                <w:color w:val="auto"/>
              </w:rPr>
            </w:pPr>
            <w:r>
              <w:rPr>
                <w:rFonts w:ascii="Courier New" w:cs="Courier New" w:eastAsia="Courier New" w:hAnsi="Courier New"/>
                <w:sz w:val="13"/>
                <w:szCs w:val="13"/>
                <w:color w:val="auto"/>
              </w:rPr>
              <w:t>Director</w:t>
            </w:r>
          </w:p>
        </w:tc>
      </w:tr>
      <w:tr>
        <w:trPr>
          <w:trHeight w:val="308"/>
        </w:trPr>
        <w:tc>
          <w:tcPr>
            <w:tcW w:w="2040" w:type="dxa"/>
            <w:vAlign w:val="bottom"/>
          </w:tcPr>
          <w:p>
            <w:pPr>
              <w:ind w:left="720"/>
              <w:spacing w:after="0"/>
              <w:rPr>
                <w:sz w:val="20"/>
                <w:szCs w:val="20"/>
                <w:color w:val="auto"/>
              </w:rPr>
            </w:pPr>
            <w:r>
              <w:rPr>
                <w:rFonts w:ascii="Courier New" w:cs="Courier New" w:eastAsia="Courier New" w:hAnsi="Courier New"/>
                <w:sz w:val="13"/>
                <w:szCs w:val="13"/>
                <w:color w:val="auto"/>
              </w:rPr>
              <w:t>Frank T. Gentry,</w:t>
            </w:r>
          </w:p>
        </w:tc>
        <w:tc>
          <w:tcPr>
            <w:tcW w:w="840" w:type="dxa"/>
            <w:vAlign w:val="bottom"/>
          </w:tcPr>
          <w:p>
            <w:pPr>
              <w:ind w:left="40"/>
              <w:spacing w:after="0"/>
              <w:rPr>
                <w:sz w:val="20"/>
                <w:szCs w:val="20"/>
                <w:color w:val="auto"/>
              </w:rPr>
            </w:pPr>
            <w:r>
              <w:rPr>
                <w:rFonts w:ascii="Courier New" w:cs="Courier New" w:eastAsia="Courier New" w:hAnsi="Courier New"/>
                <w:sz w:val="13"/>
                <w:szCs w:val="13"/>
                <w:color w:val="auto"/>
              </w:rPr>
              <w:t>III</w:t>
            </w:r>
          </w:p>
        </w:tc>
        <w:tc>
          <w:tcPr>
            <w:tcW w:w="240" w:type="dxa"/>
            <w:vAlign w:val="bottom"/>
          </w:tcPr>
          <w:p>
            <w:pPr>
              <w:spacing w:after="0"/>
              <w:rPr>
                <w:sz w:val="20"/>
                <w:szCs w:val="20"/>
                <w:color w:val="auto"/>
              </w:rPr>
            </w:pPr>
            <w:r>
              <w:rPr>
                <w:rFonts w:ascii="Courier New" w:cs="Courier New" w:eastAsia="Courier New" w:hAnsi="Courier New"/>
                <w:sz w:val="13"/>
                <w:szCs w:val="13"/>
                <w:color w:val="auto"/>
              </w:rPr>
              <w:t>47</w:t>
            </w:r>
          </w:p>
        </w:tc>
        <w:tc>
          <w:tcPr>
            <w:tcW w:w="8340" w:type="dxa"/>
            <w:vAlign w:val="bottom"/>
          </w:tcPr>
          <w:p>
            <w:pPr>
              <w:ind w:left="420"/>
              <w:spacing w:after="0"/>
              <w:rPr>
                <w:sz w:val="20"/>
                <w:szCs w:val="20"/>
                <w:color w:val="auto"/>
              </w:rPr>
            </w:pPr>
            <w:r>
              <w:rPr>
                <w:rFonts w:ascii="Courier New" w:cs="Courier New" w:eastAsia="Courier New" w:hAnsi="Courier New"/>
                <w:sz w:val="13"/>
                <w:szCs w:val="13"/>
                <w:color w:val="auto"/>
              </w:rPr>
              <w:t>Vice President - Manufacturing</w:t>
            </w:r>
          </w:p>
        </w:tc>
      </w:tr>
      <w:tr>
        <w:trPr>
          <w:trHeight w:val="308"/>
        </w:trPr>
        <w:tc>
          <w:tcPr>
            <w:tcW w:w="2040" w:type="dxa"/>
            <w:vAlign w:val="bottom"/>
          </w:tcPr>
          <w:p>
            <w:pPr>
              <w:ind w:left="720"/>
              <w:spacing w:after="0"/>
              <w:rPr>
                <w:sz w:val="20"/>
                <w:szCs w:val="20"/>
                <w:color w:val="auto"/>
              </w:rPr>
            </w:pPr>
            <w:r>
              <w:rPr>
                <w:rFonts w:ascii="Courier New" w:cs="Courier New" w:eastAsia="Courier New" w:hAnsi="Courier New"/>
                <w:sz w:val="13"/>
                <w:szCs w:val="13"/>
                <w:color w:val="auto"/>
              </w:rPr>
              <w:t>Robert R. Sams</w:t>
            </w:r>
          </w:p>
        </w:tc>
        <w:tc>
          <w:tcPr>
            <w:tcW w:w="8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Courier New" w:cs="Courier New" w:eastAsia="Courier New" w:hAnsi="Courier New"/>
                <w:sz w:val="13"/>
                <w:szCs w:val="13"/>
                <w:color w:val="auto"/>
              </w:rPr>
              <w:t>45</w:t>
            </w:r>
          </w:p>
        </w:tc>
        <w:tc>
          <w:tcPr>
            <w:tcW w:w="8340" w:type="dxa"/>
            <w:vAlign w:val="bottom"/>
          </w:tcPr>
          <w:p>
            <w:pPr>
              <w:ind w:left="420"/>
              <w:spacing w:after="0"/>
              <w:rPr>
                <w:sz w:val="20"/>
                <w:szCs w:val="20"/>
                <w:color w:val="auto"/>
              </w:rPr>
            </w:pPr>
            <w:r>
              <w:rPr>
                <w:rFonts w:ascii="Courier New" w:cs="Courier New" w:eastAsia="Courier New" w:hAnsi="Courier New"/>
                <w:sz w:val="13"/>
                <w:szCs w:val="13"/>
                <w:color w:val="auto"/>
              </w:rPr>
              <w:t>Vice President - Market Services</w:t>
            </w:r>
          </w:p>
        </w:tc>
      </w:tr>
      <w:tr>
        <w:trPr>
          <w:trHeight w:val="308"/>
        </w:trPr>
        <w:tc>
          <w:tcPr>
            <w:tcW w:w="2040" w:type="dxa"/>
            <w:vAlign w:val="bottom"/>
          </w:tcPr>
          <w:p>
            <w:pPr>
              <w:ind w:left="720"/>
              <w:spacing w:after="0"/>
              <w:rPr>
                <w:sz w:val="20"/>
                <w:szCs w:val="20"/>
                <w:color w:val="auto"/>
              </w:rPr>
            </w:pPr>
            <w:r>
              <w:rPr>
                <w:rFonts w:ascii="Courier New" w:cs="Courier New" w:eastAsia="Courier New" w:hAnsi="Courier New"/>
                <w:sz w:val="13"/>
                <w:szCs w:val="13"/>
                <w:color w:val="auto"/>
              </w:rPr>
              <w:t>David L. Dyckman</w:t>
            </w:r>
          </w:p>
        </w:tc>
        <w:tc>
          <w:tcPr>
            <w:tcW w:w="8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Courier New" w:cs="Courier New" w:eastAsia="Courier New" w:hAnsi="Courier New"/>
                <w:sz w:val="13"/>
                <w:szCs w:val="13"/>
                <w:color w:val="auto"/>
              </w:rPr>
              <w:t>38</w:t>
            </w:r>
          </w:p>
        </w:tc>
        <w:tc>
          <w:tcPr>
            <w:tcW w:w="8340" w:type="dxa"/>
            <w:vAlign w:val="bottom"/>
          </w:tcPr>
          <w:p>
            <w:pPr>
              <w:ind w:left="420"/>
              <w:spacing w:after="0"/>
              <w:rPr>
                <w:sz w:val="20"/>
                <w:szCs w:val="20"/>
                <w:color w:val="auto"/>
              </w:rPr>
            </w:pPr>
            <w:r>
              <w:rPr>
                <w:rFonts w:ascii="Courier New" w:cs="Courier New" w:eastAsia="Courier New" w:hAnsi="Courier New"/>
                <w:sz w:val="13"/>
                <w:szCs w:val="13"/>
                <w:color w:val="auto"/>
              </w:rPr>
              <w:t>Vice President - Corporate Development and Chief Financial Officer</w:t>
            </w:r>
          </w:p>
        </w:tc>
      </w:tr>
      <w:tr>
        <w:trPr>
          <w:trHeight w:val="308"/>
        </w:trPr>
        <w:tc>
          <w:tcPr>
            <w:tcW w:w="288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William C. Kelly, Jr.</w:t>
            </w:r>
          </w:p>
        </w:tc>
        <w:tc>
          <w:tcPr>
            <w:tcW w:w="240" w:type="dxa"/>
            <w:vAlign w:val="bottom"/>
          </w:tcPr>
          <w:p>
            <w:pPr>
              <w:spacing w:after="0"/>
              <w:rPr>
                <w:sz w:val="20"/>
                <w:szCs w:val="20"/>
                <w:color w:val="auto"/>
              </w:rPr>
            </w:pPr>
            <w:r>
              <w:rPr>
                <w:rFonts w:ascii="Courier New" w:cs="Courier New" w:eastAsia="Courier New" w:hAnsi="Courier New"/>
                <w:sz w:val="13"/>
                <w:szCs w:val="13"/>
                <w:color w:val="auto"/>
              </w:rPr>
              <w:t>44</w:t>
            </w:r>
          </w:p>
        </w:tc>
        <w:tc>
          <w:tcPr>
            <w:tcW w:w="8340" w:type="dxa"/>
            <w:vAlign w:val="bottom"/>
          </w:tcPr>
          <w:p>
            <w:pPr>
              <w:ind w:left="420"/>
              <w:spacing w:after="0"/>
              <w:rPr>
                <w:sz w:val="20"/>
                <w:szCs w:val="20"/>
                <w:color w:val="auto"/>
              </w:rPr>
            </w:pPr>
            <w:r>
              <w:rPr>
                <w:rFonts w:ascii="Courier New" w:cs="Courier New" w:eastAsia="Courier New" w:hAnsi="Courier New"/>
                <w:sz w:val="13"/>
                <w:szCs w:val="13"/>
                <w:color w:val="auto"/>
              </w:rPr>
              <w:t>Treasurer, Secretary and Chief Administrative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-1870710</wp:posOffset>
            </wp:positionV>
            <wp:extent cx="3175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-1870710</wp:posOffset>
            </wp:positionV>
            <wp:extent cx="3175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139" w:lineRule="exact"/>
        <w:rPr>
          <w:sz w:val="20"/>
          <w:szCs w:val="20"/>
          <w:color w:val="auto"/>
        </w:rPr>
      </w:pPr>
    </w:p>
    <w:p>
      <w:pPr>
        <w:ind w:right="5280"/>
        <w:spacing w:after="0" w:line="254" w:lineRule="auto"/>
        <w:rPr>
          <w:sz w:val="20"/>
          <w:szCs w:val="20"/>
          <w:color w:val="auto"/>
        </w:rPr>
      </w:pPr>
      <w:r>
        <w:rPr>
          <w:rFonts w:ascii="Courier New" w:cs="Courier New" w:eastAsia="Courier New" w:hAnsi="Courier New"/>
          <w:sz w:val="13"/>
          <w:szCs w:val="13"/>
          <w:color w:val="auto"/>
        </w:rPr>
        <w:t>Set forth below is certain additional information with respect to each of our executive officers.</w:t>
      </w:r>
    </w:p>
    <w:p>
      <w:pPr>
        <w:spacing w:after="0" w:line="151" w:lineRule="exact"/>
        <w:rPr>
          <w:sz w:val="20"/>
          <w:szCs w:val="20"/>
          <w:color w:val="auto"/>
        </w:rPr>
      </w:pPr>
    </w:p>
    <w:p>
      <w:pPr>
        <w:ind w:right="5120" w:firstLine="722"/>
        <w:spacing w:after="0" w:line="252" w:lineRule="auto"/>
        <w:rPr>
          <w:sz w:val="20"/>
          <w:szCs w:val="20"/>
          <w:color w:val="auto"/>
        </w:rPr>
      </w:pPr>
      <w:r>
        <w:rPr>
          <w:rFonts w:ascii="Courier New" w:cs="Courier New" w:eastAsia="Courier New" w:hAnsi="Courier New"/>
          <w:sz w:val="13"/>
          <w:szCs w:val="13"/>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306"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Frank T. Gentry, III, was originally appointed Vice President - Manufacturing in August 1995. Mr. Gentry is responsible for the global operations of the Ball and Roller and Euroball Segments. Mr. Gentry's responsibilities include purchasing, inventory control and transportation. Mr. Gentry joined NN in 1981 and held various production control positions within NN from 1981 to August 1995.</w:t>
      </w:r>
    </w:p>
    <w:p>
      <w:pPr>
        <w:spacing w:after="0" w:line="155"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Robert R. Sams joined NN in 1996 as Plant Manager of the Mountain City, Tennessee facility. In 1997, Mr. Sams served as Managing Director of the Kilkenny facility and in 1999 was elected to the position of Vice President - Market Services. Prior to joining NN, Mr. Sams held various positions with Hoover Precision Products from 1980 to 1994 and most recently as Vice President of Production for Blum, Inc. from 1994 to 1996.</w:t>
      </w:r>
    </w:p>
    <w:p>
      <w:pPr>
        <w:spacing w:after="0" w:line="155" w:lineRule="exact"/>
        <w:rPr>
          <w:sz w:val="20"/>
          <w:szCs w:val="20"/>
          <w:color w:val="auto"/>
        </w:rPr>
      </w:pPr>
    </w:p>
    <w:p>
      <w:pPr>
        <w:ind w:right="5120" w:firstLine="722"/>
        <w:spacing w:after="0" w:line="251" w:lineRule="auto"/>
        <w:rPr>
          <w:sz w:val="20"/>
          <w:szCs w:val="20"/>
          <w:color w:val="auto"/>
        </w:rPr>
      </w:pPr>
      <w:r>
        <w:rPr>
          <w:rFonts w:ascii="Courier New" w:cs="Courier New" w:eastAsia="Courier New" w:hAnsi="Courier New"/>
          <w:sz w:val="13"/>
          <w:szCs w:val="13"/>
          <w:color w:val="auto"/>
        </w:rPr>
        <w:t>David L. Dyckman was appointed Vice President of Corporate Development and Chief Financial Officer in April 1998. Prior to joining NN,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56"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William C. Kelly, Jr. joined NN in 1993 as Assistant Treasurer and Manager of Investor Relations. In March, 2003, Mr. Kelly was elected to serve as NN's Chief Administrative Officer. In July 1994, Mr. Kelly was elected to serve as NN's Chief Accounting Officer, and served in that capacity through March 2003. In February 1995, was elected Treasurer and Assistant Secretary. In March 1999 he was elected Secretary of NN and still serves in that capacity as well as that of Treasurer. Prior to joining NN, Mr. Kelly served from 1988 to 1993 as a Staff Accountant and as a Senior Auditor with the accounting firm of PricewaterhouseCoopers LLP.</w:t>
      </w:r>
    </w:p>
    <w:p>
      <w:pPr>
        <w:spacing w:after="0" w:line="15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2.</w:t>
        <w:tab/>
        <w:t>Properties</w:t>
      </w:r>
    </w:p>
    <w:p>
      <w:pPr>
        <w:spacing w:after="0" w:line="161" w:lineRule="exact"/>
        <w:rPr>
          <w:sz w:val="20"/>
          <w:szCs w:val="20"/>
          <w:color w:val="auto"/>
        </w:rPr>
      </w:pPr>
    </w:p>
    <w:p>
      <w:pPr>
        <w:ind w:right="5200" w:firstLine="722"/>
        <w:spacing w:after="0" w:line="251" w:lineRule="auto"/>
        <w:rPr>
          <w:sz w:val="20"/>
          <w:szCs w:val="20"/>
          <w:color w:val="auto"/>
        </w:rPr>
      </w:pPr>
      <w:r>
        <w:rPr>
          <w:rFonts w:ascii="Courier New" w:cs="Courier New" w:eastAsia="Courier New" w:hAnsi="Courier New"/>
          <w:sz w:val="13"/>
          <w:szCs w:val="13"/>
          <w:color w:val="auto"/>
        </w:rPr>
        <w:t>The Company has two operating domestic ball manufacturing facilities located in Erwin, Tennessee and Mountain City, Tennessee. Rollers are produced only at the Erwin, Tennessee facility. Production began in early 1996 at the Mountain City facility. During December 2001, we ceased production and closed our facility in Walterboro, South Carolina. The Walterboro, South Carolina facility is classified as held for sale at December 31, 2002 and 2001.</w:t>
      </w:r>
    </w:p>
    <w:p>
      <w:pPr>
        <w:spacing w:after="0" w:line="15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5040" w:firstLine="722"/>
        <w:spacing w:after="0" w:line="252" w:lineRule="auto"/>
        <w:rPr>
          <w:sz w:val="20"/>
          <w:szCs w:val="20"/>
          <w:color w:val="auto"/>
        </w:rPr>
      </w:pPr>
      <w:r>
        <w:rPr>
          <w:rFonts w:ascii="Courier New" w:cs="Courier New" w:eastAsia="Courier New" w:hAnsi="Courier New"/>
          <w:sz w:val="13"/>
          <w:szCs w:val="13"/>
          <w:color w:val="auto"/>
        </w:rPr>
        <w:t>The Erwin and Mountain City plants currently have approximately 125,000 and 86,400 square feet of manufacturing space, respectively. The Erwin plant is located on a 12 acre tract of land owned by the Company and the Mountain City plant is located on an eight acre tract of land owned by the Company.</w:t>
      </w:r>
    </w:p>
    <w:p>
      <w:pPr>
        <w:spacing w:after="0" w:line="153" w:lineRule="exact"/>
        <w:rPr>
          <w:sz w:val="20"/>
          <w:szCs w:val="20"/>
          <w:color w:val="auto"/>
        </w:rPr>
      </w:pPr>
    </w:p>
    <w:p>
      <w:pPr>
        <w:ind w:right="5120" w:firstLine="722"/>
        <w:spacing w:after="0" w:line="251" w:lineRule="auto"/>
        <w:rPr>
          <w:sz w:val="20"/>
          <w:szCs w:val="20"/>
          <w:color w:val="auto"/>
        </w:rPr>
      </w:pPr>
      <w:r>
        <w:rPr>
          <w:rFonts w:ascii="Courier New" w:cs="Courier New" w:eastAsia="Courier New" w:hAnsi="Courier New"/>
          <w:sz w:val="13"/>
          <w:szCs w:val="13"/>
          <w:color w:val="auto"/>
        </w:rPr>
        <w:t>Through Euroball we manufacture high precision steel balls in three manufacturing facilities located in Kilkenny, Ireland, Eltmann, Germany and Pinerolo, Italy. The facilities currently have approximately 125,000, 175,000 and 330,000 square feet of manufacturing space, respectively. The Kilkenny facility is located on a two acre tract owned by Euroball, the Eltmann facility is leased from FAG and the Pinerolo facility is located on a nine acre tract owned by Euroball.</w:t>
      </w:r>
    </w:p>
    <w:p>
      <w:pPr>
        <w:spacing w:after="0" w:line="156" w:lineRule="exact"/>
        <w:rPr>
          <w:sz w:val="20"/>
          <w:szCs w:val="20"/>
          <w:color w:val="auto"/>
        </w:rPr>
      </w:pPr>
    </w:p>
    <w:p>
      <w:pPr>
        <w:ind w:right="5040" w:firstLine="722"/>
        <w:spacing w:after="0" w:line="252" w:lineRule="auto"/>
        <w:rPr>
          <w:sz w:val="20"/>
          <w:szCs w:val="20"/>
          <w:color w:val="auto"/>
        </w:rPr>
      </w:pPr>
      <w:r>
        <w:rPr>
          <w:rFonts w:ascii="Courier New" w:cs="Courier New" w:eastAsia="Courier New" w:hAnsi="Courier New"/>
          <w:sz w:val="13"/>
          <w:szCs w:val="13"/>
          <w:color w:val="auto"/>
        </w:rPr>
        <w:t>IMC manufactures a wide range of plastic molded products through two facilities located in Lubbock, Texas. The Slaton facility, located on a six and one half acre tract of land owned by the Company, contains approximately 193,000 square feet of manufacturing, warehouse and office space. The Cedar facility is situated on a two and one half acre tract of land which is also owned by the</w:t>
      </w:r>
    </w:p>
    <w:p>
      <w:pPr>
        <w:sectPr>
          <w:pgSz w:w="11900" w:h="16838" w:orient="portrait"/>
          <w:cols w:equalWidth="0" w:num="1">
            <w:col w:w="11460"/>
          </w:cols>
          <w:pgMar w:left="220" w:top="141" w:right="219" w:bottom="0" w:gutter="0" w:footer="0" w:header="0"/>
        </w:sectPr>
      </w:pPr>
    </w:p>
    <w:bookmarkStart w:id="7" w:name="page8"/>
    <w:bookmarkEnd w:id="7"/>
    <w:p>
      <w:pPr>
        <w:ind w:right="4299"/>
        <w:spacing w:after="0" w:line="254" w:lineRule="auto"/>
        <w:rPr>
          <w:sz w:val="20"/>
          <w:szCs w:val="20"/>
          <w:color w:val="auto"/>
        </w:rPr>
      </w:pPr>
      <w:r>
        <w:rPr>
          <w:rFonts w:ascii="Courier New" w:cs="Courier New" w:eastAsia="Courier New" w:hAnsi="Courier New"/>
          <w:sz w:val="13"/>
          <w:szCs w:val="13"/>
          <w:color w:val="auto"/>
        </w:rPr>
        <w:t>Company and contains approximately 35,000 square feet of manufacturing and warehouse space.</w:t>
      </w:r>
    </w:p>
    <w:p>
      <w:pPr>
        <w:spacing w:after="0" w:line="15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NN Arté leases a single 18,000 square foot facility in Guadalajara,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Mexico.</w:t>
      </w:r>
    </w:p>
    <w:p>
      <w:pPr>
        <w:spacing w:after="0" w:line="161" w:lineRule="exact"/>
        <w:rPr>
          <w:sz w:val="20"/>
          <w:szCs w:val="20"/>
          <w:color w:val="auto"/>
        </w:rPr>
      </w:pPr>
    </w:p>
    <w:p>
      <w:pPr>
        <w:ind w:right="3899" w:firstLine="722"/>
        <w:spacing w:after="0" w:line="253" w:lineRule="auto"/>
        <w:rPr>
          <w:sz w:val="20"/>
          <w:szCs w:val="20"/>
          <w:color w:val="auto"/>
        </w:rPr>
      </w:pPr>
      <w:r>
        <w:rPr>
          <w:rFonts w:ascii="Courier New" w:cs="Courier New" w:eastAsia="Courier New" w:hAnsi="Courier New"/>
          <w:sz w:val="13"/>
          <w:szCs w:val="13"/>
          <w:color w:val="auto"/>
        </w:rPr>
        <w:t>Delta's operations are located in two facilities on a 12-acre site in Danielson, Connecticut, owned by the Company. The two facilities encompass over 50,000 square feet of rubber seal manufacturing and administrative functions.</w:t>
      </w:r>
    </w:p>
    <w:p>
      <w:pPr>
        <w:spacing w:after="0" w:line="151"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During 2002, the Company added new machinery and equipment at all of its facilities. See "Management's Discussion and Analysis of Financial Condition and Results of Operations -- Liquidity and Capital Resources."</w:t>
      </w:r>
    </w:p>
    <w:p>
      <w:pPr>
        <w:spacing w:after="0" w:line="15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3.</w:t>
        <w:tab/>
        <w:t>Legal Proceedings</w:t>
      </w:r>
    </w:p>
    <w:p>
      <w:pPr>
        <w:spacing w:after="0" w:line="161" w:lineRule="exact"/>
        <w:rPr>
          <w:sz w:val="20"/>
          <w:szCs w:val="20"/>
          <w:color w:val="auto"/>
        </w:rPr>
      </w:pPr>
    </w:p>
    <w:p>
      <w:pPr>
        <w:ind w:right="4059" w:firstLine="722"/>
        <w:spacing w:after="0" w:line="251" w:lineRule="auto"/>
        <w:rPr>
          <w:sz w:val="20"/>
          <w:szCs w:val="20"/>
          <w:color w:val="auto"/>
        </w:rPr>
      </w:pPr>
      <w:r>
        <w:rPr>
          <w:rFonts w:ascii="Courier New" w:cs="Courier New" w:eastAsia="Courier New" w:hAnsi="Courier New"/>
          <w:sz w:val="13"/>
          <w:szCs w:val="13"/>
          <w:color w:val="auto"/>
        </w:rPr>
        <w:t>From time to time the Company is subject to legal actions related to its operations, most of which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5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4.</w:t>
        <w:tab/>
        <w:t>Submission of Matters to a Vote of Security Holders</w:t>
      </w:r>
    </w:p>
    <w:p>
      <w:pPr>
        <w:spacing w:after="0" w:line="161" w:lineRule="exact"/>
        <w:rPr>
          <w:sz w:val="20"/>
          <w:szCs w:val="20"/>
          <w:color w:val="auto"/>
        </w:rPr>
      </w:pPr>
    </w:p>
    <w:p>
      <w:pPr>
        <w:ind w:right="3899" w:firstLine="722"/>
        <w:spacing w:after="0" w:line="254" w:lineRule="auto"/>
        <w:rPr>
          <w:sz w:val="20"/>
          <w:szCs w:val="20"/>
          <w:color w:val="auto"/>
        </w:rPr>
      </w:pPr>
      <w:r>
        <w:rPr>
          <w:rFonts w:ascii="Courier New" w:cs="Courier New" w:eastAsia="Courier New" w:hAnsi="Courier New"/>
          <w:sz w:val="13"/>
          <w:szCs w:val="13"/>
          <w:color w:val="auto"/>
        </w:rPr>
        <w:t>No matters were submitted for a vote of stockholders during the fourth quarter of 2002.</w:t>
      </w:r>
    </w:p>
    <w:p>
      <w:pPr>
        <w:spacing w:after="0" w:line="15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b w:val="1"/>
          <w:bCs w:val="1"/>
          <w:color w:val="auto"/>
        </w:rPr>
        <w:t>Part II</w:t>
      </w:r>
    </w:p>
    <w:p>
      <w:pPr>
        <w:spacing w:after="0" w:line="16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5.</w:t>
        <w:tab/>
        <w:t>Market for the Registrant's Common Equity and Related Stockholder Matters</w:t>
      </w:r>
    </w:p>
    <w:p>
      <w:pPr>
        <w:spacing w:after="0" w:line="161" w:lineRule="exact"/>
        <w:rPr>
          <w:sz w:val="20"/>
          <w:szCs w:val="20"/>
          <w:color w:val="auto"/>
        </w:rPr>
      </w:pPr>
    </w:p>
    <w:p>
      <w:pPr>
        <w:jc w:val="both"/>
        <w:ind w:right="3979" w:firstLine="722"/>
        <w:spacing w:after="0" w:line="252" w:lineRule="auto"/>
        <w:rPr>
          <w:sz w:val="20"/>
          <w:szCs w:val="20"/>
          <w:color w:val="auto"/>
        </w:rPr>
      </w:pPr>
      <w:r>
        <w:rPr>
          <w:rFonts w:ascii="Courier New" w:cs="Courier New" w:eastAsia="Courier New" w:hAnsi="Courier New"/>
          <w:sz w:val="13"/>
          <w:szCs w:val="13"/>
          <w:color w:val="auto"/>
        </w:rPr>
        <w:t>Since the Company's initial public offering in 1994, the Common Stock has been traded on the Nasdaq National Market under the trading symbol "NNBR." Prior to such time there was no established market for the Common Stock. As of March 28, 2003, there were approximately 1,800 holders of the Common Stock.</w:t>
      </w:r>
    </w:p>
    <w:p>
      <w:pPr>
        <w:spacing w:after="0" w:line="153" w:lineRule="exact"/>
        <w:rPr>
          <w:sz w:val="20"/>
          <w:szCs w:val="20"/>
          <w:color w:val="auto"/>
        </w:rPr>
      </w:pPr>
    </w:p>
    <w:p>
      <w:pPr>
        <w:jc w:val="both"/>
        <w:ind w:right="4139" w:firstLine="722"/>
        <w:spacing w:after="0" w:line="253" w:lineRule="auto"/>
        <w:rPr>
          <w:sz w:val="20"/>
          <w:szCs w:val="20"/>
          <w:color w:val="auto"/>
        </w:rPr>
      </w:pPr>
      <w:r>
        <w:rPr>
          <w:rFonts w:ascii="Courier New" w:cs="Courier New" w:eastAsia="Courier New" w:hAnsi="Courier New"/>
          <w:sz w:val="13"/>
          <w:szCs w:val="13"/>
          <w:color w:val="auto"/>
        </w:rPr>
        <w:t>The following table sets forth the high and low sales prices of the Common Stock, as reported by Nasdaq, and the dividends paid per share on the Common Stock during each calendar quarter of 2002, 2001 and 2000.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ind w:right="873"/>
              <w:spacing w:after="0"/>
              <w:rPr>
                <w:sz w:val="20"/>
                <w:szCs w:val="20"/>
                <w:color w:val="auto"/>
              </w:rPr>
            </w:pPr>
            <w:r>
              <w:rPr>
                <w:rFonts w:ascii="Courier New" w:cs="Courier New" w:eastAsia="Courier New" w:hAnsi="Courier New"/>
                <w:sz w:val="13"/>
                <w:szCs w:val="13"/>
                <w:b w:val="1"/>
                <w:bCs w:val="1"/>
                <w:color w:val="auto"/>
                <w:w w:val="97"/>
              </w:rPr>
              <w:t>Price</w:t>
            </w:r>
          </w:p>
        </w:tc>
        <w:tc>
          <w:tcPr>
            <w:tcW w:w="1080" w:type="dxa"/>
            <w:vAlign w:val="bottom"/>
          </w:tcPr>
          <w:p>
            <w:pPr>
              <w:spacing w:after="0"/>
              <w:rPr>
                <w:sz w:val="12"/>
                <w:szCs w:val="12"/>
                <w:color w:val="auto"/>
              </w:rPr>
            </w:pPr>
          </w:p>
        </w:tc>
      </w:tr>
      <w:tr>
        <w:trPr>
          <w:trHeight w:val="154"/>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873"/>
              <w:spacing w:after="0"/>
              <w:rPr>
                <w:sz w:val="20"/>
                <w:szCs w:val="20"/>
                <w:color w:val="auto"/>
              </w:rPr>
            </w:pPr>
            <w:r>
              <w:rPr>
                <w:rFonts w:ascii="Courier New" w:cs="Courier New" w:eastAsia="Courier New" w:hAnsi="Courier New"/>
                <w:sz w:val="13"/>
                <w:szCs w:val="13"/>
                <w:b w:val="1"/>
                <w:bCs w:val="1"/>
                <w:color w:val="auto"/>
                <w:w w:val="97"/>
              </w:rPr>
              <w:t>-----</w:t>
            </w:r>
          </w:p>
        </w:tc>
        <w:tc>
          <w:tcPr>
            <w:tcW w:w="1080" w:type="dxa"/>
            <w:vAlign w:val="bottom"/>
          </w:tcPr>
          <w:p>
            <w:pPr>
              <w:spacing w:after="0"/>
              <w:rPr>
                <w:sz w:val="13"/>
                <w:szCs w:val="13"/>
                <w:color w:val="auto"/>
              </w:rPr>
            </w:pPr>
          </w:p>
        </w:tc>
      </w:tr>
      <w:tr>
        <w:trPr>
          <w:trHeight w:val="154"/>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High</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Low</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Dividend</w:t>
            </w:r>
          </w:p>
        </w:tc>
      </w:tr>
      <w:tr>
        <w:trPr>
          <w:trHeight w:val="154"/>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2002</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First Quarter</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11.00</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$9.15</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Second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12.80</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9.68</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Third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12.45</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8.08</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Fourth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10.10</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6.98</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308"/>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2001</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First Quarter</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9.17</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$6.53</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Second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10.81</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6.50</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Third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10.84</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7.25</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Fourth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11.30</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7.75</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308"/>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2000</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b w:val="1"/>
                <w:bCs w:val="1"/>
                <w:color w:val="auto"/>
              </w:rPr>
              <w:t>- ----</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First Quarter</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10.88</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$6.75</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Second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11.38</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8.03</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Third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10.50</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7.50</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r>
        <w:trPr>
          <w:trHeight w:val="154"/>
        </w:trPr>
        <w:tc>
          <w:tcPr>
            <w:tcW w:w="1560" w:type="dxa"/>
            <w:vAlign w:val="bottom"/>
          </w:tcPr>
          <w:p>
            <w:pPr>
              <w:spacing w:after="0"/>
              <w:rPr>
                <w:sz w:val="20"/>
                <w:szCs w:val="20"/>
                <w:color w:val="auto"/>
              </w:rPr>
            </w:pPr>
            <w:r>
              <w:rPr>
                <w:rFonts w:ascii="Courier New" w:cs="Courier New" w:eastAsia="Courier New" w:hAnsi="Courier New"/>
                <w:sz w:val="13"/>
                <w:szCs w:val="13"/>
                <w:color w:val="auto"/>
              </w:rPr>
              <w:t>Fourth Quarter</w:t>
            </w: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9.50</w:t>
            </w:r>
          </w:p>
        </w:tc>
        <w:tc>
          <w:tcPr>
            <w:tcW w:w="13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7.13</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0.08</w:t>
            </w:r>
          </w:p>
        </w:tc>
      </w:tr>
    </w:tbl>
    <w:p>
      <w:pPr>
        <w:spacing w:after="0" w:line="159"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Additionally, the terms of the Company's revolving credit facility restrict the declaration and payment of dividends in excess of $5.5 million in any fiscal year. The amount of consolidated retained earnings which represents undistributed earnings of 50 percent or less owned persons accounted for by the equity method is zero at December 31, 2002, 2001 and 2000. For further description of the Company's revolving credit facility, see "Management's Discussion and Analysis of Financial Condition and Results of Operations - Liquidity and Capital Resources" herein.</w:t>
      </w:r>
    </w:p>
    <w:p>
      <w:pPr>
        <w:spacing w:after="0" w:line="15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b w:val="1"/>
          <w:bCs w:val="1"/>
          <w:color w:val="auto"/>
        </w:rPr>
        <w:t>Item 6.</w:t>
        <w:tab/>
        <w:t>Selected Financial Data</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following selected financial data of the Company are qualified by reference to and should be read in conjunction with the Consolidated Financial Statements and the Notes thereto included as Item 8. The data set forth below as of December 31, 2002, 2001 and 2000 and for the periods then ended have been derived from the Consolidated Financial Statements of the Company, revised to reflect the restatement thereof as more fully discussed in Note 1 to the Consolidated Financial Statements, which have been audited by KPMG LLP, independent accountants, whose report thereon is included as part of Item 8. The data below as of December 31, 1999 and 1998 and for the periods then ended have been derived from the Consolidated Financial Statements of the Company, which have been audited by PricewaterhouseCoopers LLP, independent accountants. These historical results are not necessarily indicative of the results to be expected in the future. See "Management's Discussion and Analysis of Financial Condition and Results of Operations."</w:t>
      </w:r>
    </w:p>
    <w:p>
      <w:pPr>
        <w:spacing w:after="0" w:line="157"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39"/>
          </w:cols>
          <w:pgMar w:left="220" w:top="14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Restated</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2002</w:t>
            </w:r>
          </w:p>
        </w:tc>
        <w:tc>
          <w:tcPr>
            <w:tcW w:w="1560" w:type="dxa"/>
            <w:vAlign w:val="bottom"/>
            <w:gridSpan w:val="2"/>
          </w:tcPr>
          <w:p>
            <w:pPr>
              <w:ind w:left="680"/>
              <w:spacing w:after="0"/>
              <w:rPr>
                <w:sz w:val="20"/>
                <w:szCs w:val="20"/>
                <w:color w:val="auto"/>
              </w:rPr>
            </w:pPr>
            <w:r>
              <w:rPr>
                <w:rFonts w:ascii="Courier New" w:cs="Courier New" w:eastAsia="Courier New" w:hAnsi="Courier New"/>
                <w:sz w:val="13"/>
                <w:szCs w:val="13"/>
                <w:b w:val="1"/>
                <w:bCs w:val="1"/>
                <w:color w:val="auto"/>
              </w:rPr>
              <w:t>2001</w:t>
            </w:r>
          </w:p>
        </w:tc>
        <w:tc>
          <w:tcPr>
            <w:tcW w:w="1400" w:type="dxa"/>
            <w:vAlign w:val="bottom"/>
            <w:gridSpan w:val="2"/>
          </w:tcPr>
          <w:p>
            <w:pPr>
              <w:jc w:val="right"/>
              <w:ind w:right="613"/>
              <w:spacing w:after="0"/>
              <w:rPr>
                <w:sz w:val="20"/>
                <w:szCs w:val="20"/>
                <w:color w:val="auto"/>
              </w:rPr>
            </w:pPr>
            <w:r>
              <w:rPr>
                <w:rFonts w:ascii="Courier New" w:cs="Courier New" w:eastAsia="Courier New" w:hAnsi="Courier New"/>
                <w:sz w:val="13"/>
                <w:szCs w:val="13"/>
                <w:b w:val="1"/>
                <w:bCs w:val="1"/>
                <w:color w:val="auto"/>
              </w:rPr>
              <w:t>2000</w:t>
            </w:r>
          </w:p>
        </w:tc>
        <w:tc>
          <w:tcPr>
            <w:tcW w:w="1160" w:type="dxa"/>
            <w:vAlign w:val="bottom"/>
            <w:gridSpan w:val="2"/>
          </w:tcPr>
          <w:p>
            <w:pPr>
              <w:jc w:val="right"/>
              <w:ind w:right="493"/>
              <w:spacing w:after="0"/>
              <w:rPr>
                <w:sz w:val="20"/>
                <w:szCs w:val="20"/>
                <w:color w:val="auto"/>
              </w:rPr>
            </w:pPr>
            <w:r>
              <w:rPr>
                <w:rFonts w:ascii="Courier New" w:cs="Courier New" w:eastAsia="Courier New" w:hAnsi="Courier New"/>
                <w:sz w:val="13"/>
                <w:szCs w:val="13"/>
                <w:b w:val="1"/>
                <w:bCs w:val="1"/>
                <w:color w:val="auto"/>
              </w:rPr>
              <w:t>1999</w:t>
            </w:r>
          </w:p>
        </w:tc>
        <w:tc>
          <w:tcPr>
            <w:tcW w:w="1920" w:type="dxa"/>
            <w:vAlign w:val="bottom"/>
          </w:tcPr>
          <w:p>
            <w:pPr>
              <w:jc w:val="right"/>
              <w:ind w:right="1133"/>
              <w:spacing w:after="0"/>
              <w:rPr>
                <w:sz w:val="20"/>
                <w:szCs w:val="20"/>
                <w:color w:val="auto"/>
              </w:rPr>
            </w:pPr>
            <w:r>
              <w:rPr>
                <w:rFonts w:ascii="Courier New" w:cs="Courier New" w:eastAsia="Courier New" w:hAnsi="Courier New"/>
                <w:sz w:val="13"/>
                <w:szCs w:val="13"/>
                <w:b w:val="1"/>
                <w:bCs w:val="1"/>
                <w:color w:val="auto"/>
              </w:rPr>
              <w:t>1998</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w:t>
            </w:r>
          </w:p>
        </w:tc>
        <w:tc>
          <w:tcPr>
            <w:tcW w:w="1560" w:type="dxa"/>
            <w:vAlign w:val="bottom"/>
            <w:gridSpan w:val="2"/>
          </w:tcPr>
          <w:p>
            <w:pPr>
              <w:ind w:left="680"/>
              <w:spacing w:after="0"/>
              <w:rPr>
                <w:sz w:val="20"/>
                <w:szCs w:val="20"/>
                <w:color w:val="auto"/>
              </w:rPr>
            </w:pPr>
            <w:r>
              <w:rPr>
                <w:rFonts w:ascii="Courier New" w:cs="Courier New" w:eastAsia="Courier New" w:hAnsi="Courier New"/>
                <w:sz w:val="13"/>
                <w:szCs w:val="13"/>
                <w:b w:val="1"/>
                <w:bCs w:val="1"/>
                <w:color w:val="auto"/>
              </w:rPr>
              <w:t>----</w:t>
            </w:r>
          </w:p>
        </w:tc>
        <w:tc>
          <w:tcPr>
            <w:tcW w:w="1400" w:type="dxa"/>
            <w:vAlign w:val="bottom"/>
            <w:gridSpan w:val="2"/>
          </w:tcPr>
          <w:p>
            <w:pPr>
              <w:jc w:val="right"/>
              <w:ind w:right="61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gridSpan w:val="2"/>
          </w:tcPr>
          <w:p>
            <w:pPr>
              <w:jc w:val="right"/>
              <w:ind w:right="493"/>
              <w:spacing w:after="0"/>
              <w:rPr>
                <w:sz w:val="20"/>
                <w:szCs w:val="20"/>
                <w:color w:val="auto"/>
              </w:rPr>
            </w:pPr>
            <w:r>
              <w:rPr>
                <w:rFonts w:ascii="Courier New" w:cs="Courier New" w:eastAsia="Courier New" w:hAnsi="Courier New"/>
                <w:sz w:val="13"/>
                <w:szCs w:val="13"/>
                <w:b w:val="1"/>
                <w:bCs w:val="1"/>
                <w:color w:val="auto"/>
              </w:rPr>
              <w:t>----</w:t>
            </w:r>
          </w:p>
        </w:tc>
        <w:tc>
          <w:tcPr>
            <w:tcW w:w="1920" w:type="dxa"/>
            <w:vAlign w:val="bottom"/>
          </w:tcPr>
          <w:p>
            <w:pPr>
              <w:jc w:val="right"/>
              <w:ind w:right="113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300" w:type="dxa"/>
            <w:vAlign w:val="bottom"/>
          </w:tcPr>
          <w:p>
            <w:pPr>
              <w:spacing w:after="0"/>
              <w:rPr>
                <w:sz w:val="20"/>
                <w:szCs w:val="20"/>
                <w:color w:val="auto"/>
              </w:rPr>
            </w:pPr>
            <w:r>
              <w:rPr>
                <w:rFonts w:ascii="Courier New" w:cs="Courier New" w:eastAsia="Courier New" w:hAnsi="Courier New"/>
                <w:sz w:val="13"/>
                <w:szCs w:val="13"/>
                <w:b w:val="1"/>
                <w:bCs w:val="1"/>
                <w:color w:val="auto"/>
              </w:rPr>
              <w:t>Statement of Income Data:</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$192,856</w:t>
            </w:r>
          </w:p>
        </w:tc>
        <w:tc>
          <w:tcPr>
            <w:tcW w:w="15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$180,151</w:t>
            </w:r>
          </w:p>
        </w:tc>
        <w:tc>
          <w:tcPr>
            <w:tcW w:w="1400" w:type="dxa"/>
            <w:vAlign w:val="bottom"/>
            <w:gridSpan w:val="2"/>
          </w:tcPr>
          <w:p>
            <w:pPr>
              <w:jc w:val="right"/>
              <w:ind w:right="293"/>
              <w:spacing w:after="0"/>
              <w:rPr>
                <w:sz w:val="20"/>
                <w:szCs w:val="20"/>
                <w:color w:val="auto"/>
              </w:rPr>
            </w:pPr>
            <w:r>
              <w:rPr>
                <w:rFonts w:ascii="Courier New" w:cs="Courier New" w:eastAsia="Courier New" w:hAnsi="Courier New"/>
                <w:sz w:val="13"/>
                <w:szCs w:val="13"/>
                <w:color w:val="auto"/>
              </w:rPr>
              <w:t>$132,129</w:t>
            </w:r>
          </w:p>
        </w:tc>
        <w:tc>
          <w:tcPr>
            <w:tcW w:w="11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$85,294</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$73,006</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Cost of products sold</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144,274</w:t>
            </w:r>
          </w:p>
        </w:tc>
        <w:tc>
          <w:tcPr>
            <w:tcW w:w="15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137,221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93,926</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59,967</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50,353</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48,582</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42,930</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38,203</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25,327</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22,653</w:t>
            </w: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Selling, general and administrative expenses</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17,134</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16,752</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11,571</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6,854</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5,896</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Depreciation and amortization</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11,212</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13,150</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9,165</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6,131</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4,557</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Restructuring and impairment costs</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1,277</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2,312</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Income from operations</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18,959</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10,716</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17,467</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12,342</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12,200</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2,451</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4,196</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1,773</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523</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64</w:t>
            </w: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Equity in earnings of unconsolidated affiliate</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(48)</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Net gain on involuntary conversion</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(3,901)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(728)</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Other income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(487)</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(186)</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(136)</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16,995</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10,607</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16,606</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11,819</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12,136</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Provision for income taxes</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6,457</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4,094</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5,959</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4,060</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4,480</w:t>
            </w: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Minority interest in income of consolidated</w:t>
            </w: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subsidiary</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2,778</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1,753</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660</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Income before cumulative effect of change in</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7,760</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4,760</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9,987</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7,759</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7,656</w:t>
            </w: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accounting principle</w:t>
            </w: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08"/>
        </w:trPr>
        <w:tc>
          <w:tcPr>
            <w:tcW w:w="330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4"/>
        </w:trPr>
        <w:tc>
          <w:tcPr>
            <w:tcW w:w="418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principle, net of income tax benefit of $112</w:t>
            </w: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418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and related minority interest impact of $84</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98</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$ 7,760</w:t>
            </w:r>
          </w:p>
        </w:tc>
        <w:tc>
          <w:tcPr>
            <w:tcW w:w="15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$ 4,662</w:t>
            </w:r>
          </w:p>
        </w:tc>
        <w:tc>
          <w:tcPr>
            <w:tcW w:w="1400" w:type="dxa"/>
            <w:vAlign w:val="bottom"/>
            <w:gridSpan w:val="2"/>
          </w:tcPr>
          <w:p>
            <w:pPr>
              <w:jc w:val="right"/>
              <w:ind w:right="293"/>
              <w:spacing w:after="0"/>
              <w:rPr>
                <w:sz w:val="20"/>
                <w:szCs w:val="20"/>
                <w:color w:val="auto"/>
              </w:rPr>
            </w:pPr>
            <w:r>
              <w:rPr>
                <w:rFonts w:ascii="Courier New" w:cs="Courier New" w:eastAsia="Courier New" w:hAnsi="Courier New"/>
                <w:sz w:val="13"/>
                <w:szCs w:val="13"/>
                <w:color w:val="auto"/>
              </w:rPr>
              <w:t>$ 9,987</w:t>
            </w:r>
          </w:p>
        </w:tc>
        <w:tc>
          <w:tcPr>
            <w:tcW w:w="11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$ 7,759</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$ 7,656</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308"/>
        </w:trPr>
        <w:tc>
          <w:tcPr>
            <w:tcW w:w="3300" w:type="dxa"/>
            <w:vAlign w:val="bottom"/>
          </w:tcPr>
          <w:p>
            <w:pPr>
              <w:spacing w:after="0"/>
              <w:rPr>
                <w:sz w:val="20"/>
                <w:szCs w:val="20"/>
                <w:color w:val="auto"/>
              </w:rPr>
            </w:pPr>
            <w:r>
              <w:rPr>
                <w:rFonts w:ascii="Courier New" w:cs="Courier New" w:eastAsia="Courier New" w:hAnsi="Courier New"/>
                <w:sz w:val="13"/>
                <w:szCs w:val="13"/>
                <w:color w:val="auto"/>
              </w:rPr>
              <w:t>Basic income per share:</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Income before cumulative effect of change in</w:t>
            </w: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accounting principle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$ 0. 51</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$ 0.31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$ 0.66</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$ 0.52</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$ 0.52</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ind w:left="320"/>
              <w:spacing w:after="0"/>
              <w:rPr>
                <w:sz w:val="20"/>
                <w:szCs w:val="20"/>
                <w:color w:val="auto"/>
              </w:rPr>
            </w:pPr>
            <w:r>
              <w:rPr>
                <w:rFonts w:ascii="Courier New" w:cs="Courier New" w:eastAsia="Courier New" w:hAnsi="Courier New"/>
                <w:sz w:val="13"/>
                <w:szCs w:val="13"/>
                <w:color w:val="auto"/>
              </w:rPr>
              <w:t>principle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(0.01)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Net income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$ 0. 51</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$ 0.31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$ 0.66</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$ 0.52</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$ 0.52</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308"/>
        </w:trPr>
        <w:tc>
          <w:tcPr>
            <w:tcW w:w="3300" w:type="dxa"/>
            <w:vAlign w:val="bottom"/>
          </w:tcPr>
          <w:p>
            <w:pPr>
              <w:spacing w:after="0"/>
              <w:rPr>
                <w:sz w:val="20"/>
                <w:szCs w:val="20"/>
                <w:color w:val="auto"/>
              </w:rPr>
            </w:pPr>
            <w:r>
              <w:rPr>
                <w:rFonts w:ascii="Courier New" w:cs="Courier New" w:eastAsia="Courier New" w:hAnsi="Courier New"/>
                <w:sz w:val="13"/>
                <w:szCs w:val="13"/>
                <w:color w:val="auto"/>
              </w:rPr>
              <w:t>Diluted income per share:</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Income before cumulative effect of change in</w:t>
            </w: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accounting principle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$ 0.49</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$ 0.31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$ 0.64</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$ 0.52</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$ 0.52</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ind w:left="320"/>
              <w:spacing w:after="0"/>
              <w:rPr>
                <w:sz w:val="20"/>
                <w:szCs w:val="20"/>
                <w:color w:val="auto"/>
              </w:rPr>
            </w:pPr>
            <w:r>
              <w:rPr>
                <w:rFonts w:ascii="Courier New" w:cs="Courier New" w:eastAsia="Courier New" w:hAnsi="Courier New"/>
                <w:sz w:val="13"/>
                <w:szCs w:val="13"/>
                <w:color w:val="auto"/>
              </w:rPr>
              <w:t>principle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(0.01)</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Net income</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$ 0.49</w:t>
            </w:r>
          </w:p>
        </w:tc>
        <w:tc>
          <w:tcPr>
            <w:tcW w:w="840" w:type="dxa"/>
            <w:vAlign w:val="bottom"/>
          </w:tcPr>
          <w:p>
            <w:pPr>
              <w:ind w:left="760"/>
              <w:spacing w:after="0"/>
              <w:rPr>
                <w:sz w:val="20"/>
                <w:szCs w:val="20"/>
                <w:color w:val="auto"/>
              </w:rPr>
            </w:pPr>
            <w:r>
              <w:rPr>
                <w:rFonts w:ascii="Courier New" w:cs="Courier New" w:eastAsia="Courier New" w:hAnsi="Courier New"/>
                <w:sz w:val="13"/>
                <w:szCs w:val="13"/>
                <w:color w:val="auto"/>
                <w:w w:val="76"/>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0.30</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0.64</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0.52</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$ 0.52</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Dividends declared</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$ 0.32</w:t>
            </w:r>
          </w:p>
        </w:tc>
        <w:tc>
          <w:tcPr>
            <w:tcW w:w="840" w:type="dxa"/>
            <w:vAlign w:val="bottom"/>
          </w:tcPr>
          <w:p>
            <w:pPr>
              <w:ind w:left="760"/>
              <w:spacing w:after="0"/>
              <w:rPr>
                <w:sz w:val="20"/>
                <w:szCs w:val="20"/>
                <w:color w:val="auto"/>
              </w:rPr>
            </w:pPr>
            <w:r>
              <w:rPr>
                <w:rFonts w:ascii="Courier New" w:cs="Courier New" w:eastAsia="Courier New" w:hAnsi="Courier New"/>
                <w:sz w:val="13"/>
                <w:szCs w:val="13"/>
                <w:color w:val="auto"/>
                <w:w w:val="76"/>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0.32</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0.32</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  0.32</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Weighted average number of shares</w:t>
            </w: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outstanding - Basic</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15,343</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15,259</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15,247</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15,021</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14,804</w:t>
            </w: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Weighted average number of shares</w:t>
            </w:r>
          </w:p>
        </w:tc>
        <w:tc>
          <w:tcPr>
            <w:tcW w:w="880" w:type="dxa"/>
            <w:vAlign w:val="bottom"/>
          </w:tcPr>
          <w:p>
            <w:pPr>
              <w:spacing w:after="0"/>
              <w:rPr>
                <w:sz w:val="13"/>
                <w:szCs w:val="13"/>
                <w:color w:val="auto"/>
              </w:rPr>
            </w:pP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15,714</w:t>
            </w:r>
          </w:p>
        </w:tc>
        <w:tc>
          <w:tcPr>
            <w:tcW w:w="8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15,540</w:t>
            </w:r>
          </w:p>
        </w:tc>
        <w:tc>
          <w:tcPr>
            <w:tcW w:w="5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15,531</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15,038</w:t>
            </w:r>
          </w:p>
        </w:tc>
        <w:tc>
          <w:tcPr>
            <w:tcW w:w="1920" w:type="dxa"/>
            <w:vAlign w:val="bottom"/>
          </w:tcPr>
          <w:p>
            <w:pPr>
              <w:jc w:val="right"/>
              <w:ind w:right="813"/>
              <w:spacing w:after="0"/>
              <w:rPr>
                <w:sz w:val="20"/>
                <w:szCs w:val="20"/>
                <w:color w:val="auto"/>
              </w:rPr>
            </w:pPr>
            <w:r>
              <w:rPr>
                <w:rFonts w:ascii="Courier New" w:cs="Courier New" w:eastAsia="Courier New" w:hAnsi="Courier New"/>
                <w:sz w:val="13"/>
                <w:szCs w:val="13"/>
                <w:color w:val="auto"/>
              </w:rPr>
              <w:t>14,804</w:t>
            </w:r>
          </w:p>
        </w:tc>
      </w:tr>
      <w:tr>
        <w:trPr>
          <w:trHeight w:val="154"/>
        </w:trPr>
        <w:tc>
          <w:tcPr>
            <w:tcW w:w="3300" w:type="dxa"/>
            <w:vAlign w:val="bottom"/>
          </w:tcPr>
          <w:p>
            <w:pPr>
              <w:ind w:left="240"/>
              <w:spacing w:after="0"/>
              <w:rPr>
                <w:sz w:val="20"/>
                <w:szCs w:val="20"/>
                <w:color w:val="auto"/>
              </w:rPr>
            </w:pPr>
            <w:r>
              <w:rPr>
                <w:rFonts w:ascii="Courier New" w:cs="Courier New" w:eastAsia="Courier New" w:hAnsi="Courier New"/>
                <w:sz w:val="13"/>
                <w:szCs w:val="13"/>
                <w:color w:val="auto"/>
              </w:rPr>
              <w:t>outstanding - Diluted</w:t>
            </w:r>
          </w:p>
        </w:tc>
        <w:tc>
          <w:tcPr>
            <w:tcW w:w="8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w:t>
            </w:r>
          </w:p>
        </w:tc>
      </w:tr>
      <w:tr>
        <w:trPr>
          <w:trHeight w:val="617"/>
        </w:trPr>
        <w:tc>
          <w:tcPr>
            <w:tcW w:w="3300" w:type="dxa"/>
            <w:vAlign w:val="bottom"/>
          </w:tcPr>
          <w:p>
            <w:pPr>
              <w:ind w:left="3120"/>
              <w:spacing w:after="0"/>
              <w:rPr>
                <w:sz w:val="20"/>
                <w:szCs w:val="20"/>
                <w:color w:val="auto"/>
              </w:rPr>
            </w:pPr>
            <w:r>
              <w:rPr>
                <w:rFonts w:ascii="Courier New" w:cs="Courier New" w:eastAsia="Courier New" w:hAnsi="Courier New"/>
                <w:sz w:val="13"/>
                <w:szCs w:val="13"/>
                <w:color w:val="auto"/>
              </w:rPr>
              <w:t>12</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2"/>
        </w:trPr>
        <w:tc>
          <w:tcPr>
            <w:tcW w:w="3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r>
        <w:trPr>
          <w:trHeight w:val="593"/>
        </w:trPr>
        <w:tc>
          <w:tcPr>
            <w:tcW w:w="3300" w:type="dxa"/>
            <w:vAlign w:val="bottom"/>
          </w:tcPr>
          <w:p>
            <w:pPr>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08"/>
        </w:trPr>
        <w:tc>
          <w:tcPr>
            <w:tcW w:w="3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20" w:type="dxa"/>
            <w:vAlign w:val="bottom"/>
            <w:gridSpan w:val="3"/>
          </w:tcPr>
          <w:p>
            <w:pPr>
              <w:ind w:left="40"/>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4"/>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120" w:type="dxa"/>
            <w:vAlign w:val="bottom"/>
            <w:gridSpan w:val="3"/>
          </w:tcPr>
          <w:p>
            <w:pPr>
              <w:ind w:left="40"/>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Restated</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Restated</w:t>
            </w:r>
          </w:p>
        </w:tc>
        <w:tc>
          <w:tcPr>
            <w:tcW w:w="156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Restated</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jc w:val="center"/>
              <w:ind w:right="13"/>
              <w:spacing w:after="0"/>
              <w:rPr>
                <w:sz w:val="20"/>
                <w:szCs w:val="20"/>
                <w:color w:val="auto"/>
              </w:rPr>
            </w:pPr>
            <w:r>
              <w:rPr>
                <w:rFonts w:ascii="Courier New" w:cs="Courier New" w:eastAsia="Courier New" w:hAnsi="Courier New"/>
                <w:sz w:val="13"/>
                <w:szCs w:val="13"/>
                <w:b w:val="1"/>
                <w:bCs w:val="1"/>
                <w:color w:val="auto"/>
              </w:rPr>
              <w:t>--------</w:t>
            </w:r>
          </w:p>
        </w:tc>
        <w:tc>
          <w:tcPr>
            <w:tcW w:w="124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56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jc w:val="center"/>
              <w:ind w:right="13"/>
              <w:spacing w:after="0"/>
              <w:rPr>
                <w:sz w:val="20"/>
                <w:szCs w:val="20"/>
                <w:color w:val="auto"/>
              </w:rPr>
            </w:pPr>
            <w:r>
              <w:rPr>
                <w:rFonts w:ascii="Courier New" w:cs="Courier New" w:eastAsia="Courier New" w:hAnsi="Courier New"/>
                <w:sz w:val="13"/>
                <w:szCs w:val="13"/>
                <w:b w:val="1"/>
                <w:bCs w:val="1"/>
                <w:color w:val="auto"/>
              </w:rPr>
              <w:t>2002</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2001</w:t>
            </w:r>
          </w:p>
        </w:tc>
        <w:tc>
          <w:tcPr>
            <w:tcW w:w="1560" w:type="dxa"/>
            <w:vAlign w:val="bottom"/>
            <w:gridSpan w:val="2"/>
          </w:tcPr>
          <w:p>
            <w:pPr>
              <w:ind w:left="760"/>
              <w:spacing w:after="0"/>
              <w:rPr>
                <w:sz w:val="20"/>
                <w:szCs w:val="20"/>
                <w:color w:val="auto"/>
              </w:rPr>
            </w:pPr>
            <w:r>
              <w:rPr>
                <w:rFonts w:ascii="Courier New" w:cs="Courier New" w:eastAsia="Courier New" w:hAnsi="Courier New"/>
                <w:sz w:val="13"/>
                <w:szCs w:val="13"/>
                <w:b w:val="1"/>
                <w:bCs w:val="1"/>
                <w:color w:val="auto"/>
              </w:rPr>
              <w:t>2000</w:t>
            </w:r>
          </w:p>
        </w:tc>
        <w:tc>
          <w:tcPr>
            <w:tcW w:w="560" w:type="dxa"/>
            <w:vAlign w:val="bottom"/>
          </w:tcPr>
          <w:p>
            <w:pPr>
              <w:spacing w:after="0"/>
              <w:rPr>
                <w:sz w:val="13"/>
                <w:szCs w:val="13"/>
                <w:color w:val="auto"/>
              </w:rPr>
            </w:pPr>
          </w:p>
        </w:tc>
        <w:tc>
          <w:tcPr>
            <w:tcW w:w="840" w:type="dxa"/>
            <w:vAlign w:val="bottom"/>
          </w:tcPr>
          <w:p>
            <w:pPr>
              <w:jc w:val="right"/>
              <w:ind w:right="453"/>
              <w:spacing w:after="0"/>
              <w:rPr>
                <w:sz w:val="20"/>
                <w:szCs w:val="20"/>
                <w:color w:val="auto"/>
              </w:rPr>
            </w:pPr>
            <w:r>
              <w:rPr>
                <w:rFonts w:ascii="Courier New" w:cs="Courier New" w:eastAsia="Courier New" w:hAnsi="Courier New"/>
                <w:sz w:val="13"/>
                <w:szCs w:val="13"/>
                <w:b w:val="1"/>
                <w:bCs w:val="1"/>
                <w:color w:val="auto"/>
                <w:w w:val="95"/>
              </w:rPr>
              <w:t>1999</w:t>
            </w:r>
          </w:p>
        </w:tc>
        <w:tc>
          <w:tcPr>
            <w:tcW w:w="4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1998</w:t>
            </w: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880" w:type="dxa"/>
            <w:vAlign w:val="bottom"/>
          </w:tcPr>
          <w:p>
            <w:pPr>
              <w:jc w:val="center"/>
              <w:ind w:right="13"/>
              <w:spacing w:after="0"/>
              <w:rPr>
                <w:sz w:val="20"/>
                <w:szCs w:val="20"/>
                <w:color w:val="auto"/>
              </w:rPr>
            </w:pPr>
            <w:r>
              <w:rPr>
                <w:rFonts w:ascii="Courier New" w:cs="Courier New" w:eastAsia="Courier New" w:hAnsi="Courier New"/>
                <w:sz w:val="13"/>
                <w:szCs w:val="13"/>
                <w:b w:val="1"/>
                <w:bCs w:val="1"/>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w:t>
            </w:r>
          </w:p>
        </w:tc>
        <w:tc>
          <w:tcPr>
            <w:tcW w:w="1560" w:type="dxa"/>
            <w:vAlign w:val="bottom"/>
            <w:gridSpan w:val="2"/>
          </w:tcPr>
          <w:p>
            <w:pPr>
              <w:ind w:left="760"/>
              <w:spacing w:after="0"/>
              <w:rPr>
                <w:sz w:val="20"/>
                <w:szCs w:val="20"/>
                <w:color w:val="auto"/>
              </w:rPr>
            </w:pPr>
            <w:r>
              <w:rPr>
                <w:rFonts w:ascii="Courier New" w:cs="Courier New" w:eastAsia="Courier New" w:hAnsi="Courier New"/>
                <w:sz w:val="13"/>
                <w:szCs w:val="13"/>
                <w:b w:val="1"/>
                <w:bCs w:val="1"/>
                <w:color w:val="auto"/>
              </w:rPr>
              <w:t>----</w:t>
            </w:r>
          </w:p>
        </w:tc>
        <w:tc>
          <w:tcPr>
            <w:tcW w:w="560" w:type="dxa"/>
            <w:vAlign w:val="bottom"/>
          </w:tcPr>
          <w:p>
            <w:pPr>
              <w:spacing w:after="0"/>
              <w:rPr>
                <w:sz w:val="13"/>
                <w:szCs w:val="13"/>
                <w:color w:val="auto"/>
              </w:rPr>
            </w:pPr>
          </w:p>
        </w:tc>
        <w:tc>
          <w:tcPr>
            <w:tcW w:w="840" w:type="dxa"/>
            <w:vAlign w:val="bottom"/>
          </w:tcPr>
          <w:p>
            <w:pPr>
              <w:jc w:val="right"/>
              <w:ind w:right="453"/>
              <w:spacing w:after="0"/>
              <w:rPr>
                <w:sz w:val="20"/>
                <w:szCs w:val="20"/>
                <w:color w:val="auto"/>
              </w:rPr>
            </w:pPr>
            <w:r>
              <w:rPr>
                <w:rFonts w:ascii="Courier New" w:cs="Courier New" w:eastAsia="Courier New" w:hAnsi="Courier New"/>
                <w:sz w:val="13"/>
                <w:szCs w:val="13"/>
                <w:b w:val="1"/>
                <w:bCs w:val="1"/>
                <w:color w:val="auto"/>
                <w:w w:val="95"/>
              </w:rPr>
              <w:t>----</w:t>
            </w:r>
          </w:p>
        </w:tc>
        <w:tc>
          <w:tcPr>
            <w:tcW w:w="4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b w:val="1"/>
                <w:bCs w:val="1"/>
                <w:color w:val="auto"/>
              </w:rPr>
              <w:t>Balance Sheet Data:</w:t>
            </w: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Current assets</w:t>
            </w: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9"/>
              </w:rPr>
              <w:t>$ 61,412</w:t>
            </w:r>
          </w:p>
        </w:tc>
        <w:tc>
          <w:tcPr>
            <w:tcW w:w="12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$ 55,617</w:t>
            </w:r>
          </w:p>
        </w:tc>
        <w:tc>
          <w:tcPr>
            <w:tcW w:w="156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$ 63,866</w:t>
            </w:r>
          </w:p>
        </w:tc>
        <w:tc>
          <w:tcPr>
            <w:tcW w:w="140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$ 34,397</w:t>
            </w:r>
          </w:p>
        </w:tc>
        <w:tc>
          <w:tcPr>
            <w:tcW w:w="11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$ 28,571</w:t>
            </w: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Current liabilities</w:t>
            </w:r>
          </w:p>
        </w:tc>
        <w:tc>
          <w:tcPr>
            <w:tcW w:w="88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40,234</w:t>
            </w:r>
          </w:p>
        </w:tc>
        <w:tc>
          <w:tcPr>
            <w:tcW w:w="12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32,534</w:t>
            </w:r>
          </w:p>
        </w:tc>
        <w:tc>
          <w:tcPr>
            <w:tcW w:w="1560" w:type="dxa"/>
            <w:vAlign w:val="bottom"/>
            <w:gridSpan w:val="2"/>
          </w:tcPr>
          <w:p>
            <w:pPr>
              <w:ind w:left="680"/>
              <w:spacing w:after="0"/>
              <w:rPr>
                <w:sz w:val="20"/>
                <w:szCs w:val="20"/>
                <w:color w:val="auto"/>
              </w:rPr>
            </w:pPr>
            <w:r>
              <w:rPr>
                <w:rFonts w:ascii="Courier New" w:cs="Courier New" w:eastAsia="Courier New" w:hAnsi="Courier New"/>
                <w:sz w:val="13"/>
                <w:szCs w:val="13"/>
                <w:color w:val="auto"/>
              </w:rPr>
              <w:t>33,840</w:t>
            </w:r>
          </w:p>
        </w:tc>
        <w:tc>
          <w:tcPr>
            <w:tcW w:w="140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10,478</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7,638</w:t>
            </w: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Total assets</w:t>
            </w: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195,215</w:t>
            </w:r>
          </w:p>
        </w:tc>
        <w:tc>
          <w:tcPr>
            <w:tcW w:w="12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184,477</w:t>
            </w:r>
          </w:p>
        </w:tc>
        <w:tc>
          <w:tcPr>
            <w:tcW w:w="1560" w:type="dxa"/>
            <w:vAlign w:val="bottom"/>
            <w:gridSpan w:val="2"/>
          </w:tcPr>
          <w:p>
            <w:pPr>
              <w:jc w:val="center"/>
              <w:ind w:left="133"/>
              <w:spacing w:after="0"/>
              <w:rPr>
                <w:sz w:val="20"/>
                <w:szCs w:val="20"/>
                <w:color w:val="auto"/>
              </w:rPr>
            </w:pPr>
            <w:r>
              <w:rPr>
                <w:rFonts w:ascii="Courier New" w:cs="Courier New" w:eastAsia="Courier New" w:hAnsi="Courier New"/>
                <w:sz w:val="13"/>
                <w:szCs w:val="13"/>
                <w:color w:val="auto"/>
              </w:rPr>
              <w:t>183,951</w:t>
            </w:r>
          </w:p>
        </w:tc>
        <w:tc>
          <w:tcPr>
            <w:tcW w:w="140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91,363</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66,860</w:t>
            </w: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Long-term debt</w:t>
            </w:r>
          </w:p>
        </w:tc>
        <w:tc>
          <w:tcPr>
            <w:tcW w:w="88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46,135</w:t>
            </w:r>
          </w:p>
        </w:tc>
        <w:tc>
          <w:tcPr>
            <w:tcW w:w="12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47,661</w:t>
            </w:r>
          </w:p>
        </w:tc>
        <w:tc>
          <w:tcPr>
            <w:tcW w:w="1560" w:type="dxa"/>
            <w:vAlign w:val="bottom"/>
            <w:gridSpan w:val="2"/>
          </w:tcPr>
          <w:p>
            <w:pPr>
              <w:ind w:left="680"/>
              <w:spacing w:after="0"/>
              <w:rPr>
                <w:sz w:val="20"/>
                <w:szCs w:val="20"/>
                <w:color w:val="auto"/>
              </w:rPr>
            </w:pPr>
            <w:r>
              <w:rPr>
                <w:rFonts w:ascii="Courier New" w:cs="Courier New" w:eastAsia="Courier New" w:hAnsi="Courier New"/>
                <w:sz w:val="13"/>
                <w:szCs w:val="13"/>
                <w:color w:val="auto"/>
              </w:rPr>
              <w:t>50,515</w:t>
            </w:r>
          </w:p>
        </w:tc>
        <w:tc>
          <w:tcPr>
            <w:tcW w:w="140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17,151</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920" w:type="dxa"/>
            <w:vAlign w:val="bottom"/>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Courier New" w:cs="Courier New" w:eastAsia="Courier New" w:hAnsi="Courier New"/>
                <w:sz w:val="13"/>
                <w:szCs w:val="13"/>
                <w:color w:val="auto"/>
              </w:rPr>
              <w:t>Stockholders' equity</w:t>
            </w:r>
          </w:p>
        </w:tc>
        <w:tc>
          <w:tcPr>
            <w:tcW w:w="880" w:type="dxa"/>
            <w:vAlign w:val="bottom"/>
          </w:tcPr>
          <w:p>
            <w:pPr>
              <w:jc w:val="center"/>
              <w:ind w:right="13"/>
              <w:spacing w:after="0"/>
              <w:rPr>
                <w:sz w:val="20"/>
                <w:szCs w:val="20"/>
                <w:color w:val="auto"/>
              </w:rPr>
            </w:pPr>
            <w:r>
              <w:rPr>
                <w:rFonts w:ascii="Courier New" w:cs="Courier New" w:eastAsia="Courier New" w:hAnsi="Courier New"/>
                <w:sz w:val="13"/>
                <w:szCs w:val="13"/>
                <w:color w:val="auto"/>
              </w:rPr>
              <w:t>77,908</w:t>
            </w:r>
          </w:p>
        </w:tc>
        <w:tc>
          <w:tcPr>
            <w:tcW w:w="12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70,982</w:t>
            </w:r>
          </w:p>
        </w:tc>
        <w:tc>
          <w:tcPr>
            <w:tcW w:w="1560" w:type="dxa"/>
            <w:vAlign w:val="bottom"/>
            <w:gridSpan w:val="2"/>
          </w:tcPr>
          <w:p>
            <w:pPr>
              <w:ind w:left="680"/>
              <w:spacing w:after="0"/>
              <w:rPr>
                <w:sz w:val="20"/>
                <w:szCs w:val="20"/>
                <w:color w:val="auto"/>
              </w:rPr>
            </w:pPr>
            <w:r>
              <w:rPr>
                <w:rFonts w:ascii="Courier New" w:cs="Courier New" w:eastAsia="Courier New" w:hAnsi="Courier New"/>
                <w:sz w:val="13"/>
                <w:szCs w:val="13"/>
                <w:color w:val="auto"/>
              </w:rPr>
              <w:t>74,675</w:t>
            </w:r>
          </w:p>
        </w:tc>
        <w:tc>
          <w:tcPr>
            <w:tcW w:w="1400" w:type="dxa"/>
            <w:vAlign w:val="bottom"/>
            <w:gridSpan w:val="2"/>
          </w:tcPr>
          <w:p>
            <w:pPr>
              <w:jc w:val="right"/>
              <w:ind w:right="373"/>
              <w:spacing w:after="0"/>
              <w:rPr>
                <w:sz w:val="20"/>
                <w:szCs w:val="20"/>
                <w:color w:val="auto"/>
              </w:rPr>
            </w:pPr>
            <w:r>
              <w:rPr>
                <w:rFonts w:ascii="Courier New" w:cs="Courier New" w:eastAsia="Courier New" w:hAnsi="Courier New"/>
                <w:sz w:val="13"/>
                <w:szCs w:val="13"/>
                <w:color w:val="auto"/>
              </w:rPr>
              <w:t>60,128</w:t>
            </w:r>
          </w:p>
        </w:tc>
        <w:tc>
          <w:tcPr>
            <w:tcW w:w="44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8"/>
              </w:rPr>
              <w:t>56,242</w:t>
            </w:r>
          </w:p>
        </w:tc>
        <w:tc>
          <w:tcPr>
            <w:tcW w:w="1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044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26035"/>
                    </a:xfrm>
                    <a:prstGeom prst="rect">
                      <a:avLst/>
                    </a:prstGeom>
                    <a:noFill/>
                  </pic:spPr>
                </pic:pic>
              </a:graphicData>
            </a:graphic>
          </wp:anchor>
        </w:drawing>
        <w:drawing>
          <wp:anchor simplePos="0" relativeHeight="251657728" behindDoc="1" locked="0" layoutInCell="0" allowOverlap="1">
            <wp:simplePos x="0" y="0"/>
            <wp:positionH relativeFrom="column">
              <wp:posOffset>7261225</wp:posOffset>
            </wp:positionH>
            <wp:positionV relativeFrom="paragraph">
              <wp:posOffset>-1675130</wp:posOffset>
            </wp:positionV>
            <wp:extent cx="3175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-1675130</wp:posOffset>
            </wp:positionV>
            <wp:extent cx="3175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139" w:lineRule="exact"/>
        <w:rPr>
          <w:sz w:val="20"/>
          <w:szCs w:val="20"/>
          <w:color w:val="auto"/>
        </w:rPr>
      </w:pPr>
    </w:p>
    <w:p>
      <w:pPr>
        <w:ind w:right="5200" w:firstLine="722"/>
        <w:spacing w:after="0" w:line="253" w:lineRule="auto"/>
        <w:rPr>
          <w:sz w:val="20"/>
          <w:szCs w:val="20"/>
          <w:color w:val="auto"/>
        </w:rPr>
      </w:pPr>
      <w:r>
        <w:rPr>
          <w:rFonts w:ascii="Courier New" w:cs="Courier New" w:eastAsia="Courier New" w:hAnsi="Courier New"/>
          <w:sz w:val="13"/>
          <w:szCs w:val="13"/>
          <w:color w:val="auto"/>
        </w:rPr>
        <w:t>On December 20, 2002 we completed the purchase of the 23% interest in Euroball held by INA/FAG. As a result of this transaction, we own 77% of the shares of NN Euroball, ApS.</w:t>
      </w:r>
    </w:p>
    <w:p>
      <w:pPr>
        <w:spacing w:after="0" w:line="151" w:lineRule="exact"/>
        <w:rPr>
          <w:sz w:val="20"/>
          <w:szCs w:val="20"/>
          <w:color w:val="auto"/>
        </w:rPr>
      </w:pPr>
    </w:p>
    <w:p>
      <w:pPr>
        <w:ind w:right="5440" w:firstLine="722"/>
        <w:spacing w:after="0" w:line="252" w:lineRule="auto"/>
        <w:rPr>
          <w:sz w:val="20"/>
          <w:szCs w:val="20"/>
          <w:color w:val="auto"/>
        </w:rPr>
      </w:pPr>
      <w:r>
        <w:rPr>
          <w:rFonts w:ascii="Courier New" w:cs="Courier New" w:eastAsia="Courier New" w:hAnsi="Courier New"/>
          <w:sz w:val="13"/>
          <w:szCs w:val="13"/>
          <w:color w:val="auto"/>
        </w:rPr>
        <w:t>Effective January 1, 2002 we adopted the provision of Statement of Financial Accounting Standards (SFAS) No. 142. SFAS No. 142 requires that goodwill and intangible assets with indefinite useful lives no longer be amortized.</w:t>
      </w:r>
    </w:p>
    <w:p>
      <w:pPr>
        <w:spacing w:after="0" w:line="153" w:lineRule="exact"/>
        <w:rPr>
          <w:sz w:val="20"/>
          <w:szCs w:val="20"/>
          <w:color w:val="auto"/>
        </w:rPr>
      </w:pPr>
    </w:p>
    <w:p>
      <w:pPr>
        <w:ind w:right="5680" w:firstLine="722"/>
        <w:spacing w:after="0" w:line="254" w:lineRule="auto"/>
        <w:rPr>
          <w:sz w:val="20"/>
          <w:szCs w:val="20"/>
          <w:color w:val="auto"/>
        </w:rPr>
      </w:pPr>
      <w:r>
        <w:rPr>
          <w:rFonts w:ascii="Courier New" w:cs="Courier New" w:eastAsia="Courier New" w:hAnsi="Courier New"/>
          <w:sz w:val="13"/>
          <w:szCs w:val="13"/>
          <w:color w:val="auto"/>
        </w:rPr>
        <w:t>On February 16, 2001 we completed the acquisition of all of the outstanding stock of The Delta Rubber Company.</w:t>
      </w:r>
    </w:p>
    <w:p>
      <w:pPr>
        <w:spacing w:after="0" w:line="151" w:lineRule="exact"/>
        <w:rPr>
          <w:sz w:val="20"/>
          <w:szCs w:val="20"/>
          <w:color w:val="auto"/>
        </w:rPr>
      </w:pPr>
    </w:p>
    <w:p>
      <w:pPr>
        <w:ind w:right="5040" w:firstLine="722"/>
        <w:spacing w:after="0" w:line="254" w:lineRule="auto"/>
        <w:rPr>
          <w:sz w:val="20"/>
          <w:szCs w:val="20"/>
          <w:color w:val="auto"/>
        </w:rPr>
      </w:pPr>
      <w:r>
        <w:rPr>
          <w:rFonts w:ascii="Courier New" w:cs="Courier New" w:eastAsia="Courier New" w:hAnsi="Courier New"/>
          <w:sz w:val="13"/>
          <w:szCs w:val="13"/>
          <w:color w:val="auto"/>
        </w:rPr>
        <w:t>On July 31, 2000 we completed the formation of Euroball. As a result of this transaction, we owned 54% of the shares of NN Euroball ApS.</w:t>
      </w:r>
    </w:p>
    <w:p>
      <w:pPr>
        <w:spacing w:after="0" w:line="151" w:lineRule="exact"/>
        <w:rPr>
          <w:sz w:val="20"/>
          <w:szCs w:val="20"/>
          <w:color w:val="auto"/>
        </w:rPr>
      </w:pPr>
    </w:p>
    <w:p>
      <w:pPr>
        <w:ind w:right="5040" w:firstLine="722"/>
        <w:spacing w:after="0" w:line="253" w:lineRule="auto"/>
        <w:rPr>
          <w:sz w:val="20"/>
          <w:szCs w:val="20"/>
          <w:color w:val="auto"/>
        </w:rPr>
      </w:pPr>
      <w:r>
        <w:rPr>
          <w:rFonts w:ascii="Courier New" w:cs="Courier New" w:eastAsia="Courier New" w:hAnsi="Courier New"/>
          <w:sz w:val="13"/>
          <w:szCs w:val="13"/>
          <w:color w:val="auto"/>
        </w:rPr>
        <w:t>On July 4, 1999 we acquired all of the assets and assumed certain liabilities of Earsley Capital Corporation, formerly known as Industrial Molding Corporation.</w:t>
      </w:r>
    </w:p>
    <w:p>
      <w:pPr>
        <w:sectPr>
          <w:pgSz w:w="11900" w:h="16838" w:orient="portrait"/>
          <w:cols w:equalWidth="0" w:num="1">
            <w:col w:w="11460"/>
          </w:cols>
          <w:pgMar w:left="220" w:top="604" w:right="219" w:bottom="0" w:gutter="0" w:footer="0" w:header="0"/>
        </w:sectPr>
      </w:pPr>
    </w:p>
    <w:bookmarkStart w:id="9" w:name="page10"/>
    <w:bookmarkEnd w:id="9"/>
    <w:p>
      <w:pPr>
        <w:ind w:left="720" w:right="3819" w:hanging="721"/>
        <w:spacing w:after="0" w:line="254" w:lineRule="auto"/>
        <w:tabs>
          <w:tab w:leader="none" w:pos="700" w:val="left"/>
        </w:tabs>
        <w:rPr>
          <w:sz w:val="20"/>
          <w:szCs w:val="20"/>
          <w:color w:val="auto"/>
        </w:rPr>
      </w:pPr>
      <w:r>
        <w:rPr>
          <w:rFonts w:ascii="Courier New" w:cs="Courier New" w:eastAsia="Courier New" w:hAnsi="Courier New"/>
          <w:sz w:val="13"/>
          <w:szCs w:val="13"/>
          <w:b w:val="1"/>
          <w:bCs w:val="1"/>
          <w:color w:val="auto"/>
        </w:rPr>
        <w:t>Item 7.</w:t>
        <w:tab/>
        <w:t>Management's Discussion and Analysis of Financial Condition and Results of Operations</w:t>
      </w:r>
    </w:p>
    <w:p>
      <w:pPr>
        <w:spacing w:after="0" w:line="151" w:lineRule="exact"/>
        <w:rPr>
          <w:sz w:val="20"/>
          <w:szCs w:val="20"/>
          <w:color w:val="auto"/>
        </w:rPr>
      </w:pPr>
    </w:p>
    <w:p>
      <w:pPr>
        <w:ind w:right="4139" w:firstLine="722"/>
        <w:spacing w:after="0" w:line="251" w:lineRule="auto"/>
        <w:rPr>
          <w:sz w:val="20"/>
          <w:szCs w:val="20"/>
          <w:color w:val="auto"/>
        </w:rPr>
      </w:pPr>
      <w:r>
        <w:rPr>
          <w:rFonts w:ascii="Courier New" w:cs="Courier New" w:eastAsia="Courier New" w:hAnsi="Courier New"/>
          <w:sz w:val="13"/>
          <w:szCs w:val="13"/>
          <w:color w:val="auto"/>
        </w:rPr>
        <w:t>The following discussion should be read in conjunction with, and is qualified in its entirety by, the Consolidated Financial Statements and the Notes thereto and Selected Financial Data included elsewhere in this Form</w:t>
      </w:r>
    </w:p>
    <w:p>
      <w:pPr>
        <w:spacing w:after="0" w:line="1" w:lineRule="exact"/>
        <w:rPr>
          <w:sz w:val="20"/>
          <w:szCs w:val="20"/>
          <w:color w:val="auto"/>
        </w:rPr>
      </w:pPr>
    </w:p>
    <w:p>
      <w:pPr>
        <w:ind w:right="4059"/>
        <w:spacing w:after="0" w:line="253" w:lineRule="auto"/>
        <w:rPr>
          <w:sz w:val="20"/>
          <w:szCs w:val="20"/>
          <w:color w:val="auto"/>
        </w:rPr>
      </w:pPr>
      <w:r>
        <w:rPr>
          <w:rFonts w:ascii="Courier New" w:cs="Courier New" w:eastAsia="Courier New" w:hAnsi="Courier New"/>
          <w:sz w:val="13"/>
          <w:szCs w:val="13"/>
          <w:color w:val="auto"/>
        </w:rPr>
        <w:t>10-K/A. Historical operating results and percentage relationships among any amounts included in the Consolidated Financial Statements are not necessarily indicative of trends in operating results for any future period.</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Restatement</w:t>
      </w:r>
    </w:p>
    <w:p>
      <w:pPr>
        <w:spacing w:after="0" w:line="161" w:lineRule="exact"/>
        <w:rPr>
          <w:sz w:val="20"/>
          <w:szCs w:val="20"/>
          <w:color w:val="auto"/>
        </w:rPr>
      </w:pPr>
    </w:p>
    <w:p>
      <w:pPr>
        <w:ind w:right="3819" w:firstLine="642"/>
        <w:spacing w:after="0" w:line="251" w:lineRule="auto"/>
        <w:rPr>
          <w:sz w:val="20"/>
          <w:szCs w:val="20"/>
          <w:color w:val="auto"/>
        </w:rPr>
      </w:pPr>
      <w:r>
        <w:rPr>
          <w:rFonts w:ascii="Courier New" w:cs="Courier New" w:eastAsia="Courier New" w:hAnsi="Courier New"/>
          <w:sz w:val="13"/>
          <w:szCs w:val="13"/>
          <w:color w:val="auto"/>
        </w:rPr>
        <w:t>This Amendment on Form 10-K/A amends the Registrant's Annual Report on Form 10-K for the fiscal year ended December 31, 2002, and is being filed solely to amend the financial reporting of certain transactions related to the formation of NN Euroball, ApS ("Euroball") on July 31, 2000, and the subsequent purchase on December 20, 2002 of the 23% interest in Euroball held by FAG Kugelfischer George Schaefer AG, which was subsequently acquired by INA - Schaeffler KG (collectively, "INA/FAG"). These restatements had no material effect on the Company's reported net sales, gross profit, income from operations or cash flows for the fiscal years ended December 31, 2002, 2001 or 2000.</w:t>
      </w:r>
    </w:p>
    <w:p>
      <w:pPr>
        <w:spacing w:after="0" w:line="156" w:lineRule="exact"/>
        <w:rPr>
          <w:sz w:val="20"/>
          <w:szCs w:val="20"/>
          <w:color w:val="auto"/>
        </w:rPr>
      </w:pPr>
    </w:p>
    <w:p>
      <w:pPr>
        <w:ind w:right="3819" w:firstLine="642"/>
        <w:spacing w:after="0" w:line="251" w:lineRule="auto"/>
        <w:rPr>
          <w:sz w:val="20"/>
          <w:szCs w:val="20"/>
          <w:color w:val="auto"/>
        </w:rPr>
      </w:pPr>
      <w:r>
        <w:rPr>
          <w:rFonts w:ascii="Courier New" w:cs="Courier New" w:eastAsia="Courier New" w:hAnsi="Courier New"/>
          <w:sz w:val="13"/>
          <w:szCs w:val="13"/>
          <w:color w:val="auto"/>
        </w:rPr>
        <w:t>We have revised the valuation of the original purchase price associated with the formation of Euroball in July 2000. This revision resulted in a reduction of goodwill of approximately 4.1 million Euro ($3.8 million). Further, we have increased stockholders' equity by approximately 10.0 million Euro ($9.3 million) to reflect the amount by which the Company's proportionate interest in Euroball exceeded the book value of the net assets exchanged by the Company. As a result of these two adjustments, minority interest in consolidated subsidiaries has been reduced by approximately $7.4 million, $12.6 million and $13.3 million, at December 31, 2002, 2001 and 2000, respectively, goodwill has been reduced $4.3 million, $3.7 million and $3.9 million, at December 31, 2002, 2001 and 2000, respectively, and paid in capital increased $9.3 million at December 31, 2002, 2001 and 2000 from amounts previously reported. Comprehensive income has also been restated for the foreign currency translation effects of these adjustments.</w:t>
      </w:r>
    </w:p>
    <w:p>
      <w:pPr>
        <w:spacing w:after="0" w:line="31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In the previously issued December 31, 2002 Consolidated Financial Statements, when the Company acquired the 23% interest in Euroball held by INA/FAG in December 2002, the excess of minority interest in consolidated subsidiaries over the December 2002 purchase price was recorded as a non-taxable gain in the amount of approximately $5.9 million. As</w:t>
      </w:r>
    </w:p>
    <w:p>
      <w:pPr>
        <w:spacing w:after="0" w:line="306"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restated in the accompanying Consolidated Financial Statements, the non-taxable gain has been excluded and the excess of the purchase price over the fair value of INA/FAG's 23% interest in the net assets of Euroball was allocated to goodwill. The resulting impact to the Consolidated Financial Statements is an increase to goodwill of approximately $1.5 million and a decrease in retained earnings of approximately $5.9 million as of December 31, 2002 and reversal of the $5.9 million gain previously recorded in the Consolidated Statement of Income and Comprehensive Income for the year ended December 31, 2002.</w:t>
      </w:r>
    </w:p>
    <w:p>
      <w:pPr>
        <w:spacing w:after="0" w:line="156" w:lineRule="exact"/>
        <w:rPr>
          <w:sz w:val="20"/>
          <w:szCs w:val="20"/>
          <w:color w:val="auto"/>
        </w:rPr>
      </w:pPr>
    </w:p>
    <w:p>
      <w:pPr>
        <w:ind w:right="4059" w:firstLine="722"/>
        <w:spacing w:after="0" w:line="252" w:lineRule="auto"/>
        <w:rPr>
          <w:sz w:val="20"/>
          <w:szCs w:val="20"/>
          <w:color w:val="auto"/>
        </w:rPr>
      </w:pPr>
      <w:r>
        <w:rPr>
          <w:rFonts w:ascii="Courier New" w:cs="Courier New" w:eastAsia="Courier New" w:hAnsi="Courier New"/>
          <w:sz w:val="13"/>
          <w:szCs w:val="13"/>
          <w:color w:val="auto"/>
        </w:rPr>
        <w:t>Additionally, the Company has reclassified minority interest in consolidated subsidiaries from a component of total liabilities to a separate line item in the Consolidated Balance Sheets at December 31, 2002, 2001 and 2000.</w:t>
      </w:r>
    </w:p>
    <w:p>
      <w:pPr>
        <w:spacing w:after="0" w:line="307" w:lineRule="exact"/>
        <w:rPr>
          <w:sz w:val="20"/>
          <w:szCs w:val="20"/>
          <w:color w:val="auto"/>
        </w:rPr>
      </w:pPr>
    </w:p>
    <w:p>
      <w:pPr>
        <w:ind w:right="4379"/>
        <w:spacing w:after="0" w:line="254" w:lineRule="auto"/>
        <w:rPr>
          <w:sz w:val="20"/>
          <w:szCs w:val="20"/>
          <w:color w:val="auto"/>
        </w:rPr>
      </w:pPr>
      <w:r>
        <w:rPr>
          <w:rFonts w:ascii="Courier New" w:cs="Courier New" w:eastAsia="Courier New" w:hAnsi="Courier New"/>
          <w:sz w:val="13"/>
          <w:szCs w:val="13"/>
          <w:b w:val="1"/>
          <w:bCs w:val="1"/>
          <w:color w:val="auto"/>
        </w:rPr>
        <w:t>Cautionary Statements for Purposes of the "Safe Harbor" Provisions of the Private Securities Litigation Reform Act of 1995</w:t>
      </w:r>
    </w:p>
    <w:p>
      <w:pPr>
        <w:spacing w:after="0" w:line="151" w:lineRule="exact"/>
        <w:rPr>
          <w:sz w:val="20"/>
          <w:szCs w:val="20"/>
          <w:color w:val="auto"/>
        </w:rPr>
      </w:pPr>
    </w:p>
    <w:p>
      <w:pPr>
        <w:ind w:right="3979" w:firstLine="722"/>
        <w:spacing w:after="0" w:line="251" w:lineRule="auto"/>
        <w:rPr>
          <w:sz w:val="20"/>
          <w:szCs w:val="20"/>
          <w:color w:val="auto"/>
        </w:rPr>
      </w:pPr>
      <w:r>
        <w:rPr>
          <w:rFonts w:ascii="Courier New" w:cs="Courier New" w:eastAsia="Courier New" w:hAnsi="Courier New"/>
          <w:sz w:val="13"/>
          <w:szCs w:val="13"/>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You should carefully consider the following risks and uncertainties, and all other information contained in or incorporated by reference in this annual report on Form 10-K/A,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55"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b w:val="1"/>
          <w:bCs w:val="1"/>
          <w:i w:val="1"/>
          <w:iCs w:val="1"/>
          <w:color w:val="auto"/>
        </w:rPr>
        <w:t>The demand for our products is cyclical, which could adversely impact our revenues.</w:t>
      </w:r>
    </w:p>
    <w:p>
      <w:pPr>
        <w:spacing w:after="0" w:line="151" w:lineRule="exact"/>
        <w:rPr>
          <w:sz w:val="20"/>
          <w:szCs w:val="20"/>
          <w:color w:val="auto"/>
        </w:rPr>
      </w:pPr>
    </w:p>
    <w:p>
      <w:pPr>
        <w:ind w:right="3979" w:firstLine="722"/>
        <w:spacing w:after="0" w:line="251" w:lineRule="auto"/>
        <w:rPr>
          <w:sz w:val="20"/>
          <w:szCs w:val="20"/>
          <w:color w:val="auto"/>
        </w:rPr>
      </w:pPr>
      <w:r>
        <w:rPr>
          <w:rFonts w:ascii="Courier New" w:cs="Courier New" w:eastAsia="Courier New" w:hAnsi="Courier New"/>
          <w:sz w:val="13"/>
          <w:szCs w:val="13"/>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56" w:lineRule="exact"/>
        <w:rPr>
          <w:sz w:val="20"/>
          <w:szCs w:val="20"/>
          <w:color w:val="auto"/>
        </w:rPr>
      </w:pPr>
    </w:p>
    <w:p>
      <w:pPr>
        <w:ind w:left="800" w:right="3899"/>
        <w:spacing w:after="0" w:line="253" w:lineRule="auto"/>
        <w:rPr>
          <w:sz w:val="20"/>
          <w:szCs w:val="20"/>
          <w:color w:val="auto"/>
        </w:rPr>
      </w:pPr>
      <w:r>
        <w:rPr>
          <w:rFonts w:ascii="Courier New" w:cs="Courier New" w:eastAsia="Courier New" w:hAnsi="Courier New"/>
          <w:sz w:val="13"/>
          <w:szCs w:val="13"/>
          <w:b w:val="1"/>
          <w:bCs w:val="1"/>
          <w:i w:val="1"/>
          <w:iCs w:val="1"/>
          <w:color w:val="auto"/>
        </w:rPr>
        <w:t>We depend on a very limited number of foreign sources for our primary raw material and are subject to risks of shortages and price fluctuation.</w:t>
      </w:r>
    </w:p>
    <w:p>
      <w:pPr>
        <w:spacing w:after="0" w:line="151" w:lineRule="exact"/>
        <w:rPr>
          <w:sz w:val="20"/>
          <w:szCs w:val="20"/>
          <w:color w:val="auto"/>
        </w:rPr>
      </w:pPr>
    </w:p>
    <w:p>
      <w:pPr>
        <w:jc w:val="both"/>
        <w:ind w:right="3819" w:firstLine="722"/>
        <w:spacing w:after="0" w:line="252" w:lineRule="auto"/>
        <w:rPr>
          <w:sz w:val="20"/>
          <w:szCs w:val="20"/>
          <w:color w:val="auto"/>
        </w:rPr>
      </w:pPr>
      <w:r>
        <w:rPr>
          <w:rFonts w:ascii="Courier New" w:cs="Courier New" w:eastAsia="Courier New" w:hAnsi="Courier New"/>
          <w:sz w:val="13"/>
          <w:szCs w:val="13"/>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w:t>
      </w:r>
    </w:p>
    <w:p>
      <w:pPr>
        <w:sectPr>
          <w:pgSz w:w="11900" w:h="16838" w:orient="portrait"/>
          <w:cols w:equalWidth="0" w:num="1">
            <w:col w:w="10239"/>
          </w:cols>
          <w:pgMar w:left="220" w:top="295" w:right="1440" w:bottom="0" w:gutter="0" w:footer="0" w:header="0"/>
        </w:sectPr>
      </w:pPr>
    </w:p>
    <w:bookmarkStart w:id="10" w:name="page11"/>
    <w:bookmarkEnd w:id="10"/>
    <w:p>
      <w:pPr>
        <w:ind w:right="3899"/>
        <w:spacing w:after="0" w:line="251" w:lineRule="auto"/>
        <w:rPr>
          <w:sz w:val="20"/>
          <w:szCs w:val="20"/>
          <w:color w:val="auto"/>
        </w:rPr>
      </w:pPr>
      <w:r>
        <w:rPr>
          <w:rFonts w:ascii="Courier New" w:cs="Courier New" w:eastAsia="Courier New" w:hAnsi="Courier New"/>
          <w:sz w:val="13"/>
          <w:szCs w:val="13"/>
          <w:color w:val="auto"/>
        </w:rPr>
        <w:t>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56"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b w:val="1"/>
          <w:bCs w:val="1"/>
          <w:i w:val="1"/>
          <w:iCs w:val="1"/>
          <w:color w:val="auto"/>
        </w:rPr>
        <w:t>We operate in and sell products to customers outside the U.S. and are subject to several related risks.</w:t>
      </w:r>
    </w:p>
    <w:p>
      <w:pPr>
        <w:spacing w:after="0" w:line="15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3" w:lineRule="exact"/>
        <w:rPr>
          <w:sz w:val="20"/>
          <w:szCs w:val="20"/>
          <w:color w:val="auto"/>
        </w:rPr>
      </w:pPr>
    </w:p>
    <w:p>
      <w:pPr>
        <w:ind w:left="3040"/>
        <w:spacing w:after="0"/>
        <w:rPr>
          <w:sz w:val="20"/>
          <w:szCs w:val="20"/>
          <w:color w:val="auto"/>
        </w:rPr>
      </w:pPr>
      <w:r>
        <w:rPr>
          <w:rFonts w:ascii="Courier New" w:cs="Courier New" w:eastAsia="Courier New" w:hAnsi="Courier New"/>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0" w:hanging="396"/>
        <w:spacing w:after="0"/>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adverse foreign currency fluctuations;</w:t>
      </w:r>
    </w:p>
    <w:p>
      <w:pPr>
        <w:spacing w:after="0" w:line="161" w:lineRule="exact"/>
        <w:rPr>
          <w:rFonts w:ascii="Courier New" w:cs="Courier New" w:eastAsia="Courier New" w:hAnsi="Courier New"/>
          <w:sz w:val="13"/>
          <w:szCs w:val="13"/>
          <w:color w:val="auto"/>
        </w:rPr>
      </w:pPr>
    </w:p>
    <w:p>
      <w:pPr>
        <w:ind w:left="1200" w:right="4059" w:hanging="396"/>
        <w:spacing w:after="0" w:line="253" w:lineRule="auto"/>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changes in trade, monetary and fiscal policies, laws and regulations, and other activities of governments, agencies and similar organizations;</w:t>
      </w:r>
    </w:p>
    <w:p>
      <w:pPr>
        <w:spacing w:after="0" w:line="15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imposition of trade restrictions or prohibitions;</w:t>
      </w:r>
    </w:p>
    <w:p>
      <w:pPr>
        <w:spacing w:after="0" w:line="161" w:lineRule="exact"/>
        <w:rPr>
          <w:rFonts w:ascii="Courier New" w:cs="Courier New" w:eastAsia="Courier New" w:hAnsi="Courier New"/>
          <w:sz w:val="13"/>
          <w:szCs w:val="13"/>
          <w:color w:val="auto"/>
        </w:rPr>
      </w:pPr>
    </w:p>
    <w:p>
      <w:pPr>
        <w:ind w:left="1200" w:right="3979" w:hanging="396"/>
        <w:spacing w:after="0" w:line="254" w:lineRule="auto"/>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high tax rates that discourage the repatriation of funds to the U.S.;</w:t>
      </w:r>
    </w:p>
    <w:p>
      <w:pPr>
        <w:spacing w:after="0" w:line="150"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imposition of import or other duties or taxes; and</w:t>
      </w:r>
    </w:p>
    <w:p>
      <w:pPr>
        <w:spacing w:after="0" w:line="161" w:lineRule="exact"/>
        <w:rPr>
          <w:rFonts w:ascii="Courier New" w:cs="Courier New" w:eastAsia="Courier New" w:hAnsi="Courier New"/>
          <w:sz w:val="13"/>
          <w:szCs w:val="13"/>
          <w:color w:val="auto"/>
        </w:rPr>
      </w:pPr>
    </w:p>
    <w:p>
      <w:pPr>
        <w:jc w:val="both"/>
        <w:ind w:left="1200" w:right="3979" w:hanging="396"/>
        <w:spacing w:after="0" w:line="254" w:lineRule="auto"/>
        <w:tabs>
          <w:tab w:leader="none" w:pos="12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unstable governments or legal systems in countries in which our suppliers, manufacturing operations, and customers are located.</w:t>
      </w:r>
    </w:p>
    <w:p>
      <w:pPr>
        <w:spacing w:after="0" w:line="151" w:lineRule="exact"/>
        <w:rPr>
          <w:sz w:val="20"/>
          <w:szCs w:val="20"/>
          <w:color w:val="auto"/>
        </w:rPr>
      </w:pPr>
    </w:p>
    <w:p>
      <w:pPr>
        <w:ind w:right="3979"/>
        <w:spacing w:after="0" w:line="251" w:lineRule="auto"/>
        <w:rPr>
          <w:sz w:val="20"/>
          <w:szCs w:val="20"/>
          <w:color w:val="auto"/>
        </w:rPr>
      </w:pPr>
      <w:r>
        <w:rPr>
          <w:rFonts w:ascii="Courier New" w:cs="Courier New" w:eastAsia="Courier New" w:hAnsi="Courier New"/>
          <w:sz w:val="13"/>
          <w:szCs w:val="13"/>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56"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53" w:lineRule="exact"/>
        <w:rPr>
          <w:sz w:val="20"/>
          <w:szCs w:val="20"/>
          <w:color w:val="auto"/>
        </w:rPr>
      </w:pPr>
    </w:p>
    <w:p>
      <w:pPr>
        <w:jc w:val="both"/>
        <w:ind w:left="800" w:right="3819"/>
        <w:spacing w:after="0" w:line="253" w:lineRule="auto"/>
        <w:rPr>
          <w:sz w:val="20"/>
          <w:szCs w:val="20"/>
          <w:color w:val="auto"/>
        </w:rPr>
      </w:pPr>
      <w:r>
        <w:rPr>
          <w:rFonts w:ascii="Courier New" w:cs="Courier New" w:eastAsia="Courier New" w:hAnsi="Courier New"/>
          <w:sz w:val="13"/>
          <w:szCs w:val="13"/>
          <w:b w:val="1"/>
          <w:bCs w:val="1"/>
          <w:i w:val="1"/>
          <w:iCs w:val="1"/>
          <w:color w:val="auto"/>
        </w:rPr>
        <w:t>We depend heavily on a relatively limited number of customers, and the loss of any major customer would have a material adverse effect on our business.</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During 2002, our ten largest customers accounted for approximately 73% of our consolidated net sales. None of our other customers individually accounted for more than 5% of our consolidated net sales for 2002. The loss of all or a substantial portion of sales to these customers would cause us to lose a substantial portion of our revenue and would lower our profit margin and cash flows from operations.</w:t>
      </w:r>
    </w:p>
    <w:p>
      <w:pPr>
        <w:spacing w:after="0" w:line="156" w:lineRule="exact"/>
        <w:rPr>
          <w:sz w:val="20"/>
          <w:szCs w:val="20"/>
          <w:color w:val="auto"/>
        </w:rPr>
      </w:pPr>
    </w:p>
    <w:p>
      <w:pPr>
        <w:ind w:left="800" w:right="4219"/>
        <w:spacing w:after="0" w:line="254" w:lineRule="auto"/>
        <w:rPr>
          <w:sz w:val="20"/>
          <w:szCs w:val="20"/>
          <w:color w:val="auto"/>
        </w:rPr>
      </w:pPr>
      <w:r>
        <w:rPr>
          <w:rFonts w:ascii="Courier New" w:cs="Courier New" w:eastAsia="Courier New" w:hAnsi="Courier New"/>
          <w:sz w:val="13"/>
          <w:szCs w:val="13"/>
          <w:b w:val="1"/>
          <w:bCs w:val="1"/>
          <w:i w:val="1"/>
          <w:iCs w:val="1"/>
          <w:color w:val="auto"/>
        </w:rPr>
        <w:t>The costs and difficulties of integrating acquired business could impede our future growth.</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56"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b w:val="1"/>
          <w:bCs w:val="1"/>
          <w:i w:val="1"/>
          <w:iCs w:val="1"/>
          <w:color w:val="auto"/>
        </w:rPr>
        <w:t>We may not be able to continue to make the acquisitions necessary for us to realize our growth strategy.</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During 2002, we purchased INA/FAG's minority interest in Euroball. See Note 3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57" w:lineRule="exact"/>
        <w:rPr>
          <w:sz w:val="20"/>
          <w:szCs w:val="20"/>
          <w:color w:val="auto"/>
        </w:rPr>
      </w:pPr>
    </w:p>
    <w:p>
      <w:pPr>
        <w:ind w:right="3899" w:firstLine="722"/>
        <w:spacing w:after="0" w:line="252" w:lineRule="auto"/>
        <w:rPr>
          <w:sz w:val="20"/>
          <w:szCs w:val="20"/>
          <w:color w:val="auto"/>
        </w:rPr>
      </w:pPr>
      <w:r>
        <w:rPr>
          <w:rFonts w:ascii="Courier New" w:cs="Courier New" w:eastAsia="Courier New" w:hAnsi="Courier New"/>
          <w:sz w:val="13"/>
          <w:szCs w:val="13"/>
          <w:color w:val="auto"/>
        </w:rPr>
        <w:t>Additionally, SKF, the minority shareholder in Euroball, has the right to require us to purchase its interest beginning in January 2003. SKF has informed us that it intends to exercise its right and we expect to purchase its interest in</w:t>
      </w:r>
    </w:p>
    <w:p>
      <w:pPr>
        <w:spacing w:after="0" w:line="153"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sectPr>
      </w:pPr>
    </w:p>
    <w:bookmarkStart w:id="11" w:name="page12"/>
    <w:bookmarkEnd w:id="11"/>
    <w:p>
      <w:pPr>
        <w:ind w:right="3899"/>
        <w:spacing w:after="0" w:line="253" w:lineRule="auto"/>
        <w:rPr>
          <w:sz w:val="20"/>
          <w:szCs w:val="20"/>
          <w:color w:val="auto"/>
        </w:rPr>
      </w:pPr>
      <w:r>
        <w:rPr>
          <w:rFonts w:ascii="Courier New" w:cs="Courier New" w:eastAsia="Courier New" w:hAnsi="Courier New"/>
          <w:sz w:val="13"/>
          <w:szCs w:val="13"/>
          <w:color w:val="auto"/>
        </w:rPr>
        <w:t>the second quarter of 2003. The Company may need to borrow funds to pay for all or a portion of the purchase of SKF's interest or may be required to make a purchase at a time that is less favorable to the Company.</w:t>
      </w:r>
    </w:p>
    <w:p>
      <w:pPr>
        <w:spacing w:after="0" w:line="151" w:lineRule="exact"/>
        <w:rPr>
          <w:sz w:val="20"/>
          <w:szCs w:val="20"/>
          <w:color w:val="auto"/>
        </w:rPr>
      </w:pPr>
    </w:p>
    <w:p>
      <w:pPr>
        <w:jc w:val="both"/>
        <w:ind w:left="800" w:right="3899"/>
        <w:spacing w:after="0" w:line="253" w:lineRule="auto"/>
        <w:rPr>
          <w:sz w:val="20"/>
          <w:szCs w:val="20"/>
          <w:color w:val="auto"/>
        </w:rPr>
      </w:pPr>
      <w:r>
        <w:rPr>
          <w:rFonts w:ascii="Courier New" w:cs="Courier New" w:eastAsia="Courier New" w:hAnsi="Courier New"/>
          <w:sz w:val="13"/>
          <w:szCs w:val="13"/>
          <w:b w:val="1"/>
          <w:bCs w:val="1"/>
          <w:i w:val="1"/>
          <w:iCs w:val="1"/>
          <w:color w:val="auto"/>
        </w:rPr>
        <w:t>Our growth strategy depends on outsourcing, and if the industry trend toward outsourcing does not continue, our business could be adversely affected.</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56" w:lineRule="exact"/>
        <w:rPr>
          <w:sz w:val="20"/>
          <w:szCs w:val="20"/>
          <w:color w:val="auto"/>
        </w:rPr>
      </w:pPr>
    </w:p>
    <w:p>
      <w:pPr>
        <w:ind w:left="800" w:right="4219"/>
        <w:spacing w:after="0" w:line="254" w:lineRule="auto"/>
        <w:rPr>
          <w:sz w:val="20"/>
          <w:szCs w:val="20"/>
          <w:color w:val="auto"/>
        </w:rPr>
      </w:pPr>
      <w:r>
        <w:rPr>
          <w:rFonts w:ascii="Courier New" w:cs="Courier New" w:eastAsia="Courier New" w:hAnsi="Courier New"/>
          <w:sz w:val="13"/>
          <w:szCs w:val="13"/>
          <w:b w:val="1"/>
          <w:bCs w:val="1"/>
          <w:i w:val="1"/>
          <w:iCs w:val="1"/>
          <w:color w:val="auto"/>
        </w:rPr>
        <w:t>Our market is highly competitive and many of our competitors have significant advantages that could adversely affect our business.</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56" w:lineRule="exact"/>
        <w:rPr>
          <w:sz w:val="20"/>
          <w:szCs w:val="20"/>
          <w:color w:val="auto"/>
        </w:rPr>
      </w:pPr>
    </w:p>
    <w:p>
      <w:pPr>
        <w:ind w:left="800" w:right="3899"/>
        <w:spacing w:after="0" w:line="253" w:lineRule="auto"/>
        <w:rPr>
          <w:sz w:val="20"/>
          <w:szCs w:val="20"/>
          <w:color w:val="auto"/>
        </w:rPr>
      </w:pPr>
      <w:r>
        <w:rPr>
          <w:rFonts w:ascii="Courier New" w:cs="Courier New" w:eastAsia="Courier New" w:hAnsi="Courier New"/>
          <w:sz w:val="13"/>
          <w:szCs w:val="13"/>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i w:val="1"/>
          <w:iCs w:val="1"/>
          <w:color w:val="auto"/>
        </w:rPr>
        <w:t>The price of our common stock may be volatile.</w:t>
      </w:r>
    </w:p>
    <w:p>
      <w:pPr>
        <w:spacing w:after="0" w:line="161"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The market price of our common stock could be subject to significant fluctuations and may decline. Among the factors that could affect our stock price are:</w:t>
      </w:r>
    </w:p>
    <w:p>
      <w:pPr>
        <w:spacing w:after="0" w:line="151" w:lineRule="exact"/>
        <w:rPr>
          <w:sz w:val="20"/>
          <w:szCs w:val="20"/>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operating and financial performance and prospects;</w:t>
      </w:r>
    </w:p>
    <w:p>
      <w:pPr>
        <w:spacing w:after="0" w:line="161" w:lineRule="exact"/>
        <w:rPr>
          <w:rFonts w:ascii="Courier New" w:cs="Courier New" w:eastAsia="Courier New" w:hAnsi="Courier New"/>
          <w:sz w:val="13"/>
          <w:szCs w:val="13"/>
          <w:color w:val="auto"/>
        </w:rPr>
      </w:pPr>
    </w:p>
    <w:p>
      <w:pPr>
        <w:ind w:left="1200" w:right="3899" w:hanging="396"/>
        <w:spacing w:after="0" w:line="254" w:lineRule="auto"/>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quarterly variations in the rate of growth of our financial indicators, such as earnings per share, net income and revenues;</w:t>
      </w:r>
    </w:p>
    <w:p>
      <w:pPr>
        <w:spacing w:after="0" w:line="150" w:lineRule="exact"/>
        <w:rPr>
          <w:rFonts w:ascii="Courier New" w:cs="Courier New" w:eastAsia="Courier New" w:hAnsi="Courier New"/>
          <w:sz w:val="13"/>
          <w:szCs w:val="13"/>
          <w:color w:val="auto"/>
        </w:rPr>
      </w:pPr>
    </w:p>
    <w:p>
      <w:pPr>
        <w:ind w:left="1200" w:right="4379" w:hanging="396"/>
        <w:spacing w:after="0" w:line="254" w:lineRule="auto"/>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changes in revenue or earnings estimates or publication of research reports by analysts;</w:t>
      </w:r>
    </w:p>
    <w:p>
      <w:pPr>
        <w:spacing w:after="0" w:line="150"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loss of any member of our senior management team;</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speculation in the press or investment community;</w:t>
      </w:r>
    </w:p>
    <w:p>
      <w:pPr>
        <w:spacing w:after="0" w:line="161" w:lineRule="exact"/>
        <w:rPr>
          <w:rFonts w:ascii="Courier New" w:cs="Courier New" w:eastAsia="Courier New" w:hAnsi="Courier New"/>
          <w:sz w:val="13"/>
          <w:szCs w:val="13"/>
          <w:color w:val="auto"/>
        </w:rPr>
      </w:pPr>
    </w:p>
    <w:p>
      <w:pPr>
        <w:ind w:left="1200" w:right="3899" w:hanging="396"/>
        <w:spacing w:after="0" w:line="254" w:lineRule="auto"/>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strategic actions by us or our competitors, such as acquisitions or restructurings;</w:t>
      </w:r>
    </w:p>
    <w:p>
      <w:pPr>
        <w:spacing w:after="0" w:line="150"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sales of our common stock by stockholders;</w:t>
      </w:r>
    </w:p>
    <w:p>
      <w:pPr>
        <w:spacing w:after="0" w:line="161" w:lineRule="exact"/>
        <w:rPr>
          <w:rFonts w:ascii="Courier New" w:cs="Courier New" w:eastAsia="Courier New" w:hAnsi="Courier New"/>
          <w:sz w:val="13"/>
          <w:szCs w:val="13"/>
          <w:color w:val="auto"/>
        </w:rPr>
      </w:pPr>
    </w:p>
    <w:p>
      <w:pPr>
        <w:ind w:left="1200" w:hanging="396"/>
        <w:spacing w:after="0"/>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general market conditions; and</w:t>
      </w:r>
    </w:p>
    <w:p>
      <w:pPr>
        <w:spacing w:after="0" w:line="161" w:lineRule="exact"/>
        <w:rPr>
          <w:rFonts w:ascii="Courier New" w:cs="Courier New" w:eastAsia="Courier New" w:hAnsi="Courier New"/>
          <w:sz w:val="13"/>
          <w:szCs w:val="13"/>
          <w:color w:val="auto"/>
        </w:rPr>
      </w:pPr>
    </w:p>
    <w:p>
      <w:pPr>
        <w:ind w:left="1200" w:right="3819" w:hanging="396"/>
        <w:spacing w:after="0" w:line="254" w:lineRule="auto"/>
        <w:tabs>
          <w:tab w:leader="none" w:pos="12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domestic and international economic, legal and regulatory factors unrelated to our performance.</w:t>
      </w:r>
    </w:p>
    <w:p>
      <w:pPr>
        <w:spacing w:after="0" w:line="30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979" w:firstLine="722"/>
        <w:spacing w:after="0" w:line="252" w:lineRule="auto"/>
        <w:rPr>
          <w:sz w:val="20"/>
          <w:szCs w:val="20"/>
          <w:color w:val="auto"/>
        </w:rPr>
      </w:pPr>
      <w:r>
        <w:rPr>
          <w:rFonts w:ascii="Courier New" w:cs="Courier New" w:eastAsia="Courier New" w:hAnsi="Courier New"/>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53"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b w:val="1"/>
          <w:bCs w:val="1"/>
          <w:i w:val="1"/>
          <w:iCs w:val="1"/>
          <w:color w:val="auto"/>
        </w:rPr>
        <w:t>Provisions in our charter documents and Delaware law may inhibit a takeover, which could adversely affect the value of our common stock.</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w:t>
      </w:r>
    </w:p>
    <w:p>
      <w:pPr>
        <w:sectPr>
          <w:pgSz w:w="11900" w:h="16838" w:orient="portrait"/>
          <w:cols w:equalWidth="0" w:num="1">
            <w:col w:w="10239"/>
          </w:cols>
          <w:pgMar w:left="220" w:top="295" w:right="1440" w:bottom="0" w:gutter="0" w:footer="0" w:header="0"/>
        </w:sectPr>
      </w:pPr>
    </w:p>
    <w:bookmarkStart w:id="12" w:name="page13"/>
    <w:bookmarkEnd w:id="12"/>
    <w:p>
      <w:pPr>
        <w:jc w:val="both"/>
        <w:ind w:right="3979"/>
        <w:spacing w:after="0" w:line="254" w:lineRule="auto"/>
        <w:rPr>
          <w:sz w:val="20"/>
          <w:szCs w:val="20"/>
          <w:color w:val="auto"/>
        </w:rPr>
      </w:pPr>
      <w:r>
        <w:rPr>
          <w:rFonts w:ascii="Courier New" w:cs="Courier New" w:eastAsia="Courier New" w:hAnsi="Courier New"/>
          <w:sz w:val="13"/>
          <w:szCs w:val="13"/>
          <w:color w:val="auto"/>
        </w:rPr>
        <w:t>office approve either the business combination or the transaction that results in the stockholder becoming an interested stockholder.</w:t>
      </w:r>
    </w:p>
    <w:p>
      <w:pPr>
        <w:spacing w:after="0" w:line="151" w:lineRule="exact"/>
        <w:rPr>
          <w:sz w:val="20"/>
          <w:szCs w:val="20"/>
          <w:color w:val="auto"/>
        </w:rPr>
      </w:pPr>
    </w:p>
    <w:p>
      <w:pPr>
        <w:jc w:val="both"/>
        <w:ind w:right="3979" w:firstLine="722"/>
        <w:spacing w:after="0" w:line="253" w:lineRule="auto"/>
        <w:rPr>
          <w:sz w:val="20"/>
          <w:szCs w:val="20"/>
          <w:color w:val="auto"/>
        </w:rPr>
      </w:pPr>
      <w:r>
        <w:rPr>
          <w:rFonts w:ascii="Courier New" w:cs="Courier New" w:eastAsia="Courier New" w:hAnsi="Courier New"/>
          <w:sz w:val="13"/>
          <w:szCs w:val="13"/>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Overview</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Company's core business is the manufacture and sale of high quality, precision steel balls and rollers. In 2002, sales of balls and rollers accounted for approximately 74% of the Company's total net sales with 71% and 3% of sales from balls and rollers, respectively. Sales of precision molded plastic and rubber parts accounted for the remaining 26%. See Note 12 of the Notes to Consolidated Financial Statements.</w:t>
      </w:r>
    </w:p>
    <w:p>
      <w:pPr>
        <w:spacing w:after="0" w:line="15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Since the Company was formed in 1980 it has grown primarily through the displacement of captive ball manufacturing operations of domestic and international bearing manufacturers resulting in increased sales of high precision balls for quiet bearing applications. Management believes that the Company's core business sales growth since its formation has been due to its ability to capitalize on opportunities in global markets and provide precision products at competitive prices, as well as its emphasis on product quality and customer service.</w:t>
      </w:r>
    </w:p>
    <w:p>
      <w:pPr>
        <w:spacing w:after="0" w:line="15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color w:val="auto"/>
        </w:rPr>
        <w:t>In 1997, the Company recognized changing dynamics in the marketplace, and as a result, developed and began implementing an extensive long-term growth strategy building upon its core business and leveraging its inherent strengths to better serve its global customer base. As part of this strategy, the Company sought to augment its intrinsic growth with complementary acquisitions that fit specific criteria.</w:t>
      </w:r>
    </w:p>
    <w:p>
      <w:pPr>
        <w:spacing w:after="0" w:line="155"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July 4, 1999, the Company acquired substantially all of the assets of Earsley Capital Corporation, formerly known as Industrial Molding Corporation ("IMC").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 During 2002, IMC sold its products to more than 60 customers in 12 different countries.</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July 31, 2000, the Company formed a majority owned stand-alone company in Europe, NN Euroball ApS ("Euroball"), for the manufacture and sale of chrome steel balls used for ball bearings and other products. As a result of this transaction, the Company owned 54% of Euroball. AB SKF and FAG Kugelfisher Georg Shafer AG, the parent companies of SKF and FAG respectively each owned 23% of Euroball.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In connection with this transaction, total equity, specifically additional paid in capital, increased by 10.0 million Euros ($9.3</w:t>
      </w:r>
    </w:p>
    <w:p>
      <w:pPr>
        <w:spacing w:after="0" w:line="200" w:lineRule="exact"/>
        <w:rPr>
          <w:sz w:val="20"/>
          <w:szCs w:val="20"/>
          <w:color w:val="auto"/>
        </w:rPr>
      </w:pPr>
    </w:p>
    <w:p>
      <w:pPr>
        <w:spacing w:after="0" w:line="26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million) to reflect the increase in the Company's proportionate interest in Euroball as related to its 54% ownership as more fully detailed in Note 3 to the Consolidated Financial Statements. The Company is required to consolidate Euroball due to its majority ownership and has accounted for the acquisitions of the Pinerolo, Italy and Eltmann, Germany ball factories using the purchase method of accounting. On December 20, 2002 the Company completed the purchase of the 23% interest held by INA/FAG. The Company paid approximately 13.4 million Euros ($13.8 million) for INA/FAG's interest in Euroball. The excess of the purchase price paid to INA/FAG for its 23% interest over the minority interest in consolidated subsidiaries related to INA/FAG's 23% interest of approximately $1.5 million has been recorded as goodwill (see Notes 1 and 3 of the Notes to Consolidated Financial Statements). Following the closing of the transaction, the Company owns 77% of the outstanding shares of Euroball and SKF owns the remaining 23%. SKF consented to our purchase of INA/FAG's interest pursuant to the terms of the Euroball Shareholder Agreement. Under the terms of the Shareholder Agreement with SKF, SKF has the right, beginning January 2003, to exercise its put option regarding its interest in Euroball to the Company on a formula buy-out. SKF has informed us that it intends to exercise its right and we expect to purchase its interest during the second quarter of 2003. However, if exercised at December 31, 2002, the purchase price would have been approximately $14.0 million versus minority interest in consolidated subsidiaries of $12.3 million.</w:t>
      </w:r>
    </w:p>
    <w:p>
      <w:pPr>
        <w:spacing w:after="0" w:line="31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August 31, 2000, the Company acquired a 51% ownership interest in NN Mexico, LLC ("NN Mexico"), a Delaware limited liability company. NN Mexico holds as its sole investment a 100% ownership interest in NN Arté, a manufacturer of plastic components located in Guadalajara, Mexico. The Company is required to consolidate NN Mexico due to its majority ownership and has accounted for this acquisition using the purchase method of accounting. On January 24, 2003, we exercised our Call Right to purchase the remaining 49% interest in NN Mexico, LLC. The transaction, which is expected to close in the second quarter of 2003, is subject to a number of conditions, including the approval of NN's board of directors. The transaction is not expected to materially impact our financial condition or results of operations. Based on the purchase price formula contained in the principal agreement between the parties the purchase price for such interest is anticipated to be zero.</w:t>
      </w:r>
    </w:p>
    <w:p>
      <w:pPr>
        <w:spacing w:after="0" w:line="157"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February 16, 2001, the Company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 The Company's credit facility with AmSouth Bank was renegotiated to provide financing for the transaction. The Company has accounted for this</w:t>
      </w:r>
    </w:p>
    <w:p>
      <w:pPr>
        <w:sectPr>
          <w:pgSz w:w="11900" w:h="16838" w:orient="portrait"/>
          <w:cols w:equalWidth="0" w:num="1">
            <w:col w:w="10239"/>
          </w:cols>
          <w:pgMar w:left="220" w:top="14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3"/>
          <w:szCs w:val="13"/>
          <w:color w:val="auto"/>
        </w:rPr>
        <w:t>acquisition using the purchase method of accounting.</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On September 11, 2001, the Company announced the closing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Walterboro, South Carolina ball manufacturing facility effective December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closing was made as part of the Company's strategy to redistribute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global production in order to better utilize capacity and serve the needs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worldwide customers. The precision ball production of the Walterboro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has been fully absorbed by the Company's remaining U.S. ball &amp; 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manufacturing facilities located in Erwin and Mountain City, Tennessee. In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2001 the Company recorded before tax charges associated with the closing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$1.3 million and $1.9 million, respectively. In 2001, this amount includes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 million before-tax charge for the recording of impairment on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manufacturing facility located in Walterboro, South Carolina and $0.8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related to employee severance costs. In 2002, this amount includes a $0.6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million before-tax charge for the recording of an additional impairment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facility, a $0.6 million before-tax charge for the recording of impairment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machinery and equipment and a $0.1 million charge related to employee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severance costs. These amounts are reflected as restructuring and impairment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costs in the accompanying Consolidated Statements of Income. The building along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with certain machinery and equipment are held for sale as of December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These assets have an aggregate carrying value of $2.2 million. The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results of this operation have been reflected in the Domestic Ball and 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Segment. See Note 11 of the Notes to Consolidated Financial Statements.</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 General Bearing Corporation for cash of $0.6 million and notes of $3.3 million. In 2001, the Company recorded a non-cash after-tax loss on sale of the investments in this joint venture of $0.2 million.</w:t>
      </w:r>
    </w:p>
    <w:p>
      <w:pPr>
        <w:spacing w:after="0" w:line="306" w:lineRule="exact"/>
        <w:rPr>
          <w:sz w:val="20"/>
          <w:szCs w:val="20"/>
          <w:color w:val="auto"/>
        </w:rPr>
      </w:pPr>
    </w:p>
    <w:p>
      <w:pPr>
        <w:ind w:right="3819" w:firstLine="722"/>
        <w:spacing w:after="0" w:line="254" w:lineRule="auto"/>
        <w:rPr>
          <w:sz w:val="20"/>
          <w:szCs w:val="20"/>
          <w:color w:val="auto"/>
        </w:rPr>
      </w:pPr>
      <w:r>
        <w:rPr>
          <w:rFonts w:ascii="Courier New" w:cs="Courier New" w:eastAsia="Courier New" w:hAnsi="Courier New"/>
          <w:sz w:val="13"/>
          <w:szCs w:val="13"/>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Critical Accounting Policies</w:t>
      </w:r>
    </w:p>
    <w:p>
      <w:pPr>
        <w:spacing w:after="0" w:line="161" w:lineRule="exact"/>
        <w:rPr>
          <w:sz w:val="20"/>
          <w:szCs w:val="20"/>
          <w:color w:val="auto"/>
        </w:rPr>
      </w:pPr>
    </w:p>
    <w:p>
      <w:pPr>
        <w:ind w:right="4219" w:firstLine="722"/>
        <w:spacing w:after="0" w:line="252" w:lineRule="auto"/>
        <w:rPr>
          <w:sz w:val="20"/>
          <w:szCs w:val="20"/>
          <w:color w:val="auto"/>
        </w:rPr>
      </w:pPr>
      <w:r>
        <w:rPr>
          <w:rFonts w:ascii="Courier New" w:cs="Courier New" w:eastAsia="Courier New" w:hAnsi="Courier New"/>
          <w:sz w:val="13"/>
          <w:szCs w:val="13"/>
          <w:color w:val="auto"/>
        </w:rPr>
        <w:t>Our significant accounting policies, including the assumptions and judgment underlying them, are disclosed in Note (2) to the Consolidated Financial Statements. These policies have been consistently applied in all material respects and</w:t>
      </w:r>
    </w:p>
    <w:p>
      <w:pPr>
        <w:spacing w:after="0" w:line="153"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Accounts Receivable. </w:t>
      </w:r>
      <w:r>
        <w:rPr>
          <w:rFonts w:ascii="Courier New" w:cs="Courier New" w:eastAsia="Courier New" w:hAnsi="Courier New"/>
          <w:sz w:val="13"/>
          <w:szCs w:val="13"/>
          <w:color w:val="auto"/>
        </w:rPr>
        <w:t>Substantially all of the Company's accounts receivable are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due primarily from the core served markets: bearing manufacturers, automotive industry, electronics, industrial, agricultural and aerospace. Due to the Chapter 7 voluntary bankruptcy of one IMC customer and other write-offs, the Company experienced $1.7 million of bad debt expense during 2001 versus $0.1 million during 2002.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 adequate allowances for doubtful accounts have been provided in the Consolidated Financial Statements, it is possible that the Company could experience additional unexpected credit losses.</w:t>
      </w:r>
    </w:p>
    <w:p>
      <w:pPr>
        <w:spacing w:after="0" w:line="157"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Inventories. </w:t>
      </w:r>
      <w:r>
        <w:rPr>
          <w:rFonts w:ascii="Courier New" w:cs="Courier New" w:eastAsia="Courier New" w:hAnsi="Courier New"/>
          <w:sz w:val="13"/>
          <w:szCs w:val="13"/>
          <w:color w:val="auto"/>
        </w:rPr>
        <w:t>Inventories are stated at the lower of cost or market. Cost is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Acquisitions and Acquired Intangibles. </w:t>
      </w:r>
      <w:r>
        <w:rPr>
          <w:rFonts w:ascii="Courier New" w:cs="Courier New" w:eastAsia="Courier New" w:hAnsi="Courier New"/>
          <w:sz w:val="13"/>
          <w:szCs w:val="13"/>
          <w:color w:val="auto"/>
        </w:rPr>
        <w:t>For new acquisitions, the Company uses</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56"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b w:val="1"/>
          <w:bCs w:val="1"/>
          <w:color w:val="auto"/>
        </w:rPr>
        <w:t xml:space="preserve">Impairment of Long-Lived Assets. </w:t>
      </w:r>
      <w:r>
        <w:rPr>
          <w:rFonts w:ascii="Courier New" w:cs="Courier New" w:eastAsia="Courier New" w:hAnsi="Courier New"/>
          <w:sz w:val="13"/>
          <w:szCs w:val="13"/>
          <w:color w:val="auto"/>
        </w:rPr>
        <w:t>The Company's long-lived assets include</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56" w:lineRule="exact"/>
        <w:rPr>
          <w:sz w:val="20"/>
          <w:szCs w:val="20"/>
          <w:color w:val="auto"/>
        </w:rPr>
      </w:pPr>
    </w:p>
    <w:p>
      <w:pPr>
        <w:ind w:right="3819"/>
        <w:spacing w:after="0" w:line="254" w:lineRule="auto"/>
        <w:rPr>
          <w:sz w:val="20"/>
          <w:szCs w:val="20"/>
          <w:color w:val="auto"/>
        </w:rPr>
      </w:pPr>
      <w:r>
        <w:rPr>
          <w:rFonts w:ascii="Courier New" w:cs="Courier New" w:eastAsia="Courier New" w:hAnsi="Courier New"/>
          <w:sz w:val="13"/>
          <w:szCs w:val="13"/>
          <w:b w:val="1"/>
          <w:bCs w:val="1"/>
          <w:color w:val="auto"/>
        </w:rPr>
        <w:t xml:space="preserve">Pension and Post-Retirement Obligations. </w:t>
      </w:r>
      <w:r>
        <w:rPr>
          <w:rFonts w:ascii="Courier New" w:cs="Courier New" w:eastAsia="Courier New" w:hAnsi="Courier New"/>
          <w:sz w:val="13"/>
          <w:szCs w:val="13"/>
          <w:color w:val="auto"/>
        </w:rPr>
        <w:t>The Company uses several assumptions in</w:t>
      </w:r>
      <w:r>
        <w:rPr>
          <w:rFonts w:ascii="Courier New" w:cs="Courier New" w:eastAsia="Courier New" w:hAnsi="Courier New"/>
          <w:sz w:val="13"/>
          <w:szCs w:val="13"/>
          <w:b w:val="1"/>
          <w:bCs w:val="1"/>
          <w:color w:val="auto"/>
        </w:rPr>
        <w:t xml:space="preserve"> </w:t>
      </w:r>
      <w:r>
        <w:rPr>
          <w:rFonts w:ascii="Courier New" w:cs="Courier New" w:eastAsia="Courier New" w:hAnsi="Courier New"/>
          <w:sz w:val="13"/>
          <w:szCs w:val="13"/>
          <w:color w:val="auto"/>
        </w:rPr>
        <w:t>determining its periodic pension and post-retirement expense and obligations</w:t>
      </w:r>
    </w:p>
    <w:p>
      <w:pPr>
        <w:sectPr>
          <w:pgSz w:w="11900" w:h="16838" w:orient="portrait"/>
          <w:cols w:equalWidth="0" w:num="1">
            <w:col w:w="10239"/>
          </w:cols>
          <w:pgMar w:left="220" w:top="141" w:right="1440" w:bottom="0" w:gutter="0" w:footer="0" w:header="0"/>
        </w:sectPr>
      </w:pPr>
    </w:p>
    <w:bookmarkStart w:id="14" w:name="page15"/>
    <w:bookmarkEnd w:id="14"/>
    <w:p>
      <w:pPr>
        <w:ind w:right="3819"/>
        <w:spacing w:after="0" w:line="252" w:lineRule="auto"/>
        <w:rPr>
          <w:sz w:val="20"/>
          <w:szCs w:val="20"/>
          <w:color w:val="auto"/>
        </w:rPr>
      </w:pPr>
      <w:r>
        <w:rPr>
          <w:rFonts w:ascii="Courier New" w:cs="Courier New" w:eastAsia="Courier New" w:hAnsi="Courier New"/>
          <w:sz w:val="13"/>
          <w:szCs w:val="13"/>
          <w:color w:val="auto"/>
        </w:rPr>
        <w:t>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Results of Operations</w:t>
      </w:r>
    </w:p>
    <w:p>
      <w:pPr>
        <w:spacing w:after="0" w:line="161"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The following table sets forth for the periods indicated selected financial data and the percentage of the Company's net sales represented by each income statement line item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3440" w:type="dxa"/>
            <w:vAlign w:val="bottom"/>
            <w:gridSpan w:val="3"/>
          </w:tcPr>
          <w:p>
            <w:pPr>
              <w:jc w:val="right"/>
              <w:ind w:right="493"/>
              <w:spacing w:after="0"/>
              <w:rPr>
                <w:sz w:val="20"/>
                <w:szCs w:val="20"/>
                <w:color w:val="auto"/>
              </w:rPr>
            </w:pPr>
            <w:r>
              <w:rPr>
                <w:rFonts w:ascii="Courier New" w:cs="Courier New" w:eastAsia="Courier New" w:hAnsi="Courier New"/>
                <w:sz w:val="13"/>
                <w:szCs w:val="13"/>
                <w:b w:val="1"/>
                <w:bCs w:val="1"/>
                <w:color w:val="auto"/>
              </w:rPr>
              <w:t>As a percentage of Net Sales</w:t>
            </w:r>
          </w:p>
        </w:tc>
      </w:tr>
      <w:tr>
        <w:trPr>
          <w:trHeight w:val="154"/>
        </w:trPr>
        <w:tc>
          <w:tcPr>
            <w:tcW w:w="4660" w:type="dxa"/>
            <w:vAlign w:val="bottom"/>
          </w:tcPr>
          <w:p>
            <w:pPr>
              <w:spacing w:after="0"/>
              <w:rPr>
                <w:sz w:val="13"/>
                <w:szCs w:val="13"/>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800" w:type="dxa"/>
            <w:vAlign w:val="bottom"/>
          </w:tcPr>
          <w:p>
            <w:pPr>
              <w:spacing w:after="0"/>
              <w:rPr>
                <w:sz w:val="13"/>
                <w:szCs w:val="13"/>
                <w:color w:val="auto"/>
              </w:rPr>
            </w:pPr>
          </w:p>
        </w:tc>
      </w:tr>
      <w:tr>
        <w:trPr>
          <w:trHeight w:val="154"/>
        </w:trPr>
        <w:tc>
          <w:tcPr>
            <w:tcW w:w="4660" w:type="dxa"/>
            <w:vAlign w:val="bottom"/>
          </w:tcPr>
          <w:p>
            <w:pPr>
              <w:spacing w:after="0"/>
              <w:rPr>
                <w:sz w:val="13"/>
                <w:szCs w:val="13"/>
                <w:color w:val="auto"/>
              </w:rPr>
            </w:pPr>
          </w:p>
        </w:tc>
        <w:tc>
          <w:tcPr>
            <w:tcW w:w="128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Restated</w:t>
            </w: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4660" w:type="dxa"/>
            <w:vAlign w:val="bottom"/>
          </w:tcPr>
          <w:p>
            <w:pPr>
              <w:spacing w:after="0"/>
              <w:rPr>
                <w:sz w:val="13"/>
                <w:szCs w:val="13"/>
                <w:color w:val="auto"/>
              </w:rPr>
            </w:pPr>
          </w:p>
        </w:tc>
        <w:tc>
          <w:tcPr>
            <w:tcW w:w="128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2002</w:t>
            </w:r>
          </w:p>
        </w:tc>
        <w:tc>
          <w:tcPr>
            <w:tcW w:w="1360" w:type="dxa"/>
            <w:vAlign w:val="bottom"/>
          </w:tcPr>
          <w:p>
            <w:pPr>
              <w:jc w:val="right"/>
              <w:ind w:right="653"/>
              <w:spacing w:after="0"/>
              <w:rPr>
                <w:sz w:val="20"/>
                <w:szCs w:val="20"/>
                <w:color w:val="auto"/>
              </w:rPr>
            </w:pPr>
            <w:r>
              <w:rPr>
                <w:rFonts w:ascii="Courier New" w:cs="Courier New" w:eastAsia="Courier New" w:hAnsi="Courier New"/>
                <w:sz w:val="13"/>
                <w:szCs w:val="13"/>
                <w:b w:val="1"/>
                <w:bCs w:val="1"/>
                <w:color w:val="auto"/>
              </w:rPr>
              <w:t>2001</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46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w w:val="99"/>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100.0%</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100.0%</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100.0%</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Cost of product sold</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74.8</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76.2</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71.1</w:t>
            </w:r>
          </w:p>
        </w:tc>
      </w:tr>
      <w:tr>
        <w:trPr>
          <w:trHeight w:val="154"/>
        </w:trPr>
        <w:tc>
          <w:tcPr>
            <w:tcW w:w="46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25.2</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23.8</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28.9</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Selling, general and administrative expenses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8.9</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9.3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8.8</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Depreciation and amortization</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5.8</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7.3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6.9</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Restructuring and impairment costs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0.7</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1.3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Income from operations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9.8</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5.9</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13.2</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Equity in earnings of unconsolidated affiliates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gain on involuntary conversion</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(2.2)</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(0.6)</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Other income</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(0.2)</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(0.1)</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(0.1)</w:t>
            </w:r>
          </w:p>
        </w:tc>
      </w:tr>
      <w:tr>
        <w:trPr>
          <w:trHeight w:val="154"/>
        </w:trPr>
        <w:tc>
          <w:tcPr>
            <w:tcW w:w="46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8.8</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5.9</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12.6</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Provision for income taxes</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3.4</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4.5</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Minority interest in income of consolidated subsidiary</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1.4</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1.0</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0.5</w:t>
            </w:r>
          </w:p>
        </w:tc>
      </w:tr>
      <w:tr>
        <w:trPr>
          <w:trHeight w:val="154"/>
        </w:trPr>
        <w:tc>
          <w:tcPr>
            <w:tcW w:w="46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Income before cumulative effect of change in accounting</w:t>
            </w: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4660" w:type="dxa"/>
            <w:vAlign w:val="bottom"/>
          </w:tcPr>
          <w:p>
            <w:pPr>
              <w:ind w:left="240"/>
              <w:spacing w:after="0"/>
              <w:rPr>
                <w:sz w:val="20"/>
                <w:szCs w:val="20"/>
                <w:color w:val="auto"/>
              </w:rPr>
            </w:pPr>
            <w:r>
              <w:rPr>
                <w:rFonts w:ascii="Courier New" w:cs="Courier New" w:eastAsia="Courier New" w:hAnsi="Courier New"/>
                <w:sz w:val="13"/>
                <w:szCs w:val="13"/>
                <w:color w:val="auto"/>
              </w:rPr>
              <w:t>principle</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2.6</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 principle, net</w:t>
            </w: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4660" w:type="dxa"/>
            <w:vAlign w:val="bottom"/>
          </w:tcPr>
          <w:p>
            <w:pPr>
              <w:ind w:left="240"/>
              <w:spacing w:after="0"/>
              <w:rPr>
                <w:sz w:val="20"/>
                <w:szCs w:val="20"/>
                <w:color w:val="auto"/>
              </w:rPr>
            </w:pPr>
            <w:r>
              <w:rPr>
                <w:rFonts w:ascii="Courier New" w:cs="Courier New" w:eastAsia="Courier New" w:hAnsi="Courier New"/>
                <w:sz w:val="13"/>
                <w:szCs w:val="13"/>
                <w:color w:val="auto"/>
              </w:rPr>
              <w:t>of income tax benefit of $112 and related minority</w:t>
            </w: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4660" w:type="dxa"/>
            <w:vAlign w:val="bottom"/>
          </w:tcPr>
          <w:p>
            <w:pPr>
              <w:ind w:left="240"/>
              <w:spacing w:after="0"/>
              <w:rPr>
                <w:sz w:val="20"/>
                <w:szCs w:val="20"/>
                <w:color w:val="auto"/>
              </w:rPr>
            </w:pPr>
            <w:r>
              <w:rPr>
                <w:rFonts w:ascii="Courier New" w:cs="Courier New" w:eastAsia="Courier New" w:hAnsi="Courier New"/>
                <w:sz w:val="13"/>
                <w:szCs w:val="13"/>
                <w:color w:val="auto"/>
              </w:rPr>
              <w:t>interest impact of $84</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466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w:t>
            </w:r>
          </w:p>
        </w:tc>
        <w:tc>
          <w:tcPr>
            <w:tcW w:w="13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2.6%</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w:t>
            </w:r>
          </w:p>
        </w:tc>
      </w:tr>
      <w:tr>
        <w:trPr>
          <w:trHeight w:val="154"/>
        </w:trPr>
        <w:tc>
          <w:tcPr>
            <w:tcW w:w="46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Year Ended December 31, 2002 Compared to the Year Ended December 31, 2001</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Net Sales. </w:t>
      </w:r>
      <w:r>
        <w:rPr>
          <w:rFonts w:ascii="Courier New" w:cs="Courier New" w:eastAsia="Courier New" w:hAnsi="Courier New"/>
          <w:sz w:val="13"/>
          <w:szCs w:val="13"/>
          <w:color w:val="auto"/>
        </w:rPr>
        <w:t>The Company's net sales increased $12.7 million or 7.1% from</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$180.2 million in 2001 to $192.9 million in 2002. The inclusion of a full year of Delta contributed $2.5 million of the increase. Increased demand and new programs within the Plastics Segment contributed $6.3 million of the increase. Additionally, currency impacts within the Euroball Segment contributed $4.5 million of the increase. Offsetting these increases were contractual price decreases and modest volume improvements in the Euroball Segment resulting in a net decrease of $0.6 million.</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i w:val="1"/>
          <w:iCs w:val="1"/>
          <w:color w:val="auto"/>
        </w:rPr>
        <w:t xml:space="preserve">Gross Profit. </w:t>
      </w:r>
      <w:r>
        <w:rPr>
          <w:rFonts w:ascii="Courier New" w:cs="Courier New" w:eastAsia="Courier New" w:hAnsi="Courier New"/>
          <w:sz w:val="13"/>
          <w:szCs w:val="13"/>
          <w:color w:val="auto"/>
        </w:rPr>
        <w:t>Gross profit increased by $5.7 million or 13.2%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$42.9 million in 2001 to $48.6 million in 2002. The inclusion of a full year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Delta contributed $0.7 million of the increase. Cost reductions in the Domestic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Ball and Roller Segment principally related to the closing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Walterboro, South Carolina ball production facility contributed $0.6 million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increase. Increased product demand, new sales programs and cost reductions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the Plastics Segment contributed $1.8 million of the increase. Additionally,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cost reduction programs and currency impacts contributed $1.5 million and $1.0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million, respectively, in the Euroball Segment. As a percentage of 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gross profit increased from 23.8% in 2001 to 25.2% in 2002.</w:t>
      </w:r>
    </w:p>
    <w:p>
      <w:pPr>
        <w:spacing w:after="0" w:line="161" w:lineRule="exact"/>
        <w:rPr>
          <w:sz w:val="20"/>
          <w:szCs w:val="20"/>
          <w:color w:val="auto"/>
        </w:rPr>
      </w:pPr>
    </w:p>
    <w:p>
      <w:pPr>
        <w:jc w:val="both"/>
        <w:ind w:right="381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Restructuring and Impairment Costs. </w:t>
      </w:r>
      <w:r>
        <w:rPr>
          <w:rFonts w:ascii="Courier New" w:cs="Courier New" w:eastAsia="Courier New" w:hAnsi="Courier New"/>
          <w:sz w:val="13"/>
          <w:szCs w:val="13"/>
          <w:color w:val="auto"/>
        </w:rPr>
        <w:t>Restructuring and impairment costs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decreased by $1.0 million from $2.3 million in 2001 to $1.3 million in 2002. The Company incurred a charge for the recording of impairment on the Company's</w:t>
      </w:r>
    </w:p>
    <w:p>
      <w:pPr>
        <w:spacing w:after="0" w:line="15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manufacturing facility and equipment in Walterboro, South Carolina of $1.2 million and $1.1 million in 2002 and 2001, respectively. A charge of $0.1 million and $0.8 million was recorded in 2002 and 2001, respectively, associated with employee severance costs related to the closing of the Walterboro, South Carolina facility. Additionally, charges related to Euroball of $0 million and $0.4 million were recorded in 2002 and 2001, respectively. Restructuring and impairment charges were 0.7% of sales in 2002 and 1.3% of sales in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Selling, General and Administrative Expenses. </w:t>
      </w:r>
      <w:r>
        <w:rPr>
          <w:rFonts w:ascii="Courier New" w:cs="Courier New" w:eastAsia="Courier New" w:hAnsi="Courier New"/>
          <w:sz w:val="13"/>
          <w:szCs w:val="13"/>
          <w:color w:val="auto"/>
        </w:rPr>
        <w:t>Selling, general and</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administrative costs increased by $0.4 million, or 2.3%, from $16.8 million in 2001 to $17.1 million in 2002. The inclusion of a full year of Delta contributed $0.1 million of the increase. Advisory services principally associated with the previously announced desire of certain original founders of the Company to liquidate their holdings in the Company's stock contributed $0.3 million of the increase. Other increases totaling $0.5 million are primarily attributable to incentive based compensation throughout the Company and strategic planning technology initiatives at Euroball. Offsetting these increases were decreased spending of approximately $0.8 million related to bad debt expense primarily related to the bankruptcy filing of a major Plastics Segment customer in 2001. As a percentage of net sales, selling, general and administrative expenses decreased from 9.3% in 2001 to 8.9% in 2002.</w:t>
      </w:r>
    </w:p>
    <w:p>
      <w:pPr>
        <w:sectPr>
          <w:pgSz w:w="11900" w:h="16838" w:orient="portrait"/>
          <w:cols w:equalWidth="0" w:num="1">
            <w:col w:w="10239"/>
          </w:cols>
          <w:pgMar w:left="220" w:top="141" w:right="1440" w:bottom="0" w:gutter="0" w:footer="0" w:header="0"/>
        </w:sectPr>
      </w:pPr>
    </w:p>
    <w:bookmarkStart w:id="15" w:name="page16"/>
    <w:bookmarkEnd w:id="15"/>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Depreciation and Amortization. </w:t>
      </w:r>
      <w:r>
        <w:rPr>
          <w:rFonts w:ascii="Courier New" w:cs="Courier New" w:eastAsia="Courier New" w:hAnsi="Courier New"/>
          <w:sz w:val="13"/>
          <w:szCs w:val="13"/>
          <w:color w:val="auto"/>
        </w:rPr>
        <w:t>Depreciation and amortization expenses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decreased by $2.0 million from $13.2 million in 2001 to $11.2 million in 2002. The adoption of FASB Statement No. 142 eliminated the amortization of goodwill and contributed $1.8 million of the decrease. The assets held for sale as a result of the closing of the Walterboro, South Carolina ball production facility, which are no longer depreciated, contributed $0.9 million of the decrease. Offsetting these decreases, were a full year of depreciation of Delta assets contributing $0.3 million and currency impacts at Euroball contributing $0.3 million. As a percentage of sales, depreciation and amortization decreased from 7.3% in 2001 to 5.8% in 2002.</w:t>
      </w:r>
    </w:p>
    <w:p>
      <w:pPr>
        <w:spacing w:after="0" w:line="156"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Interest Expense. </w:t>
      </w:r>
      <w:r>
        <w:rPr>
          <w:rFonts w:ascii="Courier New" w:cs="Courier New" w:eastAsia="Courier New" w:hAnsi="Courier New"/>
          <w:sz w:val="13"/>
          <w:szCs w:val="13"/>
          <w:color w:val="auto"/>
        </w:rPr>
        <w:t>Interest expense decreased by $1.7 million from $4.2</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million in 2001 to $2.5 million in 2002. The decrease is principally attributed to the decrease in interest rates and decreased average debt levels in 2002. As a percentage of net sales, interest expense decreased from 2.3% in 2001 to 1.3% in 2002. See "Management's Discussion and Analysis of Financial Condition and Results of Operations - Liquidity and Capital Resources".</w:t>
      </w:r>
    </w:p>
    <w:p>
      <w:pPr>
        <w:spacing w:after="0" w:line="155" w:lineRule="exact"/>
        <w:rPr>
          <w:sz w:val="20"/>
          <w:szCs w:val="20"/>
          <w:color w:val="auto"/>
        </w:rPr>
      </w:pPr>
    </w:p>
    <w:p>
      <w:pPr>
        <w:ind w:right="4059" w:firstLine="722"/>
        <w:spacing w:after="0" w:line="252" w:lineRule="auto"/>
        <w:rPr>
          <w:sz w:val="20"/>
          <w:szCs w:val="20"/>
          <w:color w:val="auto"/>
        </w:rPr>
      </w:pPr>
      <w:r>
        <w:rPr>
          <w:rFonts w:ascii="Courier New" w:cs="Courier New" w:eastAsia="Courier New" w:hAnsi="Courier New"/>
          <w:sz w:val="13"/>
          <w:szCs w:val="13"/>
          <w:i w:val="1"/>
          <w:iCs w:val="1"/>
          <w:color w:val="auto"/>
        </w:rPr>
        <w:t xml:space="preserve">Net Gain on Involuntary Conversion. </w:t>
      </w:r>
      <w:r>
        <w:rPr>
          <w:rFonts w:ascii="Courier New" w:cs="Courier New" w:eastAsia="Courier New" w:hAnsi="Courier New"/>
          <w:sz w:val="13"/>
          <w:szCs w:val="13"/>
          <w:color w:val="auto"/>
        </w:rPr>
        <w:t>The Company had a gain on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involuntary conversion of $0.0 million and $3.9 million in 2002 and 2001, respectively, related to insurance proceeds as a result of the March 12, 2000 fire at the Erwin production facility.</w:t>
      </w:r>
    </w:p>
    <w:p>
      <w:pPr>
        <w:spacing w:after="0" w:line="15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Minority Interest in Consolidated Subsidiary. </w:t>
      </w:r>
      <w:r>
        <w:rPr>
          <w:rFonts w:ascii="Courier New" w:cs="Courier New" w:eastAsia="Courier New" w:hAnsi="Courier New"/>
          <w:sz w:val="13"/>
          <w:szCs w:val="13"/>
          <w:color w:val="auto"/>
        </w:rPr>
        <w:t>Minority interest of</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consolidated subsidiary increased $1.0 million from $1.8 million in 2001 to $2.8 million in 2002. This increase is due entirely to the Euroball joint venture which has been consolidated since its formation, August 1, 2000. The Company is required to consolidate Euroball in its Consolidated Financial Statements due to its majority ownership. The Company owns 77% of the shares of the joint venture with the remaining minority partner owning the remaining 23%. Minority interest in consolidated subsidiary represents the combined interest in Euroball's earnings of the minority partners and the 49% interest in NN Arte's earnings of the minority partner (the 49% interest in NN Arte's earning is zero in 2002 and 2001). See "Management's Discussion and Analysis of Financial Condition and Results of Operations - Overview".</w:t>
      </w:r>
    </w:p>
    <w:p>
      <w:pPr>
        <w:spacing w:after="0" w:line="157"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Net Income. </w:t>
      </w:r>
      <w:r>
        <w:rPr>
          <w:rFonts w:ascii="Courier New" w:cs="Courier New" w:eastAsia="Courier New" w:hAnsi="Courier New"/>
          <w:sz w:val="13"/>
          <w:szCs w:val="13"/>
          <w:color w:val="auto"/>
        </w:rPr>
        <w:t>Net income increased $3.1 million, or 66.5% from $4.7 in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2001 to $7.8 million in 2002. As a percentage of net sales, net income increased from 2.6% in 2001 to 4.0% in 2002.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Year Ended December 31, 2001 Compared to the Year Ended December 31, 2000</w:t>
      </w:r>
    </w:p>
    <w:p>
      <w:pPr>
        <w:spacing w:after="0" w:line="161"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Net Sales. </w:t>
      </w:r>
      <w:r>
        <w:rPr>
          <w:rFonts w:ascii="Courier New" w:cs="Courier New" w:eastAsia="Courier New" w:hAnsi="Courier New"/>
          <w:sz w:val="13"/>
          <w:szCs w:val="13"/>
          <w:color w:val="auto"/>
        </w:rPr>
        <w:t>The Company's net sales increased $48.0 million or 36.3%,</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from $132.1 million in 2000 to $180.2 million in 2001. The inclusion of a full year of Euroball sales contributed $46.1 million of the increase, excluding the performance of the Ireland facility, which was consolidated into the results of the Company prior to the formation of Euroball. Additionally, the inclusion of 10.5 months of Delta's net sales in 2001 contributed $14.0 million. Offsetting this increase were decreased sales in the Domestic Ball and Roller and Plastics Segments in the last half of the year due to slowing demand related to the overall economic environment in the United States. Decreased sales during the year for the Plastics Segment were due to the economic environment as well as significantly decreased sales to one customer.</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i w:val="1"/>
          <w:iCs w:val="1"/>
          <w:color w:val="auto"/>
        </w:rPr>
        <w:t xml:space="preserve">Gross Profit. </w:t>
      </w:r>
      <w:r>
        <w:rPr>
          <w:rFonts w:ascii="Courier New" w:cs="Courier New" w:eastAsia="Courier New" w:hAnsi="Courier New"/>
          <w:sz w:val="13"/>
          <w:szCs w:val="13"/>
          <w:color w:val="auto"/>
        </w:rPr>
        <w:t>Gross profit increased by $4.7 million, or 12.4%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$38.2 million in 2000 to $42.9 million in 2001. Adjusting for the performance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Ireland facility, the Euroball joint venture contributed an additional $10.4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million of gross profit. The inclusion of 10.5 months of Delta's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contributed an additional $3.3 million in gross profit, while the sales volume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deterioration in the Domestic Ball and Roller and Plastics Segments decreased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gross profit $9.0 million. Gross profit decreased from 28.9% of net sales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2000 to 23.8% of net sales in 2001.</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Restructuring and Impairment Costs. </w:t>
      </w:r>
      <w:r>
        <w:rPr>
          <w:rFonts w:ascii="Courier New" w:cs="Courier New" w:eastAsia="Courier New" w:hAnsi="Courier New"/>
          <w:sz w:val="13"/>
          <w:szCs w:val="13"/>
          <w:color w:val="auto"/>
        </w:rPr>
        <w:t>Restructuring and impairment costs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increased by $2.3 million from $0.0 million in 2000 to $2.3 million in 2001. The increase includes a $1.1 million charge for the recording of impairment on the Company's manufacturing facility located in Walterboro, South Carolina, a $0.8 million charge related to employee severance costs related to the closing of the Walterboro, South Carolina facility and a $0.4 million charge related to Euroball. Restructuring and impairment costs were 1.3% of net sales during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Selling, General and Administrative Expenses. </w:t>
      </w:r>
      <w:r>
        <w:rPr>
          <w:rFonts w:ascii="Courier New" w:cs="Courier New" w:eastAsia="Courier New" w:hAnsi="Courier New"/>
          <w:sz w:val="13"/>
          <w:szCs w:val="13"/>
          <w:color w:val="auto"/>
        </w:rPr>
        <w:t>Selling, general and</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administrative expenses increased by $5.2 million, or 44.8% from $11.6 million in 2000 to $16.8 million in 2001. The inclusion of a full year of Euroball results, adjusting for the Ireland facility, accounted for $3.5 million of the increase. The inclusion of 10.5 months of Delta's results accounted for $1.2 million of the increase. Additionally, bad debt expense related primarily to the bankruptcy filing of a major Plastics Segment customer contributed $0.8 million. Offsetting these increases were decreased spending related to cost reduction and cost containment efforts throughout the Company. As a percentage of net sales, selling, general and administrative expenses increased from 8.8% in 2000 to 9.3% in 2001.</w:t>
      </w:r>
    </w:p>
    <w:p>
      <w:pPr>
        <w:spacing w:after="0" w:line="310" w:lineRule="exact"/>
        <w:rPr>
          <w:sz w:val="20"/>
          <w:szCs w:val="20"/>
          <w:color w:val="auto"/>
        </w:rPr>
      </w:pPr>
    </w:p>
    <w:p>
      <w:pPr>
        <w:ind w:right="389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Depreciation and Amortization. </w:t>
      </w:r>
      <w:r>
        <w:rPr>
          <w:rFonts w:ascii="Courier New" w:cs="Courier New" w:eastAsia="Courier New" w:hAnsi="Courier New"/>
          <w:sz w:val="13"/>
          <w:szCs w:val="13"/>
          <w:color w:val="auto"/>
        </w:rPr>
        <w:t>Depreciation and amortization expenses</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increased $4.0 million, or 43.5% from $9.2 million in 2000 to $13.2 million in 2001. The inclusion of a full year of Euroball results, adjusting for the Ireland facility, accounted for $2.8 million of the increase. The inclusion of 10.5 months of Delta's results accounted for $1.1 million of the increase. As a percentage of net sales, depreciation and amortization increased from 6.9% in 2000 to 7.3% in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Interest Expense. </w:t>
      </w:r>
      <w:r>
        <w:rPr>
          <w:rFonts w:ascii="Courier New" w:cs="Courier New" w:eastAsia="Courier New" w:hAnsi="Courier New"/>
          <w:sz w:val="13"/>
          <w:szCs w:val="13"/>
          <w:color w:val="auto"/>
        </w:rPr>
        <w:t>Interest expense increased by $2.4 million from $1.8</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million in 2000 to $4.2 million in 2001. Interest expense related to the purchase of Delta accounted for $1.0 million of the increase. Additionally, the inclusion of a full year of interest expense related to the debt incurred by Euroball accounted for approximately $1.2 million of the increase. As a percentage of net sales, interest expense increased from 1.3% in 2000 to 2.3% in 2001. See "Management's Discussion and Analysis of Financial Condition - Liquidity and Capital Resources."</w:t>
      </w:r>
    </w:p>
    <w:p>
      <w:pPr>
        <w:spacing w:after="0" w:line="156"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i w:val="1"/>
          <w:iCs w:val="1"/>
          <w:color w:val="auto"/>
        </w:rPr>
        <w:t xml:space="preserve">Equity in Earnings of Unconsolidated Affiliates. </w:t>
      </w:r>
      <w:r>
        <w:rPr>
          <w:rFonts w:ascii="Courier New" w:cs="Courier New" w:eastAsia="Courier New" w:hAnsi="Courier New"/>
          <w:sz w:val="13"/>
          <w:szCs w:val="13"/>
          <w:color w:val="auto"/>
        </w:rPr>
        <w:t>Equity in earnings of</w:t>
      </w:r>
    </w:p>
    <w:p>
      <w:pPr>
        <w:sectPr>
          <w:pgSz w:w="11900" w:h="16838" w:orient="portrait"/>
          <w:cols w:equalWidth="0" w:num="1">
            <w:col w:w="10239"/>
          </w:cols>
          <w:pgMar w:left="220" w:top="141" w:right="1440" w:bottom="0" w:gutter="0" w:footer="0" w:header="0"/>
        </w:sectPr>
      </w:pPr>
    </w:p>
    <w:bookmarkStart w:id="16" w:name="page17"/>
    <w:bookmarkEnd w:id="16"/>
    <w:p>
      <w:pPr>
        <w:ind w:right="3819"/>
        <w:spacing w:after="0" w:line="251" w:lineRule="auto"/>
        <w:rPr>
          <w:sz w:val="20"/>
          <w:szCs w:val="20"/>
          <w:color w:val="auto"/>
        </w:rPr>
      </w:pPr>
      <w:r>
        <w:rPr>
          <w:rFonts w:ascii="Courier New" w:cs="Courier New" w:eastAsia="Courier New" w:hAnsi="Courier New"/>
          <w:sz w:val="13"/>
          <w:szCs w:val="13"/>
          <w:color w:val="auto"/>
        </w:rPr>
        <w:t>unconsolidated affiliates decreased $0.05 million from $0.05 million in 2000 to $0. The decrease is due to the Company's share of earnings from the NN General joint venture with General Bearing Corporation. 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 General Bearing Corporation for cash of $0.6 million and notes of $3.3 million. In 2001, the Company recorded a non-cash after-tax loss on the sale of its investment in this joint venture of $144,000. See Note 5 of the Notes to Consolidated Financial Statements for additional financial information.</w:t>
      </w:r>
    </w:p>
    <w:p>
      <w:pPr>
        <w:spacing w:after="0" w:line="156" w:lineRule="exact"/>
        <w:rPr>
          <w:sz w:val="20"/>
          <w:szCs w:val="20"/>
          <w:color w:val="auto"/>
        </w:rPr>
      </w:pPr>
    </w:p>
    <w:p>
      <w:pPr>
        <w:ind w:right="389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Net Gain on Involuntary Conversion. </w:t>
      </w:r>
      <w:r>
        <w:rPr>
          <w:rFonts w:ascii="Courier New" w:cs="Courier New" w:eastAsia="Courier New" w:hAnsi="Courier New"/>
          <w:sz w:val="13"/>
          <w:szCs w:val="13"/>
          <w:color w:val="auto"/>
        </w:rPr>
        <w:t>The Company had a net gain on</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involuntary conversion of $3.9 million in 2001 related to insurance proceeds as a result of the March 12, 2000 fire at the Erwin facility.</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Minority Interest in Consolidated Subsidiary. </w:t>
      </w:r>
      <w:r>
        <w:rPr>
          <w:rFonts w:ascii="Courier New" w:cs="Courier New" w:eastAsia="Courier New" w:hAnsi="Courier New"/>
          <w:sz w:val="13"/>
          <w:szCs w:val="13"/>
          <w:color w:val="auto"/>
        </w:rPr>
        <w:t>Minority interest of</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consolidated subsidiary increased $1.1 million from $0.7 million in 2000 to $1.8 million in 2001. This increase is due entirely to the Euroball joint venture which has been consolidated since its formation, August 1, 2000. The Company is required to consolidate Euroball in its Consolidated Financial Statements due to its majority ownership. The Company owns 54% of the shares of the joint venture with the minority partners owning the remaining 46%. Minority interest in consolidated subsidiary represents the combined 46% interest in Euroball's earnings of the minority partners and the 49% interest in NN Arte's earnings of the minority partners (the 49% interest in NN Arte's earning is zero in 2001 and 2000).</w:t>
      </w:r>
    </w:p>
    <w:p>
      <w:pPr>
        <w:spacing w:after="0" w:line="310" w:lineRule="exact"/>
        <w:rPr>
          <w:sz w:val="20"/>
          <w:szCs w:val="20"/>
          <w:color w:val="auto"/>
        </w:rPr>
      </w:pPr>
    </w:p>
    <w:p>
      <w:pPr>
        <w:ind w:right="413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Net Income. </w:t>
      </w:r>
      <w:r>
        <w:rPr>
          <w:rFonts w:ascii="Courier New" w:cs="Courier New" w:eastAsia="Courier New" w:hAnsi="Courier New"/>
          <w:sz w:val="13"/>
          <w:szCs w:val="13"/>
          <w:color w:val="auto"/>
        </w:rPr>
        <w:t>Net income decreased $5.3 million, or 53.3%, from $10.0</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million in 2000 to $4.7 million in 2001. As a percentage of net sales, net income decreased from 7.6% in 2000 to 2.6% in 2001.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color w:val="auto"/>
        </w:rPr>
        <w:t>Liquidity and Capital Resources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July 2000, NN Euroball ApS, and its subsidiaries entered into a loan agreement with HypoVereinsbank Luxembourg S.A. as agent for Bayerische Hypo-und Vereinsbank AG of Munich, Germany for a senior secured revolving credit facility of Euro 5.0 million, expiring on July 15, 2006 and a senior secured term loan facility of Euro 36.0 million, expiring on July 15, 2006. On July 31, 2000, upon closing of the joint venture, NN Euroball ApS borrowed a total of Euro 31.5 million against these facilities for acquisition financing. Additional working capital and capital expenditure financing are provided for under the facility. Amounts outstanding under the facilities accrue interest at a floating rate equal to EURIBOR (2.87% at December 31, 2002) plus an applicable margin of between 0.8% to 2.25% based upon calculated financial ratios. The loan agreement contains various restrictive financial and non financial covenants. Restrictive covenants which specify, among other things, restrictions on the incurrence of indebtedness and the maintenance of certain financial ratios. These facilities also include certain negative pledges. Amounts outstanding under the Facility Agreement are secured by the stock, inventory and accounts receivable of Euroball ApS. Euroball was in compliance with all such covenants at December 31, 2002. At December 31, 2002, Euro 9.8 million was available to Euroball under these facilities.</w:t>
      </w:r>
    </w:p>
    <w:p>
      <w:pPr>
        <w:spacing w:after="0" w:line="31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On July 12, 2002, the Company amended this credit facility to convert the term loan portion in 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 extend the $25 million senior non-secured revolving credit facility to July 25, 2004. Amounts outstanding under the revolving facility and term loan facility bear interest at a floating rate equal to LIBOR (1.38% at December 31, 2002) plus an applicable margin of 0.75% to 2.00% based upon calculated financial ratios. The loan agreement contains customary financial and non-financial covenants. Such covenants specify that the Company must maintain a minimum fixed charge coverage ratio, a minimum funded indebtedness to EBITDA ratio and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Company's ownership in NN Euroball ApS has been pledged as collateral. The Company was in compliance with all such covenants as of December 31, 2002.</w:t>
      </w:r>
    </w:p>
    <w:p>
      <w:pPr>
        <w:spacing w:after="0" w:line="313"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We are in the process of renegotiating our existing credit facilities. We expect to have the new facilities in place early during the second quarter of 2003. Prior to entering into the new loan agreements, we expect to obtain short-term working capital financing from our existing lender of approximately $3.5 million.</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To date, cash generated by Euroball and its subsidiaries has been used exclusively for general Euroball-specific purposes including investments in property, plant and equipment and prepayment of the Euroball senior secured term loan, which is secured by Euroball and its subsidiaries. Accordingly, no dividends have been declared or paid that may have been used by the Company to pay down our domestic credit facilities. While the Company controls the declaration of such dividends, we would only receive cash distributed in accordance with our ownership percentage in Euroball.</w:t>
      </w:r>
    </w:p>
    <w:p>
      <w:pPr>
        <w:spacing w:after="0" w:line="156" w:lineRule="exact"/>
        <w:rPr>
          <w:sz w:val="20"/>
          <w:szCs w:val="20"/>
          <w:color w:val="auto"/>
        </w:rPr>
      </w:pPr>
    </w:p>
    <w:p>
      <w:pPr>
        <w:ind w:right="3819" w:firstLine="722"/>
        <w:spacing w:after="0" w:line="253" w:lineRule="auto"/>
        <w:rPr>
          <w:sz w:val="20"/>
          <w:szCs w:val="20"/>
          <w:color w:val="auto"/>
        </w:rPr>
      </w:pPr>
      <w:r>
        <w:rPr>
          <w:rFonts w:ascii="Courier New" w:cs="Courier New" w:eastAsia="Courier New" w:hAnsi="Courier New"/>
          <w:sz w:val="13"/>
          <w:szCs w:val="13"/>
          <w:color w:val="auto"/>
        </w:rPr>
        <w:t>The Company's arrangements with its domestic customers typically provide that payments are due within 30 days following the date of the Company's shipment of goods, while arrangements with foreign customers (other than foreign</w:t>
      </w:r>
    </w:p>
    <w:p>
      <w:pPr>
        <w:sectPr>
          <w:pgSz w:w="11900" w:h="16838" w:orient="portrait"/>
          <w:cols w:equalWidth="0" w:num="1">
            <w:col w:w="10239"/>
          </w:cols>
          <w:pgMar w:left="220" w:top="141" w:right="1440" w:bottom="0" w:gutter="0" w:footer="0" w:header="0"/>
        </w:sectPr>
      </w:pPr>
    </w:p>
    <w:bookmarkStart w:id="17" w:name="page18"/>
    <w:bookmarkEnd w:id="17"/>
    <w:p>
      <w:pPr>
        <w:ind w:right="3819"/>
        <w:spacing w:after="0" w:line="251" w:lineRule="auto"/>
        <w:rPr>
          <w:sz w:val="20"/>
          <w:szCs w:val="20"/>
          <w:color w:val="auto"/>
        </w:rPr>
      </w:pPr>
      <w:r>
        <w:rPr>
          <w:rFonts w:ascii="Courier New" w:cs="Courier New" w:eastAsia="Courier New" w:hAnsi="Courier New"/>
          <w:sz w:val="13"/>
          <w:szCs w:val="13"/>
          <w:color w:val="auto"/>
        </w:rPr>
        <w:t>customers that have entered into an inventory management program with the Company) generally provide that payments are due within 90 or 120 days following the date of shipment. Under the Domestic Ball and Roller Segments inventory management program with certain European customers, payments typically are due within 30 days after the customer uses the product.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2002 and 2001, see Note 16 of the Notes to Consolidated Financial Statements.</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Company bills and receives payment from some of its foreign customers in Euro as well as other currencies. To date, the Company has not been materially adversely affected by currency fluctuations or foreign exchange restrictions. Nonetheless, as a result of these sales, the Company's foreign exchange transaction and translation risk has increased. Various strategies to manage this risk are available to management including producing and selling in local currencies and hedging programs. As of December 31, 2002, no currency hedges were in place. In addition, a strengthening of the U.S.</w:t>
      </w:r>
    </w:p>
    <w:p>
      <w:pPr>
        <w:spacing w:after="0" w:line="156"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59"/>
        <w:spacing w:after="0" w:line="253" w:lineRule="auto"/>
        <w:rPr>
          <w:sz w:val="20"/>
          <w:szCs w:val="20"/>
          <w:color w:val="auto"/>
        </w:rPr>
      </w:pPr>
      <w:r>
        <w:rPr>
          <w:rFonts w:ascii="Courier New" w:cs="Courier New" w:eastAsia="Courier New" w:hAnsi="Courier New"/>
          <w:sz w:val="13"/>
          <w:szCs w:val="13"/>
          <w:color w:val="auto"/>
        </w:rPr>
        <w:t>dollar and/or Euro against foreign currencies could impair the ability of the Company to compete with international competitors for foreign as well as domestic sales.</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Working capital, which consists principally of accounts receivable and inventories, was $21.2 million at December 31, 2002 as compared to $23.1 million at December 31, 2001 and $30.0 million at December 31, 2000. The ratio of current assets to current liabilities decreased from 1.89:1 at December 31, 2000 to 1.71:1 at December 31, 2001 and to 1.53:1 at December 31, 2002. Cash flow from operations increased to $31.1 million during 2002 from $24.6 million during 2001 and $26.9 million during 2000.</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During 2003, the Company plans to spend approximately $9.4 million on capital expenditures related primarily to equipment and process upgrades and replacements. The Company intends to finance these activities with cash generated from operations and funds available under our credit facilities, which are in the process of renegotiation. The Company believes that funds generated from operations and borrowings from the renegotiated credit facilities will be sufficient to finance the Company's working capital needs and projected capital expenditure requirements through December 2003.</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Beginning in January 2003 SKF may exercise its right under the Shareholders Agreement to cause the Company to purchase its interest in Euroball based on the Put Formula in the Shareholders Agreement. The Company anticipates that if such purchase becomes necessary, it may need to borrow additional funds. Because the purchase price is based on a formula using Euroball's historical earnings and cash flow, the exact amount of the put cannot be determined until the put right is exercised. SKF has informed us that it intends to exercise its right and we expect to purchase its interest during the second quarter of 2003.</w:t>
      </w:r>
    </w:p>
    <w:p>
      <w:pPr>
        <w:spacing w:after="0" w:line="156" w:lineRule="exact"/>
        <w:rPr>
          <w:sz w:val="20"/>
          <w:szCs w:val="20"/>
          <w:color w:val="auto"/>
        </w:rPr>
      </w:pPr>
    </w:p>
    <w:p>
      <w:pPr>
        <w:ind w:right="4459" w:firstLine="722"/>
        <w:spacing w:after="0" w:line="254" w:lineRule="auto"/>
        <w:rPr>
          <w:sz w:val="20"/>
          <w:szCs w:val="20"/>
          <w:color w:val="auto"/>
        </w:rPr>
      </w:pPr>
      <w:r>
        <w:rPr>
          <w:rFonts w:ascii="Courier New" w:cs="Courier New" w:eastAsia="Courier New" w:hAnsi="Courier New"/>
          <w:sz w:val="13"/>
          <w:szCs w:val="13"/>
          <w:color w:val="auto"/>
        </w:rPr>
        <w:t>The table below sets forth certain of the Company's contractual obligations and commercial commitments as of December 31, 2002: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ind w:left="720"/>
              <w:spacing w:after="0"/>
              <w:rPr>
                <w:sz w:val="20"/>
                <w:szCs w:val="20"/>
                <w:color w:val="auto"/>
              </w:rPr>
            </w:pPr>
            <w:r>
              <w:rPr>
                <w:rFonts w:ascii="Courier New" w:cs="Courier New" w:eastAsia="Courier New" w:hAnsi="Courier New"/>
                <w:sz w:val="13"/>
                <w:szCs w:val="13"/>
                <w:color w:val="auto"/>
              </w:rPr>
              <w:t>Certain</w:t>
            </w:r>
          </w:p>
        </w:tc>
        <w:tc>
          <w:tcPr>
            <w:tcW w:w="1300" w:type="dxa"/>
            <w:vAlign w:val="bottom"/>
          </w:tcPr>
          <w:p>
            <w:pPr>
              <w:spacing w:after="0"/>
              <w:rPr>
                <w:sz w:val="12"/>
                <w:szCs w:val="12"/>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Payments Due by Period</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54"/>
        </w:trPr>
        <w:tc>
          <w:tcPr>
            <w:tcW w:w="2280" w:type="dxa"/>
            <w:vAlign w:val="bottom"/>
          </w:tcPr>
          <w:p>
            <w:pPr>
              <w:ind w:left="80"/>
              <w:spacing w:after="0"/>
              <w:rPr>
                <w:sz w:val="20"/>
                <w:szCs w:val="20"/>
                <w:color w:val="auto"/>
              </w:rPr>
            </w:pPr>
            <w:r>
              <w:rPr>
                <w:rFonts w:ascii="Courier New" w:cs="Courier New" w:eastAsia="Courier New" w:hAnsi="Courier New"/>
                <w:sz w:val="13"/>
                <w:szCs w:val="13"/>
                <w:color w:val="auto"/>
              </w:rPr>
              <w:t>Contractual Obligations</w:t>
            </w: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4"/>
        </w:trPr>
        <w:tc>
          <w:tcPr>
            <w:tcW w:w="7420" w:type="dxa"/>
            <w:vAlign w:val="bottom"/>
            <w:gridSpan w:val="5"/>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80" w:type="dxa"/>
            <w:vAlign w:val="bottom"/>
          </w:tcPr>
          <w:p>
            <w:pPr>
              <w:spacing w:after="0"/>
              <w:rPr>
                <w:sz w:val="13"/>
                <w:szCs w:val="13"/>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3"/>
                <w:szCs w:val="13"/>
                <w:color w:val="auto"/>
              </w:rPr>
              <w:t>Total</w:t>
            </w:r>
          </w:p>
        </w:tc>
        <w:tc>
          <w:tcPr>
            <w:tcW w:w="12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Less than 1</w:t>
            </w:r>
          </w:p>
        </w:tc>
        <w:tc>
          <w:tcPr>
            <w:tcW w:w="1440" w:type="dxa"/>
            <w:vAlign w:val="bottom"/>
          </w:tcPr>
          <w:p>
            <w:pPr>
              <w:jc w:val="right"/>
              <w:ind w:right="453"/>
              <w:spacing w:after="0"/>
              <w:rPr>
                <w:sz w:val="20"/>
                <w:szCs w:val="20"/>
                <w:color w:val="auto"/>
              </w:rPr>
            </w:pPr>
            <w:r>
              <w:rPr>
                <w:rFonts w:ascii="Courier New" w:cs="Courier New" w:eastAsia="Courier New" w:hAnsi="Courier New"/>
                <w:sz w:val="13"/>
                <w:szCs w:val="13"/>
                <w:color w:val="auto"/>
              </w:rPr>
              <w:t>1-3 years</w:t>
            </w:r>
          </w:p>
        </w:tc>
        <w:tc>
          <w:tcPr>
            <w:tcW w:w="11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4-5 years</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After 5 years</w:t>
            </w:r>
          </w:p>
        </w:tc>
      </w:tr>
      <w:tr>
        <w:trPr>
          <w:trHeight w:val="154"/>
        </w:trPr>
        <w:tc>
          <w:tcPr>
            <w:tcW w:w="2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jc w:val="right"/>
              <w:ind w:right="533"/>
              <w:spacing w:after="0"/>
              <w:rPr>
                <w:sz w:val="20"/>
                <w:szCs w:val="20"/>
                <w:color w:val="auto"/>
              </w:rPr>
            </w:pPr>
            <w:r>
              <w:rPr>
                <w:rFonts w:ascii="Courier New" w:cs="Courier New" w:eastAsia="Courier New" w:hAnsi="Courier New"/>
                <w:sz w:val="13"/>
                <w:szCs w:val="13"/>
                <w:color w:val="auto"/>
              </w:rPr>
              <w:t>year</w:t>
            </w: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4"/>
        </w:trPr>
        <w:tc>
          <w:tcPr>
            <w:tcW w:w="7420" w:type="dxa"/>
            <w:vAlign w:val="bottom"/>
            <w:gridSpan w:val="5"/>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80" w:type="dxa"/>
            <w:vAlign w:val="bottom"/>
          </w:tcPr>
          <w:p>
            <w:pPr>
              <w:spacing w:after="0"/>
              <w:rPr>
                <w:sz w:val="20"/>
                <w:szCs w:val="20"/>
                <w:color w:val="auto"/>
              </w:rPr>
            </w:pPr>
            <w:r>
              <w:rPr>
                <w:rFonts w:ascii="Courier New" w:cs="Courier New" w:eastAsia="Courier New" w:hAnsi="Courier New"/>
                <w:sz w:val="13"/>
                <w:szCs w:val="13"/>
                <w:color w:val="auto"/>
              </w:rPr>
              <w:t>Long-Term Debt</w:t>
            </w:r>
          </w:p>
        </w:tc>
        <w:tc>
          <w:tcPr>
            <w:tcW w:w="13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$ 46,135</w:t>
            </w:r>
          </w:p>
        </w:tc>
        <w:tc>
          <w:tcPr>
            <w:tcW w:w="12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$39,063</w:t>
            </w:r>
          </w:p>
        </w:tc>
        <w:tc>
          <w:tcPr>
            <w:tcW w:w="11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$7,072</w:t>
            </w:r>
          </w:p>
        </w:tc>
        <w:tc>
          <w:tcPr>
            <w:tcW w:w="880" w:type="dxa"/>
            <w:vAlign w:val="bottom"/>
          </w:tcPr>
          <w:p>
            <w:pPr>
              <w:ind w:left="680"/>
              <w:spacing w:after="0"/>
              <w:rPr>
                <w:sz w:val="20"/>
                <w:szCs w:val="20"/>
                <w:color w:val="auto"/>
              </w:rPr>
            </w:pPr>
            <w:r>
              <w:rPr>
                <w:rFonts w:ascii="Courier New" w:cs="Courier New" w:eastAsia="Courier New" w:hAnsi="Courier New"/>
                <w:sz w:val="13"/>
                <w:szCs w:val="13"/>
                <w:color w:val="auto"/>
              </w:rPr>
              <w:t>$</w:t>
            </w:r>
          </w:p>
        </w:tc>
        <w:tc>
          <w:tcPr>
            <w:tcW w:w="3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7420" w:type="dxa"/>
            <w:vAlign w:val="bottom"/>
            <w:gridSpan w:val="5"/>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80" w:type="dxa"/>
            <w:vAlign w:val="bottom"/>
          </w:tcPr>
          <w:p>
            <w:pPr>
              <w:spacing w:after="0"/>
              <w:rPr>
                <w:sz w:val="20"/>
                <w:szCs w:val="20"/>
                <w:color w:val="auto"/>
              </w:rPr>
            </w:pPr>
            <w:r>
              <w:rPr>
                <w:rFonts w:ascii="Courier New" w:cs="Courier New" w:eastAsia="Courier New" w:hAnsi="Courier New"/>
                <w:sz w:val="13"/>
                <w:szCs w:val="13"/>
                <w:color w:val="auto"/>
              </w:rPr>
              <w:t>Operating Leases</w:t>
            </w:r>
          </w:p>
        </w:tc>
        <w:tc>
          <w:tcPr>
            <w:tcW w:w="13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$ 17,772</w:t>
            </w:r>
          </w:p>
        </w:tc>
        <w:tc>
          <w:tcPr>
            <w:tcW w:w="12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$ 1,422</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$ 2,486</w:t>
            </w:r>
          </w:p>
        </w:tc>
        <w:tc>
          <w:tcPr>
            <w:tcW w:w="11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$1,952</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$11,912</w:t>
            </w:r>
          </w:p>
        </w:tc>
      </w:tr>
      <w:tr>
        <w:trPr>
          <w:trHeight w:val="154"/>
        </w:trPr>
        <w:tc>
          <w:tcPr>
            <w:tcW w:w="7420" w:type="dxa"/>
            <w:vAlign w:val="bottom"/>
            <w:gridSpan w:val="5"/>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80" w:type="dxa"/>
            <w:vAlign w:val="bottom"/>
          </w:tcPr>
          <w:p>
            <w:pPr>
              <w:spacing w:after="0"/>
              <w:rPr>
                <w:sz w:val="20"/>
                <w:szCs w:val="20"/>
                <w:color w:val="auto"/>
              </w:rPr>
            </w:pPr>
            <w:r>
              <w:rPr>
                <w:rFonts w:ascii="Courier New" w:cs="Courier New" w:eastAsia="Courier New" w:hAnsi="Courier New"/>
                <w:sz w:val="13"/>
                <w:szCs w:val="13"/>
                <w:color w:val="auto"/>
              </w:rPr>
              <w:t>Other Long-Term</w:t>
            </w: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4"/>
        </w:trPr>
        <w:tc>
          <w:tcPr>
            <w:tcW w:w="2280" w:type="dxa"/>
            <w:vAlign w:val="bottom"/>
          </w:tcPr>
          <w:p>
            <w:pPr>
              <w:spacing w:after="0"/>
              <w:rPr>
                <w:sz w:val="20"/>
                <w:szCs w:val="20"/>
                <w:color w:val="auto"/>
              </w:rPr>
            </w:pPr>
            <w:r>
              <w:rPr>
                <w:rFonts w:ascii="Courier New" w:cs="Courier New" w:eastAsia="Courier New" w:hAnsi="Courier New"/>
                <w:sz w:val="13"/>
                <w:szCs w:val="13"/>
                <w:color w:val="auto"/>
              </w:rPr>
              <w:t>Obligations</w:t>
            </w:r>
          </w:p>
        </w:tc>
        <w:tc>
          <w:tcPr>
            <w:tcW w:w="13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$ 62,180</w:t>
            </w:r>
          </w:p>
        </w:tc>
        <w:tc>
          <w:tcPr>
            <w:tcW w:w="12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$21,615</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$40,565</w:t>
            </w:r>
          </w:p>
        </w:tc>
        <w:tc>
          <w:tcPr>
            <w:tcW w:w="11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w:t>
            </w:r>
          </w:p>
        </w:tc>
        <w:tc>
          <w:tcPr>
            <w:tcW w:w="880" w:type="dxa"/>
            <w:vAlign w:val="bottom"/>
          </w:tcPr>
          <w:p>
            <w:pPr>
              <w:ind w:left="680"/>
              <w:spacing w:after="0"/>
              <w:rPr>
                <w:sz w:val="20"/>
                <w:szCs w:val="20"/>
                <w:color w:val="auto"/>
              </w:rPr>
            </w:pPr>
            <w:r>
              <w:rPr>
                <w:rFonts w:ascii="Courier New" w:cs="Courier New" w:eastAsia="Courier New" w:hAnsi="Courier New"/>
                <w:sz w:val="13"/>
                <w:szCs w:val="13"/>
                <w:color w:val="auto"/>
              </w:rPr>
              <w:t>$</w:t>
            </w:r>
          </w:p>
        </w:tc>
        <w:tc>
          <w:tcPr>
            <w:tcW w:w="3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7420" w:type="dxa"/>
            <w:vAlign w:val="bottom"/>
            <w:gridSpan w:val="5"/>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r>
        <w:trPr>
          <w:trHeight w:val="154"/>
        </w:trPr>
        <w:tc>
          <w:tcPr>
            <w:tcW w:w="2280" w:type="dxa"/>
            <w:vAlign w:val="bottom"/>
          </w:tcPr>
          <w:p>
            <w:pPr>
              <w:spacing w:after="0"/>
              <w:rPr>
                <w:sz w:val="20"/>
                <w:szCs w:val="20"/>
                <w:color w:val="auto"/>
              </w:rPr>
            </w:pPr>
            <w:r>
              <w:rPr>
                <w:rFonts w:ascii="Courier New" w:cs="Courier New" w:eastAsia="Courier New" w:hAnsi="Courier New"/>
                <w:sz w:val="13"/>
                <w:szCs w:val="13"/>
                <w:color w:val="auto"/>
              </w:rPr>
              <w:t>Total Contractual Cash</w:t>
            </w: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4"/>
        </w:trPr>
        <w:tc>
          <w:tcPr>
            <w:tcW w:w="2280" w:type="dxa"/>
            <w:vAlign w:val="bottom"/>
          </w:tcPr>
          <w:p>
            <w:pPr>
              <w:spacing w:after="0"/>
              <w:rPr>
                <w:sz w:val="20"/>
                <w:szCs w:val="20"/>
                <w:color w:val="auto"/>
              </w:rPr>
            </w:pPr>
            <w:r>
              <w:rPr>
                <w:rFonts w:ascii="Courier New" w:cs="Courier New" w:eastAsia="Courier New" w:hAnsi="Courier New"/>
                <w:sz w:val="13"/>
                <w:szCs w:val="13"/>
                <w:color w:val="auto"/>
              </w:rPr>
              <w:t>Obligations</w:t>
            </w:r>
          </w:p>
        </w:tc>
        <w:tc>
          <w:tcPr>
            <w:tcW w:w="13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$ 126,087</w:t>
            </w:r>
          </w:p>
        </w:tc>
        <w:tc>
          <w:tcPr>
            <w:tcW w:w="12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$23,037</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$82,114</w:t>
            </w:r>
          </w:p>
        </w:tc>
        <w:tc>
          <w:tcPr>
            <w:tcW w:w="11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$9,024</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$ 11,912</w:t>
            </w:r>
          </w:p>
        </w:tc>
      </w:tr>
      <w:tr>
        <w:trPr>
          <w:trHeight w:val="154"/>
        </w:trPr>
        <w:tc>
          <w:tcPr>
            <w:tcW w:w="7420" w:type="dxa"/>
            <w:vAlign w:val="bottom"/>
            <w:gridSpan w:val="5"/>
          </w:tcPr>
          <w:p>
            <w:pPr>
              <w:spacing w:after="0"/>
              <w:rPr>
                <w:sz w:val="20"/>
                <w:szCs w:val="20"/>
                <w:color w:val="auto"/>
              </w:rPr>
            </w:pPr>
            <w:r>
              <w:rPr>
                <w:rFonts w:ascii="Courier New" w:cs="Courier New" w:eastAsia="Courier New" w:hAnsi="Courier New"/>
                <w:sz w:val="13"/>
                <w:szCs w:val="13"/>
                <w:color w:val="auto"/>
              </w:rPr>
              <w:t>=========================== ================ ============== ================ ===============</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right="4059" w:firstLine="722"/>
        <w:spacing w:after="0" w:line="253" w:lineRule="auto"/>
        <w:rPr>
          <w:sz w:val="20"/>
          <w:szCs w:val="20"/>
          <w:color w:val="auto"/>
        </w:rPr>
      </w:pPr>
      <w:r>
        <w:rPr>
          <w:rFonts w:ascii="Courier New" w:cs="Courier New" w:eastAsia="Courier New" w:hAnsi="Courier New"/>
          <w:sz w:val="13"/>
          <w:szCs w:val="13"/>
          <w:color w:val="auto"/>
        </w:rPr>
        <w:t>Other Long-Term Obligations consist principally of steel purchase commitments at the Euroball Segment (See Note 15 of the Notes to Consolidated Financial Statements.)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The Euro</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Company currently has operations in Ireland, Germany and Italy, all of which are Euro participating countries, and, each facility sells product to customers in many of the participating countries. The Euro has been adopted as the functional currency at all of Euroball's locations.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Seasonality and Fluctuation in Quarterly Results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The Company's net sales historically have been seasonal in nature, due to a significant portion of the Company's sales being to European customers that cease or significantly slow production during the month of August. For information concerning the Company's quarterly results of operations for the years ended December 31, 2002 and 2001, see Note 16 of the Notes to Consolidated Financial Statements.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Inflation and Changes in Prices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w:t>
      </w:r>
    </w:p>
    <w:p>
      <w:pPr>
        <w:sectPr>
          <w:pgSz w:w="11900" w:h="16838" w:orient="portrait"/>
          <w:cols w:equalWidth="0" w:num="1">
            <w:col w:w="10239"/>
          </w:cols>
          <w:pgMar w:left="220" w:top="141" w:right="1440" w:bottom="0" w:gutter="0" w:footer="0" w:header="0"/>
        </w:sectPr>
      </w:pPr>
    </w:p>
    <w:bookmarkStart w:id="18" w:name="page19"/>
    <w:bookmarkEnd w:id="18"/>
    <w:p>
      <w:pPr>
        <w:ind w:left="3120"/>
        <w:spacing w:after="0"/>
        <w:rPr>
          <w:sz w:val="20"/>
          <w:szCs w:val="20"/>
          <w:color w:val="auto"/>
        </w:rPr>
      </w:pPr>
      <w:r>
        <w:rPr>
          <w:rFonts w:ascii="Courier New" w:cs="Courier New" w:eastAsia="Courier New" w:hAnsi="Courier New"/>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typical pricing arrangements with steel suppliers are subject to adjustment once every six months. The Company's Euroball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Recently Issued Accounting Standards</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$36.6 million, which is subject to the provisions of Statement No. 142.</w:t>
      </w:r>
    </w:p>
    <w:p>
      <w:pPr>
        <w:spacing w:after="0" w:line="31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As a result of adopting these standards in the first quarter of 2002, the Company no longer amortizes goodwill. The Company estimates that amortization expense for goodwill would have been approximately $1.6 million (or $0.9 million net of tax and minority interest) for the twelve-month period ended December 31, 2002.</w:t>
      </w:r>
    </w:p>
    <w:p>
      <w:pPr>
        <w:spacing w:after="0" w:line="152"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Management believes that, as of December 31, 2002, it is not materially affected by SFAS No. 143.</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adoption of SFAS 144 did not have a material impact on the Company's financial condition.</w:t>
      </w:r>
    </w:p>
    <w:p>
      <w:pPr>
        <w:spacing w:after="0" w:line="156"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from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 No. 13 are effective for transactions occurring after May 15, 2002. Management believes that, as of December 31, 2002, it is not materially affected by SFAS No. 145.</w:t>
      </w:r>
    </w:p>
    <w:p>
      <w:pPr>
        <w:spacing w:after="0" w:line="157" w:lineRule="exact"/>
        <w:rPr>
          <w:sz w:val="20"/>
          <w:szCs w:val="20"/>
          <w:color w:val="auto"/>
        </w:rPr>
      </w:pPr>
    </w:p>
    <w:p>
      <w:pPr>
        <w:ind w:right="4059" w:firstLine="722"/>
        <w:spacing w:after="0" w:line="251" w:lineRule="auto"/>
        <w:rPr>
          <w:sz w:val="20"/>
          <w:szCs w:val="20"/>
          <w:color w:val="auto"/>
        </w:rPr>
      </w:pPr>
      <w:r>
        <w:rPr>
          <w:rFonts w:ascii="Courier New" w:cs="Courier New" w:eastAsia="Courier New" w:hAnsi="Courier New"/>
          <w:sz w:val="13"/>
          <w:szCs w:val="13"/>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amends the disclosures in both annual and interim financial statements about the method of accounting for stock-based employee compensation and the effect of the method used on reported results. The Company has adopted the provisions of SFAS 123, which encourages but does not require a fair value based method of accounting for stock compensation plans. The Company has elected to continue accounting for its stock compensation plan using the intrinsic value based method under APB Opinion No. 25. See Note 11 of the Notes to Consolidated Financial Statements.</w:t>
      </w:r>
    </w:p>
    <w:p>
      <w:pPr>
        <w:sectPr>
          <w:pgSz w:w="11900" w:h="16838" w:orient="portrait"/>
          <w:cols w:equalWidth="0" w:num="1">
            <w:col w:w="10239"/>
          </w:cols>
          <w:pgMar w:left="220" w:top="141" w:right="1440" w:bottom="0" w:gutter="0" w:footer="0" w:header="0"/>
        </w:sectPr>
      </w:pPr>
    </w:p>
    <w:bookmarkStart w:id="19" w:name="page20"/>
    <w:bookmarkEnd w:id="19"/>
    <w:p>
      <w:pPr>
        <w:ind w:right="5040" w:firstLine="722"/>
        <w:spacing w:after="0" w:line="251" w:lineRule="auto"/>
        <w:rPr>
          <w:sz w:val="20"/>
          <w:szCs w:val="20"/>
          <w:color w:val="auto"/>
        </w:rPr>
      </w:pPr>
      <w:r>
        <w:rPr>
          <w:rFonts w:ascii="Courier New" w:cs="Courier New" w:eastAsia="Courier New" w:hAnsi="Courier New"/>
          <w:sz w:val="13"/>
          <w:szCs w:val="13"/>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are not expected to have a material effect on the Company's consolidated results of operations, financial position or cash flows.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7A. Quantitative and Qualitative Disclosures About Market Risk</w:t>
      </w:r>
    </w:p>
    <w:p>
      <w:pPr>
        <w:spacing w:after="0" w:line="161"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 The Company is exposed to changes in interest rates primarily as a result of its borrowing activities. Domestically, these borrowings which include a $25 million senior, non-secured floating rate revolving credit facility which is used to maintain liquidity and fund its business operations domestically as well as a reducing revolving credit line facility. In Europe, Euroball has a 5.0 million euro floating rate credit facility, and a 6.0 million euro floating rate secured term loan. At December 31, 2002, the Company had $48.1 million outstanding under the domestic revolving credit facility and Euroball had 5.0 million euro outstanding under the Euroball credit facility. A one-percent increase in the interest rate charged on the Company's outstanding borrowings under both credit facilities would result in interest expense increasing by approximately $531,000 during 2002 and $547,000 during 2001. In connection with a variable EURIBOR rate debt financing in July 2000 the Company's majority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 The nature and amount of the Company's borrowings may vary as a result of future business requirements, market conditions and other factors.</w:t>
      </w:r>
    </w:p>
    <w:p>
      <w:pPr>
        <w:spacing w:after="0" w:line="159" w:lineRule="exact"/>
        <w:rPr>
          <w:sz w:val="20"/>
          <w:szCs w:val="20"/>
          <w:color w:val="auto"/>
        </w:rPr>
      </w:pPr>
    </w:p>
    <w:p>
      <w:pPr>
        <w:ind w:right="5040" w:firstLine="722"/>
        <w:spacing w:after="0" w:line="251" w:lineRule="auto"/>
        <w:rPr>
          <w:sz w:val="20"/>
          <w:szCs w:val="20"/>
          <w:color w:val="auto"/>
        </w:rPr>
      </w:pPr>
      <w:r>
        <w:rPr>
          <w:rFonts w:ascii="Courier New" w:cs="Courier New" w:eastAsia="Courier New" w:hAnsi="Courier New"/>
          <w:sz w:val="13"/>
          <w:szCs w:val="13"/>
          <w:color w:val="auto"/>
        </w:rPr>
        <w:t>Translation of the Company's operating cash flows denominated in foreign currencies is impacted by changes in foreign exchange rates. The Company, mainly at its Euroball Segment, bills and receives payment from some of its foreign customers in their own currency. To date, the Company has not been materially adversely affected by currency fluctuations of foreign exchange restrictions. However, to help reduce exposure to foreign currency fluctuation, management has incurred debt in Euros and periodically used foreign currency hedges. These currency hedging programs allow management to hedge currency exposures when these exposures meet certain discretionary levels. The Company did not hold a position in any foreign currency hedging instruments as of December 31, 2002.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Courier New" w:cs="Courier New" w:eastAsia="Courier New" w:hAnsi="Courier New"/>
                <w:sz w:val="13"/>
                <w:szCs w:val="13"/>
                <w:b w:val="1"/>
                <w:bCs w:val="1"/>
                <w:color w:val="auto"/>
              </w:rPr>
              <w:t>Item 8.</w:t>
            </w:r>
          </w:p>
        </w:tc>
        <w:tc>
          <w:tcPr>
            <w:tcW w:w="7620" w:type="dxa"/>
            <w:vAlign w:val="bottom"/>
          </w:tcPr>
          <w:p>
            <w:pPr>
              <w:ind w:left="800"/>
              <w:spacing w:after="0"/>
              <w:rPr>
                <w:sz w:val="20"/>
                <w:szCs w:val="20"/>
                <w:color w:val="auto"/>
              </w:rPr>
            </w:pPr>
            <w:r>
              <w:rPr>
                <w:rFonts w:ascii="Courier New" w:cs="Courier New" w:eastAsia="Courier New" w:hAnsi="Courier New"/>
                <w:sz w:val="13"/>
                <w:szCs w:val="13"/>
                <w:b w:val="1"/>
                <w:bCs w:val="1"/>
                <w:color w:val="auto"/>
              </w:rPr>
              <w:t>Financial Statements and Supplementary Data</w:t>
            </w:r>
          </w:p>
        </w:tc>
        <w:tc>
          <w:tcPr>
            <w:tcW w:w="3200" w:type="dxa"/>
            <w:vAlign w:val="bottom"/>
          </w:tcPr>
          <w:p>
            <w:pPr>
              <w:spacing w:after="0"/>
              <w:rPr>
                <w:sz w:val="12"/>
                <w:szCs w:val="12"/>
                <w:color w:val="auto"/>
              </w:rPr>
            </w:pPr>
          </w:p>
        </w:tc>
      </w:tr>
      <w:tr>
        <w:trPr>
          <w:trHeight w:val="308"/>
        </w:trPr>
        <w:tc>
          <w:tcPr>
            <w:tcW w:w="8260" w:type="dxa"/>
            <w:vAlign w:val="bottom"/>
            <w:gridSpan w:val="2"/>
          </w:tcPr>
          <w:p>
            <w:pPr>
              <w:spacing w:after="0"/>
              <w:rPr>
                <w:sz w:val="20"/>
                <w:szCs w:val="20"/>
                <w:color w:val="auto"/>
              </w:rPr>
            </w:pPr>
            <w:r>
              <w:rPr>
                <w:rFonts w:ascii="Courier New" w:cs="Courier New" w:eastAsia="Courier New" w:hAnsi="Courier New"/>
                <w:sz w:val="13"/>
                <w:szCs w:val="13"/>
                <w:color w:val="auto"/>
              </w:rPr>
              <w:t>Index to Financial Statements</w:t>
            </w:r>
          </w:p>
        </w:tc>
        <w:tc>
          <w:tcPr>
            <w:tcW w:w="3200" w:type="dxa"/>
            <w:vAlign w:val="bottom"/>
          </w:tcPr>
          <w:p>
            <w:pPr>
              <w:spacing w:after="0"/>
              <w:rPr>
                <w:sz w:val="24"/>
                <w:szCs w:val="24"/>
                <w:color w:val="auto"/>
              </w:rPr>
            </w:pPr>
          </w:p>
        </w:tc>
      </w:tr>
      <w:tr>
        <w:trPr>
          <w:trHeight w:val="308"/>
        </w:trPr>
        <w:tc>
          <w:tcPr>
            <w:tcW w:w="8260" w:type="dxa"/>
            <w:vAlign w:val="bottom"/>
            <w:gridSpan w:val="2"/>
          </w:tcPr>
          <w:p>
            <w:pPr>
              <w:spacing w:after="0"/>
              <w:rPr>
                <w:sz w:val="20"/>
                <w:szCs w:val="20"/>
                <w:color w:val="auto"/>
              </w:rPr>
            </w:pPr>
            <w:r>
              <w:rPr>
                <w:rFonts w:ascii="Courier New" w:cs="Courier New" w:eastAsia="Courier New" w:hAnsi="Courier New"/>
                <w:sz w:val="13"/>
                <w:szCs w:val="13"/>
                <w:color w:val="auto"/>
              </w:rPr>
              <w:t>Financial Statements</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Page</w:t>
            </w:r>
          </w:p>
        </w:tc>
      </w:tr>
      <w:tr>
        <w:trPr>
          <w:trHeight w:val="308"/>
        </w:trPr>
        <w:tc>
          <w:tcPr>
            <w:tcW w:w="640" w:type="dxa"/>
            <w:vAlign w:val="bottom"/>
          </w:tcPr>
          <w:p>
            <w:pPr>
              <w:spacing w:after="0"/>
              <w:rPr>
                <w:sz w:val="24"/>
                <w:szCs w:val="24"/>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Report of Independent Auditors for the years ended December 31, 2002, 2001 and 2000...........</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28</w:t>
            </w:r>
          </w:p>
        </w:tc>
      </w:tr>
      <w:tr>
        <w:trPr>
          <w:trHeight w:val="308"/>
        </w:trPr>
        <w:tc>
          <w:tcPr>
            <w:tcW w:w="640" w:type="dxa"/>
            <w:vAlign w:val="bottom"/>
          </w:tcPr>
          <w:p>
            <w:pPr>
              <w:spacing w:after="0"/>
              <w:rPr>
                <w:sz w:val="24"/>
                <w:szCs w:val="24"/>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Consolidated Balance Sheets at December 31, 2002, 2001 and 2000 (Restated)....................</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29</w:t>
            </w:r>
          </w:p>
        </w:tc>
      </w:tr>
      <w:tr>
        <w:trPr>
          <w:trHeight w:val="308"/>
        </w:trPr>
        <w:tc>
          <w:tcPr>
            <w:tcW w:w="640" w:type="dxa"/>
            <w:vAlign w:val="bottom"/>
          </w:tcPr>
          <w:p>
            <w:pPr>
              <w:spacing w:after="0"/>
              <w:rPr>
                <w:sz w:val="24"/>
                <w:szCs w:val="24"/>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Consolidated Statements of Income and Comprehensive Income for the</w:t>
            </w:r>
          </w:p>
        </w:tc>
        <w:tc>
          <w:tcPr>
            <w:tcW w:w="3200" w:type="dxa"/>
            <w:vAlign w:val="bottom"/>
          </w:tcPr>
          <w:p>
            <w:pPr>
              <w:spacing w:after="0"/>
              <w:rPr>
                <w:sz w:val="24"/>
                <w:szCs w:val="24"/>
                <w:color w:val="auto"/>
              </w:rPr>
            </w:pPr>
          </w:p>
        </w:tc>
      </w:tr>
      <w:tr>
        <w:trPr>
          <w:trHeight w:val="154"/>
        </w:trPr>
        <w:tc>
          <w:tcPr>
            <w:tcW w:w="640" w:type="dxa"/>
            <w:vAlign w:val="bottom"/>
          </w:tcPr>
          <w:p>
            <w:pPr>
              <w:spacing w:after="0"/>
              <w:rPr>
                <w:sz w:val="13"/>
                <w:szCs w:val="13"/>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three years ended December 31, 2002 (Restated)................................................</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30</w:t>
            </w:r>
          </w:p>
        </w:tc>
      </w:tr>
      <w:tr>
        <w:trPr>
          <w:trHeight w:val="308"/>
        </w:trPr>
        <w:tc>
          <w:tcPr>
            <w:tcW w:w="640" w:type="dxa"/>
            <w:vAlign w:val="bottom"/>
          </w:tcPr>
          <w:p>
            <w:pPr>
              <w:spacing w:after="0"/>
              <w:rPr>
                <w:sz w:val="24"/>
                <w:szCs w:val="24"/>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Consolidated Statements of Changes in Stockholders' Equity for the three</w:t>
            </w:r>
          </w:p>
        </w:tc>
        <w:tc>
          <w:tcPr>
            <w:tcW w:w="3200" w:type="dxa"/>
            <w:vAlign w:val="bottom"/>
          </w:tcPr>
          <w:p>
            <w:pPr>
              <w:spacing w:after="0"/>
              <w:rPr>
                <w:sz w:val="24"/>
                <w:szCs w:val="24"/>
                <w:color w:val="auto"/>
              </w:rPr>
            </w:pPr>
          </w:p>
        </w:tc>
      </w:tr>
      <w:tr>
        <w:trPr>
          <w:trHeight w:val="154"/>
        </w:trPr>
        <w:tc>
          <w:tcPr>
            <w:tcW w:w="640" w:type="dxa"/>
            <w:vAlign w:val="bottom"/>
          </w:tcPr>
          <w:p>
            <w:pPr>
              <w:spacing w:after="0"/>
              <w:rPr>
                <w:sz w:val="13"/>
                <w:szCs w:val="13"/>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years ended December 31, 2002 (Restated)......................................................</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31</w:t>
            </w:r>
          </w:p>
        </w:tc>
      </w:tr>
      <w:tr>
        <w:trPr>
          <w:trHeight w:val="308"/>
        </w:trPr>
        <w:tc>
          <w:tcPr>
            <w:tcW w:w="640" w:type="dxa"/>
            <w:vAlign w:val="bottom"/>
          </w:tcPr>
          <w:p>
            <w:pPr>
              <w:spacing w:after="0"/>
              <w:rPr>
                <w:sz w:val="24"/>
                <w:szCs w:val="24"/>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Consolidated Statements of Cash Flows for the three years ended</w:t>
            </w:r>
          </w:p>
        </w:tc>
        <w:tc>
          <w:tcPr>
            <w:tcW w:w="3200" w:type="dxa"/>
            <w:vAlign w:val="bottom"/>
          </w:tcPr>
          <w:p>
            <w:pPr>
              <w:spacing w:after="0"/>
              <w:rPr>
                <w:sz w:val="24"/>
                <w:szCs w:val="24"/>
                <w:color w:val="auto"/>
              </w:rPr>
            </w:pPr>
          </w:p>
        </w:tc>
      </w:tr>
      <w:tr>
        <w:trPr>
          <w:trHeight w:val="154"/>
        </w:trPr>
        <w:tc>
          <w:tcPr>
            <w:tcW w:w="640" w:type="dxa"/>
            <w:vAlign w:val="bottom"/>
          </w:tcPr>
          <w:p>
            <w:pPr>
              <w:spacing w:after="0"/>
              <w:rPr>
                <w:sz w:val="13"/>
                <w:szCs w:val="13"/>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December 31, 2002 (Restated)..................................................................</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32</w:t>
            </w:r>
          </w:p>
        </w:tc>
      </w:tr>
      <w:tr>
        <w:trPr>
          <w:trHeight w:val="308"/>
        </w:trPr>
        <w:tc>
          <w:tcPr>
            <w:tcW w:w="640" w:type="dxa"/>
            <w:vAlign w:val="bottom"/>
          </w:tcPr>
          <w:p>
            <w:pPr>
              <w:spacing w:after="0"/>
              <w:rPr>
                <w:sz w:val="24"/>
                <w:szCs w:val="24"/>
                <w:color w:val="auto"/>
              </w:rPr>
            </w:pPr>
          </w:p>
        </w:tc>
        <w:tc>
          <w:tcPr>
            <w:tcW w:w="7620" w:type="dxa"/>
            <w:vAlign w:val="bottom"/>
          </w:tcPr>
          <w:p>
            <w:pPr>
              <w:ind w:left="80"/>
              <w:spacing w:after="0"/>
              <w:rPr>
                <w:sz w:val="20"/>
                <w:szCs w:val="20"/>
                <w:color w:val="auto"/>
              </w:rPr>
            </w:pPr>
            <w:r>
              <w:rPr>
                <w:rFonts w:ascii="Courier New" w:cs="Courier New" w:eastAsia="Courier New" w:hAnsi="Courier New"/>
                <w:sz w:val="13"/>
                <w:szCs w:val="13"/>
                <w:color w:val="auto"/>
              </w:rPr>
              <w:t>Notes to Consolidated Financial Statements....................................................</w:t>
            </w:r>
          </w:p>
        </w:tc>
        <w:tc>
          <w:tcPr>
            <w:tcW w:w="3200" w:type="dxa"/>
            <w:vAlign w:val="bottom"/>
          </w:tcPr>
          <w:p>
            <w:pPr>
              <w:spacing w:after="0"/>
              <w:rPr>
                <w:sz w:val="20"/>
                <w:szCs w:val="20"/>
                <w:color w:val="auto"/>
              </w:rPr>
            </w:pPr>
            <w:r>
              <w:rPr>
                <w:rFonts w:ascii="Courier New" w:cs="Courier New" w:eastAsia="Courier New" w:hAnsi="Courier New"/>
                <w:sz w:val="13"/>
                <w:szCs w:val="13"/>
                <w:color w:val="auto"/>
              </w:rPr>
              <w:t>33</w:t>
            </w:r>
          </w:p>
        </w:tc>
      </w:tr>
      <w:tr>
        <w:trPr>
          <w:trHeight w:val="1080"/>
        </w:trPr>
        <w:tc>
          <w:tcPr>
            <w:tcW w:w="640" w:type="dxa"/>
            <w:vAlign w:val="bottom"/>
          </w:tcPr>
          <w:p>
            <w:pPr>
              <w:spacing w:after="0"/>
              <w:rPr>
                <w:sz w:val="24"/>
                <w:szCs w:val="24"/>
                <w:color w:val="auto"/>
              </w:rPr>
            </w:pPr>
          </w:p>
        </w:tc>
        <w:tc>
          <w:tcPr>
            <w:tcW w:w="7620" w:type="dxa"/>
            <w:vAlign w:val="bottom"/>
          </w:tcPr>
          <w:p>
            <w:pPr>
              <w:ind w:left="2480"/>
              <w:spacing w:after="0"/>
              <w:rPr>
                <w:sz w:val="20"/>
                <w:szCs w:val="20"/>
                <w:color w:val="auto"/>
              </w:rPr>
            </w:pPr>
            <w:r>
              <w:rPr>
                <w:rFonts w:ascii="Courier New" w:cs="Courier New" w:eastAsia="Courier New" w:hAnsi="Courier New"/>
                <w:sz w:val="13"/>
                <w:szCs w:val="13"/>
                <w:color w:val="auto"/>
              </w:rPr>
              <w:t>27</w:t>
            </w:r>
          </w:p>
        </w:tc>
        <w:tc>
          <w:tcPr>
            <w:tcW w:w="3200" w:type="dxa"/>
            <w:vAlign w:val="bottom"/>
          </w:tcPr>
          <w:p>
            <w:pPr>
              <w:spacing w:after="0"/>
              <w:rPr>
                <w:sz w:val="24"/>
                <w:szCs w:val="24"/>
                <w:color w:val="auto"/>
              </w:rPr>
            </w:pPr>
          </w:p>
        </w:tc>
      </w:tr>
      <w:tr>
        <w:trPr>
          <w:trHeight w:val="292"/>
        </w:trPr>
        <w:tc>
          <w:tcPr>
            <w:tcW w:w="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-25400</wp:posOffset>
            </wp:positionV>
            <wp:extent cx="3175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b w:val="1"/>
          <w:bCs w:val="1"/>
          <w:u w:val="single" w:color="auto"/>
          <w:color w:val="auto"/>
        </w:rPr>
        <w:t>Independent Auditors' Report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NN, Inc.:</w:t>
      </w:r>
    </w:p>
    <w:p>
      <w:pPr>
        <w:spacing w:after="0" w:line="161" w:lineRule="exact"/>
        <w:rPr>
          <w:sz w:val="20"/>
          <w:szCs w:val="20"/>
          <w:color w:val="auto"/>
        </w:rPr>
      </w:pPr>
    </w:p>
    <w:p>
      <w:pPr>
        <w:ind w:right="5120"/>
        <w:spacing w:after="0" w:line="252" w:lineRule="auto"/>
        <w:rPr>
          <w:sz w:val="20"/>
          <w:szCs w:val="20"/>
          <w:color w:val="auto"/>
        </w:rPr>
      </w:pPr>
      <w:r>
        <w:rPr>
          <w:rFonts w:ascii="Courier New" w:cs="Courier New" w:eastAsia="Courier New" w:hAnsi="Courier New"/>
          <w:sz w:val="13"/>
          <w:szCs w:val="13"/>
          <w:color w:val="auto"/>
        </w:rPr>
        <w:t>We have audited the accompanying consolidated balance sheets of NN, Inc. as of December 31, 2002, 2001 and 2000 and the related consolidated statements of income and comprehensive income, consolidated statements of changes in stockholders' equity, and consolidated statements of cash flows for each of the years in the three year period ended December 31, 2002. These consolidated</w:t>
      </w:r>
    </w:p>
    <w:p>
      <w:pPr>
        <w:sectPr>
          <w:pgSz w:w="11900" w:h="16838" w:orient="portrait"/>
          <w:cols w:equalWidth="0" w:num="1">
            <w:col w:w="11460"/>
          </w:cols>
          <w:pgMar w:left="220" w:top="141" w:right="219" w:bottom="0" w:gutter="0" w:footer="0" w:header="0"/>
        </w:sectPr>
      </w:pPr>
    </w:p>
    <w:bookmarkStart w:id="20" w:name="page21"/>
    <w:bookmarkEnd w:id="20"/>
    <w:p>
      <w:pPr>
        <w:ind w:right="4139"/>
        <w:spacing w:after="0" w:line="253" w:lineRule="auto"/>
        <w:rPr>
          <w:sz w:val="20"/>
          <w:szCs w:val="20"/>
          <w:color w:val="auto"/>
        </w:rPr>
      </w:pPr>
      <w:r>
        <w:rPr>
          <w:rFonts w:ascii="Courier New" w:cs="Courier New" w:eastAsia="Courier New" w:hAnsi="Courier New"/>
          <w:sz w:val="13"/>
          <w:szCs w:val="13"/>
          <w:color w:val="auto"/>
        </w:rPr>
        <w:t>financial statements are the responsibility of the Company's management. Our responsibility is to express an opinion on these consolidated financial statements based on our audits.</w:t>
      </w:r>
    </w:p>
    <w:p>
      <w:pPr>
        <w:spacing w:after="0" w:line="151"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6"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3"/>
          <w:szCs w:val="13"/>
          <w:color w:val="auto"/>
        </w:rPr>
        <w:t>In our opinion, the consolidated financial statements referred to above present fairly, in all material respects, the financial position of NN, Inc. as of December 31, 2002, 2001 and 2000 and the results of their operations and their cash flows for each of the years in the three year period ended December 31, 2002 in conformity with accounting principles generally accepted in the United States of America.</w:t>
      </w:r>
    </w:p>
    <w:p>
      <w:pPr>
        <w:spacing w:after="0" w:line="155"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3"/>
          <w:szCs w:val="13"/>
          <w:color w:val="auto"/>
        </w:rPr>
        <w:t>As discussed in Note 2 to the consolidated financial statements, the Company changed its method of accounting for goodwill and other intangible assets in 2002 and changed its method of accounting for derivative instruments and hedging activities in 2001.</w:t>
      </w:r>
    </w:p>
    <w:p>
      <w:pPr>
        <w:spacing w:after="0" w:line="153" w:lineRule="exact"/>
        <w:rPr>
          <w:sz w:val="20"/>
          <w:szCs w:val="20"/>
          <w:color w:val="auto"/>
        </w:rPr>
      </w:pPr>
    </w:p>
    <w:p>
      <w:pPr>
        <w:ind w:right="3819"/>
        <w:spacing w:after="0" w:line="253" w:lineRule="auto"/>
        <w:rPr>
          <w:sz w:val="20"/>
          <w:szCs w:val="20"/>
          <w:color w:val="auto"/>
        </w:rPr>
      </w:pPr>
      <w:r>
        <w:rPr>
          <w:rFonts w:ascii="Courier New" w:cs="Courier New" w:eastAsia="Courier New" w:hAnsi="Courier New"/>
          <w:sz w:val="13"/>
          <w:szCs w:val="13"/>
          <w:color w:val="auto"/>
        </w:rPr>
        <w:t>As discussed in Note 1 to the consolidated financial statements, the Company has restated its consolidated financial statements as of and for the years ended December 31, 2002, 2001 and 2000.</w:t>
      </w:r>
    </w:p>
    <w:p>
      <w:pPr>
        <w:spacing w:after="0" w:line="200" w:lineRule="exact"/>
        <w:rPr>
          <w:sz w:val="20"/>
          <w:szCs w:val="20"/>
          <w:color w:val="auto"/>
        </w:rPr>
      </w:pPr>
    </w:p>
    <w:p>
      <w:pPr>
        <w:spacing w:after="0" w:line="26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/s/ KPMG LLP</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Charlotte, North Carolina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February 24, 2003, except as to Note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which is as of January 29, 2004</w:t>
      </w:r>
    </w:p>
    <w:p>
      <w:pPr>
        <w:spacing w:after="0" w:line="31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b w:val="1"/>
          <w:bCs w:val="1"/>
          <w:color w:val="auto"/>
        </w:rPr>
        <w:t>Consolidated Balance Sheets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1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08"/>
        </w:trPr>
        <w:tc>
          <w:tcPr>
            <w:tcW w:w="5420" w:type="dxa"/>
            <w:vAlign w:val="bottom"/>
          </w:tcPr>
          <w:p>
            <w:pPr>
              <w:spacing w:after="0"/>
              <w:rPr>
                <w:sz w:val="24"/>
                <w:szCs w:val="24"/>
                <w:color w:val="auto"/>
              </w:rPr>
            </w:pPr>
          </w:p>
        </w:tc>
        <w:tc>
          <w:tcPr>
            <w:tcW w:w="188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Restated</w:t>
            </w:r>
          </w:p>
        </w:tc>
        <w:tc>
          <w:tcPr>
            <w:tcW w:w="152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Restated</w:t>
            </w:r>
          </w:p>
        </w:tc>
        <w:tc>
          <w:tcPr>
            <w:tcW w:w="128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Restated</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b w:val="1"/>
                <w:bCs w:val="1"/>
                <w:color w:val="auto"/>
              </w:rPr>
              <w:t>Assets</w:t>
            </w:r>
          </w:p>
        </w:tc>
        <w:tc>
          <w:tcPr>
            <w:tcW w:w="1880" w:type="dxa"/>
            <w:vAlign w:val="bottom"/>
          </w:tcPr>
          <w:p>
            <w:pPr>
              <w:jc w:val="right"/>
              <w:ind w:right="493"/>
              <w:spacing w:after="0"/>
              <w:rPr>
                <w:sz w:val="20"/>
                <w:szCs w:val="20"/>
                <w:color w:val="auto"/>
              </w:rPr>
            </w:pPr>
            <w:r>
              <w:rPr>
                <w:rFonts w:ascii="Courier New" w:cs="Courier New" w:eastAsia="Courier New" w:hAnsi="Courier New"/>
                <w:sz w:val="13"/>
                <w:szCs w:val="13"/>
                <w:b w:val="1"/>
                <w:bCs w:val="1"/>
                <w:color w:val="auto"/>
              </w:rPr>
              <w:t>2002</w:t>
            </w:r>
          </w:p>
        </w:tc>
        <w:tc>
          <w:tcPr>
            <w:tcW w:w="152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2001</w:t>
            </w:r>
          </w:p>
        </w:tc>
        <w:tc>
          <w:tcPr>
            <w:tcW w:w="128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Current assets:</w:t>
            </w: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Cash and cash equivalents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$ 5,144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$ 3,024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$ 8,273</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Accounts receivable, net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28,965</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24,832</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29,549</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Inventories, net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23,402</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23,418</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23,742</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Other current assets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2,501</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3,034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1,512</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Current deferred tax asset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1,400</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1,309</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790</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8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 --------------</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current assets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61,412</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55,617</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63,866</w:t>
            </w: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color w:val="auto"/>
              </w:rPr>
              <w:t>Property, plant and equipment, net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88,199</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82,770</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91,693</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Assets held for sale</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2,214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4,348</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Goodwill</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39,374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36,624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24,008</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Other non-current assets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4,016</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4,385</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4,212</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Non-current deferred tax asset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733</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172</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Total assets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$ 195,215</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$ 184,477</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$ 183,951</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b w:val="1"/>
                <w:bCs w:val="1"/>
                <w:color w:val="auto"/>
              </w:rPr>
              <w:t>Liabilities and Stockholders' Equity</w:t>
            </w: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color w:val="auto"/>
              </w:rPr>
              <w:t>Current liabilities:</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Accounts payable</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$ 22,983</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$ 14,552</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$ 16,883</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Bank overdraft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37</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1,141</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454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Accrued salaries, wages and benefits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6,354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3,813</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2,248</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Income taxes payable</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620</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1,514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1,341</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Payable to affiliates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566</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1,277</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1,762</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Short term loans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2,000</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Current maturities of long-term debt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7,000</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7,000</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Other liabilities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2,674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3,187</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9,038</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Current deferred tax liability</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50</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114</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current liabilities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40,234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32,534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33,840</w:t>
            </w:r>
          </w:p>
        </w:tc>
      </w:tr>
      <w:tr>
        <w:trPr>
          <w:trHeight w:val="463"/>
        </w:trPr>
        <w:tc>
          <w:tcPr>
            <w:tcW w:w="5420" w:type="dxa"/>
            <w:vAlign w:val="bottom"/>
          </w:tcPr>
          <w:p>
            <w:pPr>
              <w:spacing w:after="0"/>
              <w:rPr>
                <w:sz w:val="20"/>
                <w:szCs w:val="20"/>
                <w:color w:val="auto"/>
              </w:rPr>
            </w:pPr>
            <w:r>
              <w:rPr>
                <w:rFonts w:ascii="Courier New" w:cs="Courier New" w:eastAsia="Courier New" w:hAnsi="Courier New"/>
                <w:sz w:val="13"/>
                <w:szCs w:val="13"/>
                <w:color w:val="auto"/>
              </w:rPr>
              <w:t>Non-current deferred tax liability</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9,334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7,362</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5,239</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Long-term debt</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46,135</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47,661</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50,515</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Accrued pension and other</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9,319</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7,607</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2,711</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280"/>
              <w:spacing w:after="0"/>
              <w:rPr>
                <w:sz w:val="20"/>
                <w:szCs w:val="20"/>
                <w:color w:val="auto"/>
              </w:rPr>
            </w:pPr>
            <w:r>
              <w:rPr>
                <w:rFonts w:ascii="Courier New" w:cs="Courier New" w:eastAsia="Courier New" w:hAnsi="Courier New"/>
                <w:sz w:val="13"/>
                <w:szCs w:val="13"/>
                <w:color w:val="auto"/>
              </w:rPr>
              <w:t>Total liabilities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105,022</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95,164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92,305</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5420" w:type="dxa"/>
            <w:vAlign w:val="bottom"/>
          </w:tcPr>
          <w:p>
            <w:pPr>
              <w:spacing w:after="0"/>
              <w:rPr>
                <w:sz w:val="20"/>
                <w:szCs w:val="20"/>
                <w:color w:val="auto"/>
              </w:rPr>
            </w:pPr>
            <w:r>
              <w:rPr>
                <w:rFonts w:ascii="Courier New" w:cs="Courier New" w:eastAsia="Courier New" w:hAnsi="Courier New"/>
                <w:sz w:val="13"/>
                <w:szCs w:val="13"/>
                <w:color w:val="auto"/>
              </w:rPr>
              <w:t>Minority interest in consolidated subsidiaries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12,285</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18,331</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16,971</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spacing w:after="0"/>
              <w:rPr>
                <w:sz w:val="20"/>
                <w:szCs w:val="20"/>
                <w:color w:val="auto"/>
              </w:rPr>
            </w:pPr>
            <w:r>
              <w:rPr>
                <w:rFonts w:ascii="Courier New" w:cs="Courier New" w:eastAsia="Courier New" w:hAnsi="Courier New"/>
                <w:sz w:val="13"/>
                <w:szCs w:val="13"/>
                <w:color w:val="auto"/>
              </w:rPr>
              <w:t>Stockholders' equity:</w:t>
            </w: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Common stock - $0.01 par value, authorized</w:t>
            </w: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4"/>
        </w:trPr>
        <w:tc>
          <w:tcPr>
            <w:tcW w:w="5420" w:type="dxa"/>
            <w:vAlign w:val="bottom"/>
          </w:tcPr>
          <w:p>
            <w:pPr>
              <w:ind w:left="800"/>
              <w:spacing w:after="0"/>
              <w:rPr>
                <w:sz w:val="20"/>
                <w:szCs w:val="20"/>
                <w:color w:val="auto"/>
              </w:rPr>
            </w:pPr>
            <w:r>
              <w:rPr>
                <w:rFonts w:ascii="Courier New" w:cs="Courier New" w:eastAsia="Courier New" w:hAnsi="Courier New"/>
                <w:sz w:val="13"/>
                <w:szCs w:val="13"/>
                <w:color w:val="auto"/>
              </w:rPr>
              <w:t>45,000 shares, issued and outstanding</w:t>
            </w: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4"/>
        </w:trPr>
        <w:tc>
          <w:tcPr>
            <w:tcW w:w="5420" w:type="dxa"/>
            <w:vAlign w:val="bottom"/>
          </w:tcPr>
          <w:p>
            <w:pPr>
              <w:ind w:left="800"/>
              <w:spacing w:after="0"/>
              <w:rPr>
                <w:sz w:val="20"/>
                <w:szCs w:val="20"/>
                <w:color w:val="auto"/>
              </w:rPr>
            </w:pPr>
            <w:r>
              <w:rPr>
                <w:rFonts w:ascii="Courier New" w:cs="Courier New" w:eastAsia="Courier New" w:hAnsi="Courier New"/>
                <w:sz w:val="13"/>
                <w:szCs w:val="13"/>
                <w:color w:val="auto"/>
              </w:rPr>
              <w:t>15,370 shares in 2002, 15,317 shares in 2001,</w:t>
            </w:r>
          </w:p>
        </w:tc>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4"/>
        </w:trPr>
        <w:tc>
          <w:tcPr>
            <w:tcW w:w="5420" w:type="dxa"/>
            <w:vAlign w:val="bottom"/>
          </w:tcPr>
          <w:p>
            <w:pPr>
              <w:ind w:left="800"/>
              <w:spacing w:after="0"/>
              <w:rPr>
                <w:sz w:val="20"/>
                <w:szCs w:val="20"/>
                <w:color w:val="auto"/>
              </w:rPr>
            </w:pPr>
            <w:r>
              <w:rPr>
                <w:rFonts w:ascii="Courier New" w:cs="Courier New" w:eastAsia="Courier New" w:hAnsi="Courier New"/>
                <w:sz w:val="13"/>
                <w:szCs w:val="13"/>
                <w:color w:val="auto"/>
              </w:rPr>
              <w:t>and 15,247 shares in 2000</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154</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153</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Additional paid-in capital</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40,457</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40,111</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39,684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Retained earnings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38,984</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36,139</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36,364</w:t>
            </w:r>
          </w:p>
        </w:tc>
      </w:tr>
      <w:tr>
        <w:trPr>
          <w:trHeight w:val="154"/>
        </w:trPr>
        <w:tc>
          <w:tcPr>
            <w:tcW w:w="5420" w:type="dxa"/>
            <w:vAlign w:val="bottom"/>
          </w:tcPr>
          <w:p>
            <w:pPr>
              <w:ind w:left="640"/>
              <w:spacing w:after="0"/>
              <w:rPr>
                <w:sz w:val="20"/>
                <w:szCs w:val="20"/>
                <w:color w:val="auto"/>
              </w:rPr>
            </w:pPr>
            <w:r>
              <w:rPr>
                <w:rFonts w:ascii="Courier New" w:cs="Courier New" w:eastAsia="Courier New" w:hAnsi="Courier New"/>
                <w:sz w:val="13"/>
                <w:szCs w:val="13"/>
                <w:color w:val="auto"/>
              </w:rPr>
              <w:t>Accumulated other comprehensive loss</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(1,687)</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(5,422)</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(1,526)</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360"/>
              <w:spacing w:after="0"/>
              <w:rPr>
                <w:sz w:val="20"/>
                <w:szCs w:val="20"/>
                <w:color w:val="auto"/>
              </w:rPr>
            </w:pPr>
            <w:r>
              <w:rPr>
                <w:rFonts w:ascii="Courier New" w:cs="Courier New" w:eastAsia="Courier New" w:hAnsi="Courier New"/>
                <w:sz w:val="13"/>
                <w:szCs w:val="13"/>
                <w:color w:val="auto"/>
              </w:rPr>
              <w:t>Total stockholders' equity</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77,908</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70,982</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74,675</w:t>
            </w:r>
          </w:p>
        </w:tc>
      </w:tr>
      <w:tr>
        <w:trPr>
          <w:trHeight w:val="154"/>
        </w:trPr>
        <w:tc>
          <w:tcPr>
            <w:tcW w:w="5420" w:type="dxa"/>
            <w:vAlign w:val="bottom"/>
          </w:tcPr>
          <w:p>
            <w:pPr>
              <w:spacing w:after="0"/>
              <w:rPr>
                <w:sz w:val="13"/>
                <w:szCs w:val="13"/>
                <w:color w:val="auto"/>
              </w:rPr>
            </w:pPr>
          </w:p>
        </w:tc>
        <w:tc>
          <w:tcPr>
            <w:tcW w:w="1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20" w:type="dxa"/>
            <w:vAlign w:val="bottom"/>
          </w:tcPr>
          <w:p>
            <w:pPr>
              <w:ind w:left="1360"/>
              <w:spacing w:after="0"/>
              <w:rPr>
                <w:sz w:val="20"/>
                <w:szCs w:val="20"/>
                <w:color w:val="auto"/>
              </w:rPr>
            </w:pPr>
            <w:r>
              <w:rPr>
                <w:rFonts w:ascii="Courier New" w:cs="Courier New" w:eastAsia="Courier New" w:hAnsi="Courier New"/>
                <w:sz w:val="13"/>
                <w:szCs w:val="13"/>
                <w:color w:val="auto"/>
              </w:rPr>
              <w:t>Total liabilities and stockholders' equity</w:t>
            </w:r>
          </w:p>
        </w:tc>
        <w:tc>
          <w:tcPr>
            <w:tcW w:w="18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$195,215</w:t>
            </w:r>
          </w:p>
        </w:tc>
        <w:tc>
          <w:tcPr>
            <w:tcW w:w="15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$184,477</w:t>
            </w: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$183,951</w:t>
            </w:r>
          </w:p>
        </w:tc>
      </w:tr>
    </w:tbl>
    <w:p>
      <w:pPr>
        <w:sectPr>
          <w:pgSz w:w="11900" w:h="16838" w:orient="portrait"/>
          <w:cols w:equalWidth="0" w:num="1">
            <w:col w:w="10239"/>
          </w:cols>
          <w:pgMar w:left="220" w:top="141"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800" w:type="dxa"/>
            <w:vAlign w:val="bottom"/>
            <w:gridSpan w:val="3"/>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463"/>
        </w:trPr>
        <w:tc>
          <w:tcPr>
            <w:tcW w:w="7140" w:type="dxa"/>
            <w:vAlign w:val="bottom"/>
            <w:gridSpan w:val="5"/>
          </w:tcPr>
          <w:p>
            <w:pPr>
              <w:ind w:left="1440"/>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3"/>
        </w:trPr>
        <w:tc>
          <w:tcPr>
            <w:tcW w:w="3780" w:type="dxa"/>
            <w:vAlign w:val="bottom"/>
          </w:tcPr>
          <w:p>
            <w:pPr>
              <w:jc w:val="center"/>
              <w:ind w:left="2573"/>
              <w:spacing w:after="0"/>
              <w:rPr>
                <w:sz w:val="20"/>
                <w:szCs w:val="20"/>
                <w:color w:val="auto"/>
              </w:rPr>
            </w:pPr>
            <w:r>
              <w:rPr>
                <w:rFonts w:ascii="Courier New" w:cs="Courier New" w:eastAsia="Courier New" w:hAnsi="Courier New"/>
                <w:sz w:val="13"/>
                <w:szCs w:val="13"/>
                <w:color w:val="auto"/>
              </w:rPr>
              <w:t>29</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3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3780" w:type="dxa"/>
            <w:vAlign w:val="bottom"/>
          </w:tcPr>
          <w:p>
            <w:pPr>
              <w:jc w:val="center"/>
              <w:ind w:left="2573"/>
              <w:spacing w:after="0"/>
              <w:rPr>
                <w:sz w:val="20"/>
                <w:szCs w:val="20"/>
                <w:color w:val="auto"/>
              </w:rPr>
            </w:pPr>
            <w:r>
              <w:rPr>
                <w:rFonts w:ascii="Courier New" w:cs="Courier New" w:eastAsia="Courier New" w:hAnsi="Courier New"/>
                <w:sz w:val="13"/>
                <w:szCs w:val="13"/>
                <w:b w:val="1"/>
                <w:bCs w:val="1"/>
                <w:color w:val="auto"/>
              </w:rPr>
              <w:t>NN, Inc.</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5540" w:type="dxa"/>
            <w:vAlign w:val="bottom"/>
            <w:gridSpan w:val="3"/>
          </w:tcPr>
          <w:p>
            <w:pPr>
              <w:jc w:val="center"/>
              <w:ind w:left="813"/>
              <w:spacing w:after="0"/>
              <w:rPr>
                <w:sz w:val="20"/>
                <w:szCs w:val="20"/>
                <w:color w:val="auto"/>
              </w:rPr>
            </w:pPr>
            <w:r>
              <w:rPr>
                <w:rFonts w:ascii="Courier New" w:cs="Courier New" w:eastAsia="Courier New" w:hAnsi="Courier New"/>
                <w:sz w:val="13"/>
                <w:szCs w:val="13"/>
                <w:b w:val="1"/>
                <w:bCs w:val="1"/>
                <w:color w:val="auto"/>
              </w:rPr>
              <w:t>Consolidated Statements of Income and Comprehensive Income</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980" w:type="dxa"/>
            <w:vAlign w:val="bottom"/>
            <w:gridSpan w:val="2"/>
          </w:tcPr>
          <w:p>
            <w:pPr>
              <w:jc w:val="center"/>
              <w:ind w:left="1373"/>
              <w:spacing w:after="0"/>
              <w:rPr>
                <w:sz w:val="20"/>
                <w:szCs w:val="20"/>
                <w:color w:val="auto"/>
              </w:rPr>
            </w:pPr>
            <w:r>
              <w:rPr>
                <w:rFonts w:ascii="Courier New" w:cs="Courier New" w:eastAsia="Courier New" w:hAnsi="Courier New"/>
                <w:sz w:val="13"/>
                <w:szCs w:val="13"/>
                <w:b w:val="1"/>
                <w:bCs w:val="1"/>
                <w:color w:val="auto"/>
              </w:rPr>
              <w:t>Years ended December 31, 2002, 2001 and 2000</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980" w:type="dxa"/>
            <w:vAlign w:val="bottom"/>
            <w:gridSpan w:val="2"/>
          </w:tcPr>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3"/>
                <w:szCs w:val="13"/>
                <w:b w:val="1"/>
                <w:bCs w:val="1"/>
                <w:color w:val="auto"/>
              </w:rPr>
              <w:t>Restated</w:t>
            </w:r>
          </w:p>
        </w:tc>
        <w:tc>
          <w:tcPr>
            <w:tcW w:w="1440" w:type="dxa"/>
            <w:vAlign w:val="bottom"/>
            <w:gridSpan w:val="2"/>
          </w:tcPr>
          <w:p>
            <w:pPr>
              <w:jc w:val="right"/>
              <w:ind w:right="173"/>
              <w:spacing w:after="0"/>
              <w:rPr>
                <w:sz w:val="20"/>
                <w:szCs w:val="20"/>
                <w:color w:val="auto"/>
              </w:rPr>
            </w:pPr>
            <w:r>
              <w:rPr>
                <w:rFonts w:ascii="Courier New" w:cs="Courier New" w:eastAsia="Courier New" w:hAnsi="Courier New"/>
                <w:sz w:val="13"/>
                <w:szCs w:val="13"/>
                <w:b w:val="1"/>
                <w:bCs w:val="1"/>
                <w:color w:val="auto"/>
              </w:rPr>
              <w:t>Restated</w:t>
            </w:r>
          </w:p>
        </w:tc>
        <w:tc>
          <w:tcPr>
            <w:tcW w:w="1400" w:type="dxa"/>
            <w:vAlign w:val="bottom"/>
            <w:gridSpan w:val="2"/>
          </w:tcPr>
          <w:p>
            <w:pPr>
              <w:jc w:val="right"/>
              <w:ind w:right="213"/>
              <w:spacing w:after="0"/>
              <w:rPr>
                <w:sz w:val="20"/>
                <w:szCs w:val="20"/>
                <w:color w:val="auto"/>
              </w:rPr>
            </w:pPr>
            <w:r>
              <w:rPr>
                <w:rFonts w:ascii="Courier New" w:cs="Courier New" w:eastAsia="Courier New" w:hAnsi="Courier New"/>
                <w:sz w:val="13"/>
                <w:szCs w:val="13"/>
                <w:b w:val="1"/>
                <w:bCs w:val="1"/>
                <w:color w:val="auto"/>
              </w:rPr>
              <w:t>Restated</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2002</w:t>
            </w:r>
          </w:p>
        </w:tc>
        <w:tc>
          <w:tcPr>
            <w:tcW w:w="10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200" w:type="dxa"/>
            <w:vAlign w:val="bottom"/>
          </w:tcPr>
          <w:p>
            <w:pPr>
              <w:spacing w:after="0"/>
              <w:rPr>
                <w:sz w:val="24"/>
                <w:szCs w:val="24"/>
                <w:color w:val="auto"/>
              </w:rPr>
            </w:pPr>
          </w:p>
        </w:tc>
        <w:tc>
          <w:tcPr>
            <w:tcW w:w="11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$192,856</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$180,151</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$132,129</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Cost of products sold</w:t>
            </w:r>
          </w:p>
        </w:tc>
        <w:tc>
          <w:tcPr>
            <w:tcW w:w="1200" w:type="dxa"/>
            <w:vAlign w:val="bottom"/>
          </w:tcPr>
          <w:p>
            <w:pPr>
              <w:spacing w:after="0"/>
              <w:rPr>
                <w:sz w:val="13"/>
                <w:szCs w:val="13"/>
                <w:color w:val="auto"/>
              </w:rPr>
            </w:pPr>
          </w:p>
        </w:tc>
        <w:tc>
          <w:tcPr>
            <w:tcW w:w="11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144,274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137,221</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93,926</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Gross profit</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48,582</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42,930</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38,203</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Selling, general and administrative</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17,134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16,752</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11,571</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Depreciation and amortization</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11,212</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13,150</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9,165</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Restructuring and impairment costs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1,277</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2,312</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Income from operations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18,959</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10,716</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17,467</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2,451</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4,196</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1,773</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Equity in earnings of unconsolidated affiliates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spacing w:after="0"/>
              <w:rPr>
                <w:sz w:val="13"/>
                <w:szCs w:val="13"/>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5"/>
              </w:rPr>
              <w:t>(48)</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Net gain on involuntary conversion</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(3,901)</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(728)</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Other income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(487)</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(186)</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(136)</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16,995</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10,607</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16,606</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Provision for income taxes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6,457</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4,094</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5,959</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Minority interest in consolidated subsidiaries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2,778</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1,753</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660</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Income before cumulative effect of change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in accounting principle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7,760</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4,760</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9,987</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98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principle, net of income tax benefit of $112</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98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and related minority interest impact of $84</w:t>
            </w: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spacing w:after="0"/>
              <w:rPr>
                <w:sz w:val="13"/>
                <w:szCs w:val="13"/>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98</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7,760</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4,662</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9,987</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Other comprehensive income (loss):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Additional minimum pension liability, net of tax</w:t>
            </w: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w:t>
            </w:r>
          </w:p>
        </w:tc>
        <w:tc>
          <w:tcPr>
            <w:tcW w:w="1040" w:type="dxa"/>
            <w:vAlign w:val="bottom"/>
          </w:tcPr>
          <w:p>
            <w:pPr>
              <w:spacing w:after="0"/>
              <w:rPr>
                <w:sz w:val="13"/>
                <w:szCs w:val="13"/>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5"/>
              </w:rPr>
              <w:t>(53)</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Foreign currency translation</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3,763</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(3,843)</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152</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Comprehensive income</w:t>
            </w:r>
          </w:p>
        </w:tc>
        <w:tc>
          <w:tcPr>
            <w:tcW w:w="1200" w:type="dxa"/>
            <w:vAlign w:val="bottom"/>
          </w:tcPr>
          <w:p>
            <w:pPr>
              <w:spacing w:after="0"/>
              <w:rPr>
                <w:sz w:val="13"/>
                <w:szCs w:val="13"/>
                <w:color w:val="auto"/>
              </w:rPr>
            </w:pPr>
          </w:p>
        </w:tc>
        <w:tc>
          <w:tcPr>
            <w:tcW w:w="11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$ 11,495</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$ 766</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$ 10,139</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Basic income per share:</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Income before cumulative effect of change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in accounting principle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0.51</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5"/>
              </w:rPr>
              <w:t>0.31</w:t>
            </w:r>
          </w:p>
        </w:tc>
        <w:tc>
          <w:tcPr>
            <w:tcW w:w="9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5"/>
              </w:rPr>
              <w:t>0.66</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principle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(0.01)</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0.51</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5"/>
              </w:rPr>
              <w:t>0.31</w:t>
            </w:r>
          </w:p>
        </w:tc>
        <w:tc>
          <w:tcPr>
            <w:tcW w:w="9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5"/>
              </w:rPr>
              <w:t>0.66</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Weighted average shares outstanding</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15,343</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15,259</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15,247</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Diluted income per share:</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Income before cumulative effect of change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in accounting principle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0.49</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5"/>
              </w:rPr>
              <w:t>0.31</w:t>
            </w:r>
          </w:p>
        </w:tc>
        <w:tc>
          <w:tcPr>
            <w:tcW w:w="9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5"/>
              </w:rPr>
              <w:t>0.64</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720"/>
              <w:spacing w:after="0"/>
              <w:rPr>
                <w:sz w:val="20"/>
                <w:szCs w:val="20"/>
                <w:color w:val="auto"/>
              </w:rPr>
            </w:pPr>
            <w:r>
              <w:rPr>
                <w:rFonts w:ascii="Courier New" w:cs="Courier New" w:eastAsia="Courier New" w:hAnsi="Courier New"/>
                <w:sz w:val="13"/>
                <w:szCs w:val="13"/>
                <w:color w:val="auto"/>
              </w:rPr>
              <w:t>principle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(0.01)</w:t>
            </w:r>
          </w:p>
        </w:tc>
        <w:tc>
          <w:tcPr>
            <w:tcW w:w="960" w:type="dxa"/>
            <w:vAlign w:val="bottom"/>
          </w:tcPr>
          <w:p>
            <w:pPr>
              <w:spacing w:after="0"/>
              <w:rPr>
                <w:sz w:val="13"/>
                <w:szCs w:val="13"/>
                <w:color w:val="auto"/>
              </w:rPr>
            </w:pP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0.49</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5"/>
              </w:rPr>
              <w:t>0.30</w:t>
            </w:r>
          </w:p>
        </w:tc>
        <w:tc>
          <w:tcPr>
            <w:tcW w:w="9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5"/>
              </w:rPr>
              <w:t>0.64</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20"/>
                <w:szCs w:val="20"/>
                <w:color w:val="auto"/>
              </w:rPr>
            </w:pPr>
            <w:r>
              <w:rPr>
                <w:rFonts w:ascii="Courier New" w:cs="Courier New" w:eastAsia="Courier New" w:hAnsi="Courier New"/>
                <w:sz w:val="13"/>
                <w:szCs w:val="13"/>
                <w:color w:val="auto"/>
              </w:rPr>
              <w:t>Weighted average shares outstanding</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15,714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15,540</w:t>
            </w:r>
          </w:p>
        </w:tc>
        <w:tc>
          <w:tcPr>
            <w:tcW w:w="14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15,531</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63"/>
        </w:trPr>
        <w:tc>
          <w:tcPr>
            <w:tcW w:w="5540" w:type="dxa"/>
            <w:vAlign w:val="bottom"/>
            <w:gridSpan w:val="3"/>
          </w:tcPr>
          <w:p>
            <w:pPr>
              <w:ind w:left="560"/>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8"/>
        </w:trPr>
        <w:tc>
          <w:tcPr>
            <w:tcW w:w="3780" w:type="dxa"/>
            <w:vAlign w:val="bottom"/>
          </w:tcPr>
          <w:p>
            <w:pPr>
              <w:jc w:val="center"/>
              <w:ind w:left="2573"/>
              <w:spacing w:after="0"/>
              <w:rPr>
                <w:sz w:val="20"/>
                <w:szCs w:val="20"/>
                <w:color w:val="auto"/>
              </w:rPr>
            </w:pPr>
            <w:r>
              <w:rPr>
                <w:rFonts w:ascii="Courier New" w:cs="Courier New" w:eastAsia="Courier New" w:hAnsi="Courier New"/>
                <w:sz w:val="13"/>
                <w:szCs w:val="13"/>
                <w:color w:val="auto"/>
              </w:rPr>
              <w:t>30</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3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r>
        <w:trPr>
          <w:trHeight w:val="593"/>
        </w:trPr>
        <w:tc>
          <w:tcPr>
            <w:tcW w:w="3780" w:type="dxa"/>
            <w:vAlign w:val="bottom"/>
          </w:tcPr>
          <w:p>
            <w:pPr>
              <w:jc w:val="center"/>
              <w:ind w:left="2573"/>
              <w:spacing w:after="0"/>
              <w:rPr>
                <w:sz w:val="20"/>
                <w:szCs w:val="20"/>
                <w:color w:val="auto"/>
              </w:rPr>
            </w:pPr>
            <w:r>
              <w:rPr>
                <w:rFonts w:ascii="Courier New" w:cs="Courier New" w:eastAsia="Courier New" w:hAnsi="Courier New"/>
                <w:sz w:val="13"/>
                <w:szCs w:val="13"/>
                <w:color w:val="auto"/>
              </w:rPr>
              <w:t>NN, Inc.</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5540" w:type="dxa"/>
            <w:vAlign w:val="bottom"/>
            <w:gridSpan w:val="3"/>
          </w:tcPr>
          <w:p>
            <w:pPr>
              <w:jc w:val="center"/>
              <w:ind w:left="813"/>
              <w:spacing w:after="0"/>
              <w:rPr>
                <w:sz w:val="20"/>
                <w:szCs w:val="20"/>
                <w:color w:val="auto"/>
              </w:rPr>
            </w:pPr>
            <w:r>
              <w:rPr>
                <w:rFonts w:ascii="Courier New" w:cs="Courier New" w:eastAsia="Courier New" w:hAnsi="Courier New"/>
                <w:sz w:val="13"/>
                <w:szCs w:val="13"/>
                <w:color w:val="auto"/>
              </w:rPr>
              <w:t>Consolidated Statements of Changes in Stockholders' Equity</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980" w:type="dxa"/>
            <w:vAlign w:val="bottom"/>
            <w:gridSpan w:val="2"/>
          </w:tcPr>
          <w:p>
            <w:pPr>
              <w:jc w:val="center"/>
              <w:ind w:left="1373"/>
              <w:spacing w:after="0"/>
              <w:rPr>
                <w:sz w:val="20"/>
                <w:szCs w:val="20"/>
                <w:color w:val="auto"/>
              </w:rPr>
            </w:pPr>
            <w:r>
              <w:rPr>
                <w:rFonts w:ascii="Courier New" w:cs="Courier New" w:eastAsia="Courier New" w:hAnsi="Courier New"/>
                <w:sz w:val="13"/>
                <w:szCs w:val="13"/>
                <w:color w:val="auto"/>
              </w:rPr>
              <w:t>Years ended December 31, 2002, 2001 and 2000</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jc w:val="center"/>
              <w:ind w:left="2573"/>
              <w:spacing w:after="0"/>
              <w:rPr>
                <w:sz w:val="20"/>
                <w:szCs w:val="20"/>
                <w:color w:val="auto"/>
              </w:rPr>
            </w:pPr>
            <w:r>
              <w:rPr>
                <w:rFonts w:ascii="Courier New" w:cs="Courier New" w:eastAsia="Courier New" w:hAnsi="Courier New"/>
                <w:sz w:val="13"/>
                <w:szCs w:val="13"/>
                <w:color w:val="auto"/>
              </w:rPr>
              <w:t>(In thousands)</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63"/>
        </w:trPr>
        <w:tc>
          <w:tcPr>
            <w:tcW w:w="3780" w:type="dxa"/>
            <w:vAlign w:val="bottom"/>
          </w:tcPr>
          <w:p>
            <w:pPr>
              <w:spacing w:after="0"/>
              <w:rPr>
                <w:sz w:val="24"/>
                <w:szCs w:val="24"/>
                <w:color w:val="auto"/>
              </w:rPr>
            </w:pP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Common Stock</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center"/>
              <w:ind w:right="333"/>
              <w:spacing w:after="0"/>
              <w:rPr>
                <w:sz w:val="20"/>
                <w:szCs w:val="20"/>
                <w:color w:val="auto"/>
              </w:rPr>
            </w:pPr>
            <w:r>
              <w:rPr>
                <w:rFonts w:ascii="Courier New" w:cs="Courier New" w:eastAsia="Courier New" w:hAnsi="Courier New"/>
                <w:sz w:val="13"/>
                <w:szCs w:val="13"/>
                <w:b w:val="1"/>
                <w:bCs w:val="1"/>
                <w:color w:val="auto"/>
              </w:rPr>
              <w:t>Accumulated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6100" w:type="dxa"/>
            <w:vAlign w:val="bottom"/>
            <w:gridSpan w:val="4"/>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Additional</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center"/>
              <w:ind w:right="333"/>
              <w:spacing w:after="0"/>
              <w:rPr>
                <w:sz w:val="20"/>
                <w:szCs w:val="20"/>
                <w:color w:val="auto"/>
              </w:rPr>
            </w:pPr>
            <w:r>
              <w:rPr>
                <w:rFonts w:ascii="Courier New" w:cs="Courier New" w:eastAsia="Courier New" w:hAnsi="Courier New"/>
                <w:sz w:val="13"/>
                <w:szCs w:val="13"/>
                <w:b w:val="1"/>
                <w:bCs w:val="1"/>
                <w:color w:val="auto"/>
              </w:rPr>
              <w:t>Other</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Number</w:t>
            </w:r>
          </w:p>
        </w:tc>
        <w:tc>
          <w:tcPr>
            <w:tcW w:w="560" w:type="dxa"/>
            <w:vAlign w:val="bottom"/>
          </w:tcPr>
          <w:p>
            <w:pPr>
              <w:ind w:left="240"/>
              <w:spacing w:after="0"/>
              <w:rPr>
                <w:sz w:val="20"/>
                <w:szCs w:val="20"/>
                <w:color w:val="auto"/>
              </w:rPr>
            </w:pPr>
            <w:r>
              <w:rPr>
                <w:rFonts w:ascii="Courier New" w:cs="Courier New" w:eastAsia="Courier New" w:hAnsi="Courier New"/>
                <w:sz w:val="13"/>
                <w:szCs w:val="13"/>
                <w:b w:val="1"/>
                <w:bCs w:val="1"/>
                <w:color w:val="auto"/>
              </w:rPr>
              <w:t>Par</w:t>
            </w:r>
          </w:p>
        </w:tc>
        <w:tc>
          <w:tcPr>
            <w:tcW w:w="56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Paid-In</w:t>
            </w:r>
          </w:p>
        </w:tc>
        <w:tc>
          <w:tcPr>
            <w:tcW w:w="400" w:type="dxa"/>
            <w:vAlign w:val="bottom"/>
          </w:tcPr>
          <w:p>
            <w:pPr>
              <w:spacing w:after="0"/>
              <w:rPr>
                <w:sz w:val="13"/>
                <w:szCs w:val="13"/>
                <w:color w:val="auto"/>
              </w:rPr>
            </w:pPr>
          </w:p>
        </w:tc>
        <w:tc>
          <w:tcPr>
            <w:tcW w:w="96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Retained</w:t>
            </w:r>
          </w:p>
        </w:tc>
        <w:tc>
          <w:tcPr>
            <w:tcW w:w="440" w:type="dxa"/>
            <w:vAlign w:val="bottom"/>
          </w:tcPr>
          <w:p>
            <w:pPr>
              <w:spacing w:after="0"/>
              <w:rPr>
                <w:sz w:val="13"/>
                <w:szCs w:val="13"/>
                <w:color w:val="auto"/>
              </w:rPr>
            </w:pPr>
          </w:p>
        </w:tc>
        <w:tc>
          <w:tcPr>
            <w:tcW w:w="1520" w:type="dxa"/>
            <w:vAlign w:val="bottom"/>
          </w:tcPr>
          <w:p>
            <w:pPr>
              <w:jc w:val="center"/>
              <w:ind w:right="333"/>
              <w:spacing w:after="0"/>
              <w:rPr>
                <w:sz w:val="20"/>
                <w:szCs w:val="20"/>
                <w:color w:val="auto"/>
              </w:rPr>
            </w:pPr>
            <w:r>
              <w:rPr>
                <w:rFonts w:ascii="Courier New" w:cs="Courier New" w:eastAsia="Courier New" w:hAnsi="Courier New"/>
                <w:sz w:val="13"/>
                <w:szCs w:val="13"/>
                <w:b w:val="1"/>
                <w:bCs w:val="1"/>
                <w:color w:val="auto"/>
              </w:rPr>
              <w:t>Comprehensive</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80" w:type="dxa"/>
            <w:vAlign w:val="bottom"/>
          </w:tcPr>
          <w:p>
            <w:pPr>
              <w:spacing w:after="0"/>
              <w:rPr>
                <w:sz w:val="13"/>
                <w:szCs w:val="13"/>
                <w:color w:val="auto"/>
              </w:rPr>
            </w:pPr>
          </w:p>
        </w:tc>
        <w:tc>
          <w:tcPr>
            <w:tcW w:w="120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w w:val="99"/>
              </w:rPr>
              <w:t>of shares</w:t>
            </w:r>
          </w:p>
        </w:tc>
        <w:tc>
          <w:tcPr>
            <w:tcW w:w="5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Value</w:t>
            </w:r>
          </w:p>
        </w:tc>
        <w:tc>
          <w:tcPr>
            <w:tcW w:w="56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Capital</w:t>
            </w:r>
          </w:p>
        </w:tc>
        <w:tc>
          <w:tcPr>
            <w:tcW w:w="400" w:type="dxa"/>
            <w:vAlign w:val="bottom"/>
          </w:tcPr>
          <w:p>
            <w:pPr>
              <w:spacing w:after="0"/>
              <w:rPr>
                <w:sz w:val="13"/>
                <w:szCs w:val="13"/>
                <w:color w:val="auto"/>
              </w:rPr>
            </w:pPr>
          </w:p>
        </w:tc>
        <w:tc>
          <w:tcPr>
            <w:tcW w:w="96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Earnings</w:t>
            </w:r>
          </w:p>
        </w:tc>
        <w:tc>
          <w:tcPr>
            <w:tcW w:w="440" w:type="dxa"/>
            <w:vAlign w:val="bottom"/>
          </w:tcPr>
          <w:p>
            <w:pPr>
              <w:spacing w:after="0"/>
              <w:rPr>
                <w:sz w:val="13"/>
                <w:szCs w:val="13"/>
                <w:color w:val="auto"/>
              </w:rPr>
            </w:pPr>
          </w:p>
        </w:tc>
        <w:tc>
          <w:tcPr>
            <w:tcW w:w="1520" w:type="dxa"/>
            <w:vAlign w:val="bottom"/>
          </w:tcPr>
          <w:p>
            <w:pPr>
              <w:jc w:val="right"/>
              <w:ind w:right="773"/>
              <w:spacing w:after="0"/>
              <w:rPr>
                <w:sz w:val="20"/>
                <w:szCs w:val="20"/>
                <w:color w:val="auto"/>
              </w:rPr>
            </w:pPr>
            <w:r>
              <w:rPr>
                <w:rFonts w:ascii="Courier New" w:cs="Courier New" w:eastAsia="Courier New" w:hAnsi="Courier New"/>
                <w:sz w:val="13"/>
                <w:szCs w:val="13"/>
                <w:b w:val="1"/>
                <w:bCs w:val="1"/>
                <w:color w:val="auto"/>
              </w:rPr>
              <w:t>Loss</w:t>
            </w:r>
          </w:p>
        </w:tc>
        <w:tc>
          <w:tcPr>
            <w:tcW w:w="1080" w:type="dxa"/>
            <w:vAlign w:val="bottom"/>
            <w:gridSpan w:val="2"/>
          </w:tcPr>
          <w:p>
            <w:pPr>
              <w:jc w:val="right"/>
              <w:ind w:right="320"/>
              <w:spacing w:after="0"/>
              <w:rPr>
                <w:sz w:val="20"/>
                <w:szCs w:val="20"/>
                <w:color w:val="auto"/>
              </w:rPr>
            </w:pPr>
            <w:r>
              <w:rPr>
                <w:rFonts w:ascii="Courier New" w:cs="Courier New" w:eastAsia="Courier New" w:hAnsi="Courier New"/>
                <w:sz w:val="13"/>
                <w:szCs w:val="13"/>
                <w:b w:val="1"/>
                <w:bCs w:val="1"/>
                <w:color w:val="auto"/>
              </w:rPr>
              <w:t>Total</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w w:val="99"/>
              </w:rPr>
              <w:t>----------</w:t>
            </w:r>
          </w:p>
        </w:tc>
        <w:tc>
          <w:tcPr>
            <w:tcW w:w="1440" w:type="dxa"/>
            <w:vAlign w:val="bottom"/>
            <w:gridSpan w:val="2"/>
          </w:tcPr>
          <w:p>
            <w:pPr>
              <w:jc w:val="right"/>
              <w:ind w:right="253"/>
              <w:spacing w:after="0"/>
              <w:rPr>
                <w:sz w:val="20"/>
                <w:szCs w:val="20"/>
                <w:color w:val="auto"/>
              </w:rPr>
            </w:pPr>
            <w:r>
              <w:rPr>
                <w:rFonts w:ascii="Courier New" w:cs="Courier New" w:eastAsia="Courier New" w:hAnsi="Courier New"/>
                <w:sz w:val="13"/>
                <w:szCs w:val="13"/>
                <w:b w:val="1"/>
                <w:bCs w:val="1"/>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960" w:type="dxa"/>
            <w:vAlign w:val="bottom"/>
            <w:gridSpan w:val="2"/>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780" w:type="dxa"/>
            <w:vAlign w:val="bottom"/>
          </w:tcPr>
          <w:p>
            <w:pPr>
              <w:spacing w:after="0"/>
              <w:rPr>
                <w:sz w:val="20"/>
                <w:szCs w:val="20"/>
                <w:color w:val="auto"/>
              </w:rPr>
            </w:pPr>
            <w:r>
              <w:rPr>
                <w:rFonts w:ascii="Courier New" w:cs="Courier New" w:eastAsia="Courier New" w:hAnsi="Courier New"/>
                <w:sz w:val="13"/>
                <w:szCs w:val="13"/>
                <w:color w:val="auto"/>
              </w:rPr>
              <w:t>Balance, December 31, 1999</w:t>
            </w:r>
          </w:p>
        </w:tc>
        <w:tc>
          <w:tcPr>
            <w:tcW w:w="12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15,244</w:t>
            </w:r>
          </w:p>
        </w:tc>
        <w:tc>
          <w:tcPr>
            <w:tcW w:w="112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$153</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$30,398</w:t>
            </w:r>
          </w:p>
        </w:tc>
        <w:tc>
          <w:tcPr>
            <w:tcW w:w="40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$31,255</w:t>
            </w:r>
          </w:p>
        </w:tc>
        <w:tc>
          <w:tcPr>
            <w:tcW w:w="440" w:type="dxa"/>
            <w:vAlign w:val="bottom"/>
          </w:tcPr>
          <w:p>
            <w:pPr>
              <w:spacing w:after="0"/>
              <w:rPr>
                <w:sz w:val="24"/>
                <w:szCs w:val="24"/>
                <w:color w:val="auto"/>
              </w:rPr>
            </w:pP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(1,678)</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$60,128</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Shares Issued</w:t>
            </w:r>
          </w:p>
        </w:tc>
        <w:tc>
          <w:tcPr>
            <w:tcW w:w="12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w:t>
            </w:r>
          </w:p>
        </w:tc>
        <w:tc>
          <w:tcPr>
            <w:tcW w:w="56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16</w:t>
            </w:r>
          </w:p>
        </w:tc>
        <w:tc>
          <w:tcPr>
            <w:tcW w:w="400" w:type="dxa"/>
            <w:vAlign w:val="bottom"/>
          </w:tcPr>
          <w:p>
            <w:pPr>
              <w:spacing w:after="0"/>
              <w:rPr>
                <w:sz w:val="13"/>
                <w:szCs w:val="13"/>
                <w:color w:val="auto"/>
              </w:rPr>
            </w:pP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16</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12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9,987</w:t>
            </w:r>
          </w:p>
        </w:tc>
        <w:tc>
          <w:tcPr>
            <w:tcW w:w="440" w:type="dxa"/>
            <w:vAlign w:val="bottom"/>
          </w:tcPr>
          <w:p>
            <w:pPr>
              <w:spacing w:after="0"/>
              <w:rPr>
                <w:sz w:val="13"/>
                <w:szCs w:val="13"/>
                <w:color w:val="auto"/>
              </w:rPr>
            </w:pP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9,987</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Dividends paid</w:t>
            </w:r>
          </w:p>
        </w:tc>
        <w:tc>
          <w:tcPr>
            <w:tcW w:w="12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89"/>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9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(4,878)</w:t>
            </w:r>
          </w:p>
        </w:tc>
        <w:tc>
          <w:tcPr>
            <w:tcW w:w="440" w:type="dxa"/>
            <w:vAlign w:val="bottom"/>
          </w:tcPr>
          <w:p>
            <w:pPr>
              <w:spacing w:after="0"/>
              <w:rPr>
                <w:sz w:val="13"/>
                <w:szCs w:val="13"/>
                <w:color w:val="auto"/>
              </w:rPr>
            </w:pPr>
          </w:p>
        </w:tc>
        <w:tc>
          <w:tcPr>
            <w:tcW w:w="15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(4,878)</w:t>
            </w:r>
          </w:p>
        </w:tc>
      </w:tr>
      <w:tr>
        <w:trPr>
          <w:trHeight w:val="154"/>
        </w:trPr>
        <w:tc>
          <w:tcPr>
            <w:tcW w:w="3780" w:type="dxa"/>
            <w:vAlign w:val="bottom"/>
          </w:tcPr>
          <w:p>
            <w:pPr>
              <w:ind w:left="480"/>
              <w:spacing w:after="0"/>
              <w:rPr>
                <w:sz w:val="20"/>
                <w:szCs w:val="20"/>
                <w:color w:val="auto"/>
              </w:rPr>
            </w:pPr>
            <w:r>
              <w:rPr>
                <w:rFonts w:ascii="Courier New" w:cs="Courier New" w:eastAsia="Courier New" w:hAnsi="Courier New"/>
                <w:sz w:val="13"/>
                <w:szCs w:val="13"/>
                <w:color w:val="auto"/>
              </w:rPr>
              <w:t>Increase in paid-in capital for the</w:t>
            </w: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-9202420</wp:posOffset>
            </wp:positionV>
            <wp:extent cx="3175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-9202420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7261225</wp:posOffset>
            </wp:positionH>
            <wp:positionV relativeFrom="paragraph">
              <wp:posOffset>-1968500</wp:posOffset>
            </wp:positionV>
            <wp:extent cx="3175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-1968500</wp:posOffset>
            </wp:positionV>
            <wp:extent cx="3175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ind w:left="640"/>
        <w:spacing w:after="0"/>
        <w:rPr>
          <w:sz w:val="20"/>
          <w:szCs w:val="20"/>
          <w:color w:val="auto"/>
        </w:rPr>
      </w:pPr>
      <w:r>
        <w:rPr>
          <w:rFonts w:ascii="Courier New" w:cs="Courier New" w:eastAsia="Courier New" w:hAnsi="Courier New"/>
          <w:sz w:val="13"/>
          <w:szCs w:val="13"/>
          <w:color w:val="auto"/>
        </w:rPr>
        <w:t>amount by which the Company's</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proportionate interest in Euroball</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exceeded its carrying value of the</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net assets exchanged by the Company</w:t>
      </w:r>
    </w:p>
    <w:p>
      <w:pPr>
        <w:sectPr>
          <w:pgSz w:w="11900" w:h="16838" w:orient="portrait"/>
          <w:cols w:equalWidth="0" w:num="1">
            <w:col w:w="11540"/>
          </w:cols>
          <w:pgMar w:left="220" w:top="141" w:right="1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4060" w:type="dxa"/>
            <w:vAlign w:val="bottom"/>
          </w:tcPr>
          <w:p>
            <w:pPr>
              <w:ind w:left="640"/>
              <w:spacing w:after="0"/>
              <w:rPr>
                <w:sz w:val="20"/>
                <w:szCs w:val="20"/>
                <w:color w:val="auto"/>
              </w:rPr>
            </w:pPr>
            <w:r>
              <w:rPr>
                <w:rFonts w:ascii="Courier New" w:cs="Courier New" w:eastAsia="Courier New" w:hAnsi="Courier New"/>
                <w:sz w:val="13"/>
                <w:szCs w:val="13"/>
                <w:color w:val="auto"/>
              </w:rPr>
              <w:t>(Note 3,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9,270</w:t>
            </w:r>
          </w:p>
        </w:tc>
        <w:tc>
          <w:tcPr>
            <w:tcW w:w="48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2"/>
                <w:szCs w:val="12"/>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9,270</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Cumulative translation gain,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152</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152</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9"/>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Balance, December 31, 2000,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15,247</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$153</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$39,684</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$36,364</w:t>
            </w:r>
          </w:p>
        </w:tc>
        <w:tc>
          <w:tcPr>
            <w:tcW w:w="8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(1,526)</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$74,675</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Shares Issued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70</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427</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428</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7"/>
              </w:rPr>
              <w:t>4,662</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4,662</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Dividends paid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(4,887)</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(4,887)</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Additional minimum pension liability</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(53)</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(53)</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Cumulative translation loss,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(3,843)</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(3,843)</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9"/>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Balance, December 31, 2001,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15,317</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$154</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$40,111</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$36,139</w:t>
            </w:r>
          </w:p>
        </w:tc>
        <w:tc>
          <w:tcPr>
            <w:tcW w:w="8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(5,422)</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$70,982</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Shares Issued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53</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346</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346</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income,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7"/>
              </w:rPr>
              <w:t>7,760</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7,760</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Dividends paid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(4,915)</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(4,915)</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Additional minimum pension liability</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(28)</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Cumulative translation gain,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3,763</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3,763</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9"/>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463"/>
        </w:trPr>
        <w:tc>
          <w:tcPr>
            <w:tcW w:w="4060" w:type="dxa"/>
            <w:vAlign w:val="bottom"/>
          </w:tcPr>
          <w:p>
            <w:pPr>
              <w:spacing w:after="0"/>
              <w:rPr>
                <w:sz w:val="20"/>
                <w:szCs w:val="20"/>
                <w:color w:val="auto"/>
              </w:rPr>
            </w:pPr>
            <w:r>
              <w:rPr>
                <w:rFonts w:ascii="Courier New" w:cs="Courier New" w:eastAsia="Courier New" w:hAnsi="Courier New"/>
                <w:sz w:val="13"/>
                <w:szCs w:val="13"/>
                <w:color w:val="auto"/>
              </w:rPr>
              <w:t>Balance, December 31, 2002, Restated</w:t>
            </w:r>
          </w:p>
        </w:tc>
        <w:tc>
          <w:tcPr>
            <w:tcW w:w="9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15,370</w:t>
            </w:r>
          </w:p>
        </w:tc>
        <w:tc>
          <w:tcPr>
            <w:tcW w:w="1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$154</w:t>
            </w:r>
          </w:p>
        </w:tc>
        <w:tc>
          <w:tcPr>
            <w:tcW w:w="14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$40,457</w:t>
            </w:r>
          </w:p>
        </w:tc>
        <w:tc>
          <w:tcPr>
            <w:tcW w:w="100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$38,984</w:t>
            </w:r>
          </w:p>
        </w:tc>
        <w:tc>
          <w:tcPr>
            <w:tcW w:w="8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(1,687)</w:t>
            </w:r>
          </w:p>
        </w:tc>
        <w:tc>
          <w:tcPr>
            <w:tcW w:w="128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$77,908</w:t>
            </w:r>
          </w:p>
        </w:tc>
      </w:tr>
      <w:tr>
        <w:trPr>
          <w:trHeight w:val="154"/>
        </w:trPr>
        <w:tc>
          <w:tcPr>
            <w:tcW w:w="4980" w:type="dxa"/>
            <w:vAlign w:val="bottom"/>
            <w:gridSpan w:val="2"/>
          </w:tcPr>
          <w:p>
            <w:pPr>
              <w:ind w:left="3700"/>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9"/>
              </w:rPr>
              <w:t>==========</w:t>
            </w:r>
          </w:p>
        </w:tc>
        <w:tc>
          <w:tcPr>
            <w:tcW w:w="14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234"/>
        </w:trPr>
        <w:tc>
          <w:tcPr>
            <w:tcW w:w="6060" w:type="dxa"/>
            <w:vAlign w:val="bottom"/>
            <w:gridSpan w:val="3"/>
          </w:tcPr>
          <w:p>
            <w:pPr>
              <w:jc w:val="center"/>
              <w:ind w:left="373"/>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3"/>
        </w:trPr>
        <w:tc>
          <w:tcPr>
            <w:tcW w:w="4060" w:type="dxa"/>
            <w:vAlign w:val="bottom"/>
          </w:tcPr>
          <w:p>
            <w:pPr>
              <w:jc w:val="center"/>
              <w:ind w:left="2293"/>
              <w:spacing w:after="0"/>
              <w:rPr>
                <w:sz w:val="20"/>
                <w:szCs w:val="20"/>
                <w:color w:val="auto"/>
              </w:rPr>
            </w:pPr>
            <w:r>
              <w:rPr>
                <w:rFonts w:ascii="Courier New" w:cs="Courier New" w:eastAsia="Courier New" w:hAnsi="Courier New"/>
                <w:sz w:val="13"/>
                <w:szCs w:val="13"/>
                <w:color w:val="auto"/>
              </w:rPr>
              <w:t>31</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4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r>
        <w:trPr>
          <w:trHeight w:val="593"/>
        </w:trPr>
        <w:tc>
          <w:tcPr>
            <w:tcW w:w="4060" w:type="dxa"/>
            <w:vAlign w:val="bottom"/>
          </w:tcPr>
          <w:p>
            <w:pPr>
              <w:jc w:val="center"/>
              <w:ind w:left="2293"/>
              <w:spacing w:after="0"/>
              <w:rPr>
                <w:sz w:val="20"/>
                <w:szCs w:val="20"/>
                <w:color w:val="auto"/>
              </w:rPr>
            </w:pPr>
            <w:r>
              <w:rPr>
                <w:rFonts w:ascii="Courier New" w:cs="Courier New" w:eastAsia="Courier New" w:hAnsi="Courier New"/>
                <w:sz w:val="13"/>
                <w:szCs w:val="13"/>
                <w:b w:val="1"/>
                <w:bCs w:val="1"/>
                <w:color w:val="auto"/>
              </w:rPr>
              <w:t>NN, Inc.</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980" w:type="dxa"/>
            <w:vAlign w:val="bottom"/>
            <w:gridSpan w:val="2"/>
          </w:tcPr>
          <w:p>
            <w:pPr>
              <w:jc w:val="center"/>
              <w:ind w:left="1453"/>
              <w:spacing w:after="0"/>
              <w:rPr>
                <w:sz w:val="20"/>
                <w:szCs w:val="20"/>
                <w:color w:val="auto"/>
              </w:rPr>
            </w:pPr>
            <w:r>
              <w:rPr>
                <w:rFonts w:ascii="Courier New" w:cs="Courier New" w:eastAsia="Courier New" w:hAnsi="Courier New"/>
                <w:sz w:val="13"/>
                <w:szCs w:val="13"/>
                <w:b w:val="1"/>
                <w:bCs w:val="1"/>
                <w:color w:val="auto"/>
              </w:rPr>
              <w:t>Consolidated Statements of Cash Flows</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980" w:type="dxa"/>
            <w:vAlign w:val="bottom"/>
            <w:gridSpan w:val="2"/>
          </w:tcPr>
          <w:p>
            <w:pPr>
              <w:jc w:val="center"/>
              <w:ind w:left="1373"/>
              <w:spacing w:after="0"/>
              <w:rPr>
                <w:sz w:val="20"/>
                <w:szCs w:val="20"/>
                <w:color w:val="auto"/>
              </w:rPr>
            </w:pPr>
            <w:r>
              <w:rPr>
                <w:rFonts w:ascii="Courier New" w:cs="Courier New" w:eastAsia="Courier New" w:hAnsi="Courier New"/>
                <w:sz w:val="13"/>
                <w:szCs w:val="13"/>
                <w:b w:val="1"/>
                <w:bCs w:val="1"/>
                <w:color w:val="auto"/>
              </w:rPr>
              <w:t>Years Ended December 31, 2002, 2001 and 2000</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jc w:val="center"/>
              <w:ind w:left="2293"/>
              <w:spacing w:after="0"/>
              <w:rPr>
                <w:sz w:val="20"/>
                <w:szCs w:val="20"/>
                <w:color w:val="auto"/>
              </w:rPr>
            </w:pPr>
            <w:r>
              <w:rPr>
                <w:rFonts w:ascii="Courier New" w:cs="Courier New" w:eastAsia="Courier New" w:hAnsi="Courier New"/>
                <w:sz w:val="13"/>
                <w:szCs w:val="13"/>
                <w:b w:val="1"/>
                <w:bCs w:val="1"/>
                <w:color w:val="auto"/>
              </w:rPr>
              <w:t>(In Thousands)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73"/>
              <w:spacing w:after="0"/>
              <w:rPr>
                <w:sz w:val="20"/>
                <w:szCs w:val="20"/>
                <w:color w:val="auto"/>
              </w:rPr>
            </w:pPr>
            <w:r>
              <w:rPr>
                <w:rFonts w:ascii="Courier New" w:cs="Courier New" w:eastAsia="Courier New" w:hAnsi="Courier New"/>
                <w:sz w:val="13"/>
                <w:szCs w:val="13"/>
                <w:b w:val="1"/>
                <w:bCs w:val="1"/>
                <w:color w:val="auto"/>
              </w:rPr>
              <w:t>Restated</w:t>
            </w: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333"/>
              <w:spacing w:after="0"/>
              <w:rPr>
                <w:sz w:val="20"/>
                <w:szCs w:val="20"/>
                <w:color w:val="auto"/>
              </w:rPr>
            </w:pPr>
            <w:r>
              <w:rPr>
                <w:rFonts w:ascii="Courier New" w:cs="Courier New" w:eastAsia="Courier New" w:hAnsi="Courier New"/>
                <w:sz w:val="13"/>
                <w:szCs w:val="13"/>
                <w:b w:val="1"/>
                <w:bCs w:val="1"/>
                <w:color w:val="auto"/>
              </w:rPr>
              <w:t>2002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2001</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b w:val="1"/>
                <w:bCs w:val="1"/>
                <w:color w:val="auto"/>
              </w:rPr>
              <w:t>2000</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b w:val="1"/>
                <w:bCs w:val="1"/>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Cash flows from operating activities: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Income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$ 7,760</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$ 4,662</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$ 9,987</w:t>
            </w:r>
          </w:p>
        </w:tc>
        <w:tc>
          <w:tcPr>
            <w:tcW w:w="80" w:type="dxa"/>
            <w:vAlign w:val="bottom"/>
          </w:tcPr>
          <w:p>
            <w:pPr>
              <w:spacing w:after="0"/>
              <w:rPr>
                <w:sz w:val="13"/>
                <w:szCs w:val="13"/>
                <w:color w:val="auto"/>
              </w:rPr>
            </w:pPr>
          </w:p>
        </w:tc>
      </w:tr>
      <w:tr>
        <w:trPr>
          <w:trHeight w:val="154"/>
        </w:trPr>
        <w:tc>
          <w:tcPr>
            <w:tcW w:w="6060" w:type="dxa"/>
            <w:vAlign w:val="bottom"/>
            <w:gridSpan w:val="3"/>
          </w:tcPr>
          <w:p>
            <w:pPr>
              <w:ind w:left="480"/>
              <w:spacing w:after="0"/>
              <w:rPr>
                <w:sz w:val="20"/>
                <w:szCs w:val="20"/>
                <w:color w:val="auto"/>
              </w:rPr>
            </w:pPr>
            <w:r>
              <w:rPr>
                <w:rFonts w:ascii="Courier New" w:cs="Courier New" w:eastAsia="Courier New" w:hAnsi="Courier New"/>
                <w:sz w:val="13"/>
                <w:szCs w:val="13"/>
                <w:color w:val="auto"/>
              </w:rPr>
              <w:t>Adjustments to reconcile net income to net cash provided by operating</w:t>
            </w: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activities: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Depreciation and amortization</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11,212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13,150</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9,165</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Cumulative effect of change in accounting principle</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98</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Loss on disposals of property, plant and equipment</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1,194</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Loss on sale of NNG</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222</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Equity in earnings of unconsolidated affiliates</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(48)</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Deferred income tax</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2,564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433</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1,185</w:t>
            </w:r>
          </w:p>
        </w:tc>
        <w:tc>
          <w:tcPr>
            <w:tcW w:w="80" w:type="dxa"/>
            <w:vAlign w:val="bottom"/>
          </w:tcPr>
          <w:p>
            <w:pPr>
              <w:spacing w:after="0"/>
              <w:rPr>
                <w:sz w:val="13"/>
                <w:szCs w:val="13"/>
                <w:color w:val="auto"/>
              </w:rPr>
            </w:pPr>
          </w:p>
        </w:tc>
      </w:tr>
      <w:tr>
        <w:trPr>
          <w:trHeight w:val="154"/>
        </w:trPr>
        <w:tc>
          <w:tcPr>
            <w:tcW w:w="6060" w:type="dxa"/>
            <w:vAlign w:val="bottom"/>
            <w:gridSpan w:val="3"/>
          </w:tcPr>
          <w:p>
            <w:pPr>
              <w:ind w:left="480"/>
              <w:spacing w:after="0"/>
              <w:rPr>
                <w:sz w:val="20"/>
                <w:szCs w:val="20"/>
                <w:color w:val="auto"/>
              </w:rPr>
            </w:pPr>
            <w:r>
              <w:rPr>
                <w:rFonts w:ascii="Courier New" w:cs="Courier New" w:eastAsia="Courier New" w:hAnsi="Courier New"/>
                <w:sz w:val="13"/>
                <w:szCs w:val="13"/>
                <w:color w:val="auto"/>
              </w:rPr>
              <w:t>Interest income on receivable from unconsolidated affiliates</w:t>
            </w: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(104)</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(159)</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Minority interest in consolidated subsidiary</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2,778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1,753</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w w:val="93"/>
              </w:rPr>
              <w:t>660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Restructuring costs and impairment costs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1,277</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2,312</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Changes in operating assets and liabilities: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Accounts receivable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(3,590)</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6,838</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1,955</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Inventories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1,479</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1,175</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(3,021)</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Other current assets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4,795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(1,461)</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(106)</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Other assets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(618)</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(1,719)</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Accounts payable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5,535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(2,846)</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5,544</w:t>
            </w:r>
          </w:p>
        </w:tc>
        <w:tc>
          <w:tcPr>
            <w:tcW w:w="80" w:type="dxa"/>
            <w:vAlign w:val="bottom"/>
          </w:tcPr>
          <w:p>
            <w:pPr>
              <w:spacing w:after="0"/>
              <w:rPr>
                <w:sz w:val="13"/>
                <w:szCs w:val="13"/>
                <w:color w:val="auto"/>
              </w:rPr>
            </w:pPr>
          </w:p>
        </w:tc>
      </w:tr>
      <w:tr>
        <w:trPr>
          <w:trHeight w:val="154"/>
        </w:trPr>
        <w:tc>
          <w:tcPr>
            <w:tcW w:w="4060" w:type="dxa"/>
            <w:vAlign w:val="bottom"/>
          </w:tcPr>
          <w:p>
            <w:pPr>
              <w:ind w:left="1200"/>
              <w:spacing w:after="0"/>
              <w:rPr>
                <w:sz w:val="20"/>
                <w:szCs w:val="20"/>
                <w:color w:val="auto"/>
              </w:rPr>
            </w:pPr>
            <w:r>
              <w:rPr>
                <w:rFonts w:ascii="Courier New" w:cs="Courier New" w:eastAsia="Courier New" w:hAnsi="Courier New"/>
                <w:sz w:val="13"/>
                <w:szCs w:val="13"/>
                <w:color w:val="auto"/>
              </w:rPr>
              <w:t>Other liabilities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(2,733)</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(997)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2,227</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jc w:val="center"/>
              <w:ind w:left="1453"/>
              <w:spacing w:after="0"/>
              <w:rPr>
                <w:sz w:val="20"/>
                <w:szCs w:val="20"/>
                <w:color w:val="auto"/>
              </w:rPr>
            </w:pPr>
            <w:r>
              <w:rPr>
                <w:rFonts w:ascii="Courier New" w:cs="Courier New" w:eastAsia="Courier New" w:hAnsi="Courier New"/>
                <w:sz w:val="13"/>
                <w:szCs w:val="13"/>
                <w:color w:val="auto"/>
              </w:rPr>
              <w:t>Net cash provided by operating activities</w:t>
            </w: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31,087</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24,617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26,864</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Cash flows from investing activities: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Acquisition of businesses, net of cash acquired</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(23,496)</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(57,788)</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Purchase of minority interest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(13,802)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Acquisition of property, plant and equipment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(7,591)</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(6,314)</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(17,910)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Sale of NNG</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622</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Long-term note receivable</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200</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(3,440)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Investment in unconsolidated affiliates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(172)</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Proceeds from disposals of property, plant and equipment</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65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106</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980" w:type="dxa"/>
            <w:vAlign w:val="bottom"/>
            <w:gridSpan w:val="2"/>
          </w:tcPr>
          <w:p>
            <w:pPr>
              <w:ind w:left="1360"/>
              <w:spacing w:after="0"/>
              <w:rPr>
                <w:sz w:val="20"/>
                <w:szCs w:val="20"/>
                <w:color w:val="auto"/>
              </w:rPr>
            </w:pPr>
            <w:r>
              <w:rPr>
                <w:rFonts w:ascii="Courier New" w:cs="Courier New" w:eastAsia="Courier New" w:hAnsi="Courier New"/>
                <w:sz w:val="13"/>
                <w:szCs w:val="13"/>
                <w:color w:val="auto"/>
              </w:rPr>
              <w:t>Net cash used by investing activities</w:t>
            </w: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(21,128)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(29,082)</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(79,310)</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b w:val="1"/>
                <w:bCs w:val="1"/>
                <w:color w:val="auto"/>
              </w:rPr>
              <w:t>Cash flows from financing activities: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proceeds under revolving line of credit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7,547</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Minority shareholders contributions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29,600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Proceeds from long-term debt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13,802</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71,430</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25,817</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Bank overdrafts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(1,103)</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687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(785)</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Repayment of long-term debt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(16,708)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(65,946)</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Proceeds (repayment) of short-term debt</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(2,000)</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2,000</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Proceeds from issuance of stock</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346</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428</w:t>
            </w:r>
          </w:p>
        </w:tc>
        <w:tc>
          <w:tcPr>
            <w:tcW w:w="880" w:type="dxa"/>
            <w:vAlign w:val="bottom"/>
          </w:tcPr>
          <w:p>
            <w:pPr>
              <w:spacing w:after="0"/>
              <w:rPr>
                <w:sz w:val="13"/>
                <w:szCs w:val="13"/>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16</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Cash dividends</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(4,915)</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(4,887)</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(4,878)</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6060" w:type="dxa"/>
            <w:vAlign w:val="bottom"/>
            <w:gridSpan w:val="3"/>
          </w:tcPr>
          <w:p>
            <w:pPr>
              <w:ind w:left="1360"/>
              <w:spacing w:after="0"/>
              <w:rPr>
                <w:sz w:val="20"/>
                <w:szCs w:val="20"/>
                <w:color w:val="auto"/>
              </w:rPr>
            </w:pPr>
            <w:r>
              <w:rPr>
                <w:rFonts w:ascii="Courier New" w:cs="Courier New" w:eastAsia="Courier New" w:hAnsi="Courier New"/>
                <w:sz w:val="13"/>
                <w:szCs w:val="13"/>
                <w:color w:val="auto"/>
              </w:rPr>
              <w:t>Net cash provided (used) by financing activities</w:t>
            </w: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(8,578)</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(288)</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59,317</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Effect of exchange rate changes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739</w:t>
            </w:r>
          </w:p>
        </w:tc>
        <w:tc>
          <w:tcPr>
            <w:tcW w:w="52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(496)</w:t>
            </w:r>
          </w:p>
        </w:tc>
        <w:tc>
          <w:tcPr>
            <w:tcW w:w="880" w:type="dxa"/>
            <w:vAlign w:val="bottom"/>
          </w:tcPr>
          <w:p>
            <w:pPr>
              <w:spacing w:after="0"/>
              <w:rPr>
                <w:sz w:val="24"/>
                <w:szCs w:val="24"/>
                <w:color w:val="auto"/>
              </w:rPr>
            </w:pP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w w:val="93"/>
              </w:rPr>
              <w:t>(7)</w:t>
            </w:r>
          </w:p>
        </w:tc>
        <w:tc>
          <w:tcPr>
            <w:tcW w:w="80" w:type="dxa"/>
            <w:vAlign w:val="bottom"/>
          </w:tcPr>
          <w:p>
            <w:pPr>
              <w:spacing w:after="0"/>
              <w:rPr>
                <w:sz w:val="24"/>
                <w:szCs w:val="24"/>
                <w:color w:val="auto"/>
              </w:rPr>
            </w:pPr>
          </w:p>
        </w:tc>
      </w:tr>
      <w:tr>
        <w:trPr>
          <w:trHeight w:val="308"/>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Net change in cash and cash equivalents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2,120</w:t>
            </w:r>
          </w:p>
        </w:tc>
        <w:tc>
          <w:tcPr>
            <w:tcW w:w="52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(5,249)</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6,864</w:t>
            </w:r>
          </w:p>
        </w:tc>
        <w:tc>
          <w:tcPr>
            <w:tcW w:w="80" w:type="dxa"/>
            <w:vAlign w:val="bottom"/>
          </w:tcPr>
          <w:p>
            <w:pPr>
              <w:spacing w:after="0"/>
              <w:rPr>
                <w:sz w:val="24"/>
                <w:szCs w:val="24"/>
                <w:color w:val="auto"/>
              </w:rPr>
            </w:pP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Cash and cash equivalents at beginning of period</w:t>
            </w: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3,024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8,273</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1,409</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Cash and cash equivalents at end of period</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$ 5,144</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$ 3,024</w:t>
            </w:r>
          </w:p>
        </w:tc>
        <w:tc>
          <w:tcPr>
            <w:tcW w:w="2080" w:type="dxa"/>
            <w:vAlign w:val="bottom"/>
            <w:gridSpan w:val="2"/>
          </w:tcPr>
          <w:p>
            <w:pPr>
              <w:jc w:val="right"/>
              <w:ind w:right="893"/>
              <w:spacing w:after="0"/>
              <w:rPr>
                <w:sz w:val="20"/>
                <w:szCs w:val="20"/>
                <w:color w:val="auto"/>
              </w:rPr>
            </w:pPr>
            <w:r>
              <w:rPr>
                <w:rFonts w:ascii="Courier New" w:cs="Courier New" w:eastAsia="Courier New" w:hAnsi="Courier New"/>
                <w:sz w:val="13"/>
                <w:szCs w:val="13"/>
                <w:color w:val="auto"/>
              </w:rPr>
              <w:t>$ 8,273</w:t>
            </w:r>
          </w:p>
        </w:tc>
        <w:tc>
          <w:tcPr>
            <w:tcW w:w="80" w:type="dxa"/>
            <w:vAlign w:val="bottom"/>
          </w:tcPr>
          <w:p>
            <w:pPr>
              <w:spacing w:after="0"/>
              <w:rPr>
                <w:sz w:val="13"/>
                <w:szCs w:val="13"/>
                <w:color w:val="auto"/>
              </w:rPr>
            </w:pPr>
          </w:p>
        </w:tc>
      </w:tr>
      <w:tr>
        <w:trPr>
          <w:trHeight w:val="154"/>
        </w:trPr>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2080" w:type="dxa"/>
            <w:vAlign w:val="bottom"/>
            <w:gridSpan w:val="2"/>
          </w:tcPr>
          <w:p>
            <w:pPr>
              <w:jc w:val="right"/>
              <w:ind w:right="81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r>
        <w:trPr>
          <w:trHeight w:val="308"/>
        </w:trPr>
        <w:tc>
          <w:tcPr>
            <w:tcW w:w="6060" w:type="dxa"/>
            <w:vAlign w:val="bottom"/>
            <w:gridSpan w:val="3"/>
          </w:tcPr>
          <w:p>
            <w:pPr>
              <w:spacing w:after="0"/>
              <w:rPr>
                <w:sz w:val="20"/>
                <w:szCs w:val="20"/>
                <w:color w:val="auto"/>
              </w:rPr>
            </w:pPr>
            <w:r>
              <w:rPr>
                <w:rFonts w:ascii="Courier New" w:cs="Courier New" w:eastAsia="Courier New" w:hAnsi="Courier New"/>
                <w:sz w:val="13"/>
                <w:szCs w:val="13"/>
                <w:b w:val="1"/>
                <w:bCs w:val="1"/>
                <w:color w:val="auto"/>
              </w:rPr>
              <w:t>Supplemental schedule of non-cash investing and financing activities:</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Note received related to sale of NNG</w:t>
            </w: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$ 3,300</w:t>
            </w:r>
          </w:p>
        </w:tc>
        <w:tc>
          <w:tcPr>
            <w:tcW w:w="8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893"/>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-6767195</wp:posOffset>
            </wp:positionV>
            <wp:extent cx="3175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-6767195</wp:posOffset>
            </wp:positionV>
            <wp:extent cx="3175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139"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b w:val="1"/>
          <w:bCs w:val="1"/>
          <w:color w:val="auto"/>
        </w:rPr>
        <w:t>Cash paid for interest and income taxes was as follows:</w:t>
      </w:r>
    </w:p>
    <w:p>
      <w:pPr>
        <w:sectPr>
          <w:pgSz w:w="11900" w:h="16838" w:orient="portrait"/>
          <w:cols w:equalWidth="0" w:num="1">
            <w:col w:w="11540"/>
          </w:cols>
          <w:pgMar w:left="220" w:top="141" w:right="139" w:bottom="0" w:gutter="0" w:footer="0" w:header="0"/>
        </w:sectPr>
      </w:pPr>
    </w:p>
    <w:bookmarkStart w:id="23" w:name="page24"/>
    <w:bookmarkEnd w:id="23"/>
    <w:tbl>
      <w:tblPr>
        <w:tblLayout w:type="fixed"/>
        <w:tblInd w:w="880" w:type="dxa"/>
        <w:tblCellMar>
          <w:top w:w="0" w:type="dxa"/>
          <w:left w:w="0" w:type="dxa"/>
          <w:bottom w:w="0" w:type="dxa"/>
          <w:right w:w="0" w:type="dxa"/>
        </w:tblCellMar>
      </w:tblPr>
      <w:tr>
        <w:trPr>
          <w:trHeight w:val="149"/>
        </w:trPr>
        <w:tc>
          <w:tcPr>
            <w:tcW w:w="5460" w:type="dxa"/>
            <w:vAlign w:val="bottom"/>
          </w:tcPr>
          <w:p>
            <w:pPr>
              <w:spacing w:after="0"/>
              <w:rPr>
                <w:sz w:val="20"/>
                <w:szCs w:val="20"/>
                <w:color w:val="auto"/>
              </w:rPr>
            </w:pPr>
            <w:r>
              <w:rPr>
                <w:rFonts w:ascii="Courier New" w:cs="Courier New" w:eastAsia="Courier New" w:hAnsi="Courier New"/>
                <w:sz w:val="13"/>
                <w:szCs w:val="13"/>
                <w:color w:val="auto"/>
              </w:rPr>
              <w:t>Interest</w:t>
            </w:r>
          </w:p>
        </w:tc>
        <w:tc>
          <w:tcPr>
            <w:tcW w:w="18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$ 1,965</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$ 3,596</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$ 1,917</w:t>
            </w:r>
          </w:p>
        </w:tc>
      </w:tr>
      <w:tr>
        <w:trPr>
          <w:trHeight w:val="154"/>
        </w:trPr>
        <w:tc>
          <w:tcPr>
            <w:tcW w:w="5460" w:type="dxa"/>
            <w:vAlign w:val="bottom"/>
          </w:tcPr>
          <w:p>
            <w:pPr>
              <w:spacing w:after="0"/>
              <w:rPr>
                <w:sz w:val="20"/>
                <w:szCs w:val="20"/>
                <w:color w:val="auto"/>
              </w:rPr>
            </w:pPr>
            <w:r>
              <w:rPr>
                <w:rFonts w:ascii="Courier New" w:cs="Courier New" w:eastAsia="Courier New" w:hAnsi="Courier New"/>
                <w:sz w:val="13"/>
                <w:szCs w:val="13"/>
                <w:color w:val="auto"/>
              </w:rPr>
              <w:t>Income taxes</w:t>
            </w:r>
          </w:p>
        </w:tc>
        <w:tc>
          <w:tcPr>
            <w:tcW w:w="18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4,774</w:t>
            </w:r>
          </w:p>
        </w:tc>
        <w:tc>
          <w:tcPr>
            <w:tcW w:w="12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2,845</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5,207</w:t>
            </w:r>
          </w:p>
        </w:tc>
      </w:tr>
      <w:tr>
        <w:trPr>
          <w:trHeight w:val="154"/>
        </w:trPr>
        <w:tc>
          <w:tcPr>
            <w:tcW w:w="5460" w:type="dxa"/>
            <w:vAlign w:val="bottom"/>
          </w:tcPr>
          <w:p>
            <w:pPr>
              <w:spacing w:after="0"/>
              <w:rPr>
                <w:sz w:val="13"/>
                <w:szCs w:val="13"/>
                <w:color w:val="auto"/>
              </w:rPr>
            </w:pPr>
          </w:p>
        </w:tc>
        <w:tc>
          <w:tcPr>
            <w:tcW w:w="1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5460" w:type="dxa"/>
            <w:vAlign w:val="bottom"/>
          </w:tcPr>
          <w:p>
            <w:pPr>
              <w:spacing w:after="0"/>
              <w:rPr>
                <w:sz w:val="20"/>
                <w:szCs w:val="20"/>
                <w:color w:val="auto"/>
              </w:rPr>
            </w:pPr>
            <w:r>
              <w:rPr>
                <w:rFonts w:ascii="Courier New" w:cs="Courier New" w:eastAsia="Courier New" w:hAnsi="Courier New"/>
                <w:sz w:val="13"/>
                <w:szCs w:val="13"/>
                <w:b w:val="1"/>
                <w:bCs w:val="1"/>
                <w:color w:val="auto"/>
              </w:rPr>
              <w:t>See accompanying notes to consolidated financial statements</w:t>
            </w:r>
          </w:p>
        </w:tc>
        <w:tc>
          <w:tcPr>
            <w:tcW w:w="1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63"/>
        </w:trPr>
        <w:tc>
          <w:tcPr>
            <w:tcW w:w="5460" w:type="dxa"/>
            <w:vAlign w:val="bottom"/>
          </w:tcPr>
          <w:p>
            <w:pPr>
              <w:jc w:val="right"/>
              <w:ind w:right="2973"/>
              <w:spacing w:after="0"/>
              <w:rPr>
                <w:sz w:val="20"/>
                <w:szCs w:val="20"/>
                <w:color w:val="auto"/>
              </w:rPr>
            </w:pPr>
            <w:r>
              <w:rPr>
                <w:rFonts w:ascii="Courier New" w:cs="Courier New" w:eastAsia="Courier New" w:hAnsi="Courier New"/>
                <w:sz w:val="13"/>
                <w:szCs w:val="13"/>
                <w:color w:val="auto"/>
              </w:rPr>
              <w:t>32</w:t>
            </w: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172085</wp:posOffset>
            </wp:positionV>
            <wp:extent cx="73044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720" w:hanging="718"/>
        <w:spacing w:after="0"/>
        <w:tabs>
          <w:tab w:leader="none" w:pos="720" w:val="left"/>
        </w:tabs>
        <w:numPr>
          <w:ilvl w:val="0"/>
          <w:numId w:val="4"/>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Restatement</w:t>
      </w:r>
    </w:p>
    <w:p>
      <w:pPr>
        <w:spacing w:after="0" w:line="161" w:lineRule="exact"/>
        <w:rPr>
          <w:sz w:val="20"/>
          <w:szCs w:val="20"/>
          <w:color w:val="auto"/>
        </w:rPr>
      </w:pPr>
    </w:p>
    <w:p>
      <w:pPr>
        <w:ind w:left="400" w:right="4160"/>
        <w:spacing w:after="0" w:line="251" w:lineRule="auto"/>
        <w:rPr>
          <w:sz w:val="20"/>
          <w:szCs w:val="20"/>
          <w:color w:val="auto"/>
        </w:rPr>
      </w:pPr>
      <w:r>
        <w:rPr>
          <w:rFonts w:ascii="Courier New" w:cs="Courier New" w:eastAsia="Courier New" w:hAnsi="Courier New"/>
          <w:sz w:val="13"/>
          <w:szCs w:val="13"/>
          <w:color w:val="auto"/>
        </w:rPr>
        <w:t>The accompanying Consolidated Financial Statements for the fiscal years ended December 31, 2002, 2001 and 2000 have been restated to amend the financial reporting of certain transactions related to the formation of NN Euroball, ApS ("Euroball") on July 31, 2000, and the subsequent purchase on December 20, 2002 of the 23% interest in Euroball held by FAG Kugelfischer George Schaefer AG, which was subsequently acquired by INA - Schaeffler KG (collectively, "INA/FAG"). These restatements had no material effect on the Company's reported net sales, gross profit, income from operations or cash flows for the fiscal years ended December 31, 2002, 2001 or 2000. Refer to Note 3 as related to the formation of Euroball and the purchase of the minority interest held by INA/FAG.</w:t>
      </w:r>
    </w:p>
    <w:p>
      <w:pPr>
        <w:spacing w:after="0" w:line="31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We have revised the valuation of the original purchase price associated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with the formation of Euroball in July 2000. This revision resulted in a</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reduction of goodwill of approximately 4,108 Euro ($3,792). Further, we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have increased stockholders' equity by approximately 10,044 Euro ($9,270) to</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reflect the amount by which the Company's proportionate interest in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Euroball, exceeded the book value of the net assets exchanged by the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Company. As a result of these two adjustments, minority interest in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consolidated subsidiaries has been reduced by approximately $7,421,</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$12,601 and $13,286, at December 31, 2002, 2001 and 2000, respectively,</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goodwill has been reduced $4,308, $3,658 and $3,857, at December</w:t>
      </w:r>
    </w:p>
    <w:p>
      <w:pPr>
        <w:spacing w:after="0" w:line="7" w:lineRule="exact"/>
        <w:rPr>
          <w:sz w:val="20"/>
          <w:szCs w:val="20"/>
          <w:color w:val="auto"/>
        </w:rPr>
      </w:pPr>
    </w:p>
    <w:p>
      <w:pPr>
        <w:ind w:left="400" w:right="4160"/>
        <w:spacing w:after="0" w:line="252" w:lineRule="auto"/>
        <w:rPr>
          <w:sz w:val="20"/>
          <w:szCs w:val="20"/>
          <w:color w:val="auto"/>
        </w:rPr>
      </w:pPr>
      <w:r>
        <w:rPr>
          <w:rFonts w:ascii="Courier New" w:cs="Courier New" w:eastAsia="Courier New" w:hAnsi="Courier New"/>
          <w:sz w:val="13"/>
          <w:szCs w:val="13"/>
          <w:color w:val="auto"/>
        </w:rPr>
        <w:t>31, 2002, 2001 and 2000, respectively, and paid in capital increased $9,270 at December 31, 2002, 2001 and 2000 from amounts previously reported. Comprehensive income has also been restated for the foreign currency translation effects of these adjustments.</w:t>
      </w:r>
    </w:p>
    <w:p>
      <w:pPr>
        <w:spacing w:after="0" w:line="153"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 the previously issued December 31, 2002 Consolidated Financial</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Statements, when the Company acquired the 23% interest in Euroball held by</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INA/FAG in December 2002, the excess of minority interest in consolidated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subsidiaries over the purchase price was recorded as a non-taxable gain in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the amount of approximately $5,904. As restated, in the accompanying</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Consolidated Financial Statements, the non-taxable gain has been excluded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and the excess of the purchase price over the fair value of INA/FAG's 23%</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interest in the net assets of Euroball was allocated to goodwill. The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resulting impact to the Consolidated Financial Statements is an increase to</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goodwill of approximately $1,517 and a decrease in retained earnings of</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$5,904 as of December 31, 2002 and reversal of the gain previously recorded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 the Consolidated Statement of Income and Comprehensive Income for the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year ended December 31, 2002.</w:t>
      </w:r>
    </w:p>
    <w:p>
      <w:pPr>
        <w:spacing w:after="0" w:line="161" w:lineRule="exact"/>
        <w:rPr>
          <w:sz w:val="20"/>
          <w:szCs w:val="20"/>
          <w:color w:val="auto"/>
        </w:rPr>
      </w:pPr>
    </w:p>
    <w:p>
      <w:pPr>
        <w:ind w:left="400" w:right="4160"/>
        <w:spacing w:after="0" w:line="254" w:lineRule="auto"/>
        <w:rPr>
          <w:sz w:val="20"/>
          <w:szCs w:val="20"/>
          <w:color w:val="auto"/>
        </w:rPr>
      </w:pPr>
      <w:r>
        <w:rPr>
          <w:rFonts w:ascii="Courier New" w:cs="Courier New" w:eastAsia="Courier New" w:hAnsi="Courier New"/>
          <w:sz w:val="13"/>
          <w:szCs w:val="13"/>
          <w:color w:val="auto"/>
        </w:rPr>
        <w:t>Additionally, the Company has reclassified minority interest in consolidated subsidiaries from a component of total liabilities to a separate line item in the Consolidated Balance Sheets at December 31, 2002, 2001 and 2000.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right="4160"/>
        <w:spacing w:after="0" w:line="254" w:lineRule="auto"/>
        <w:rPr>
          <w:sz w:val="20"/>
          <w:szCs w:val="20"/>
          <w:color w:val="auto"/>
        </w:rPr>
      </w:pPr>
      <w:r>
        <w:rPr>
          <w:rFonts w:ascii="Courier New" w:cs="Courier New" w:eastAsia="Courier New" w:hAnsi="Courier New"/>
          <w:sz w:val="13"/>
          <w:szCs w:val="13"/>
          <w:b w:val="1"/>
          <w:bCs w:val="1"/>
          <w:color w:val="auto"/>
        </w:rPr>
        <w:t>Effect on selected Consolidated Balance Sheet data as of December 31, 2002, 2001 and 2000:</w:t>
      </w:r>
    </w:p>
    <w:p>
      <w:pPr>
        <w:spacing w:after="0" w:line="151"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b w:val="1"/>
          <w:bCs w:val="1"/>
          <w:color w:val="auto"/>
        </w:rPr>
        <w:t>Selected Consolidated Balance Sheet Data</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3"/>
          <w:szCs w:val="13"/>
          <w:b w:val="1"/>
          <w:bCs w:val="1"/>
          <w:color w:val="auto"/>
        </w:rPr>
        <w:t>December 31, 2002</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b w:val="1"/>
          <w:bCs w:val="1"/>
          <w:color w:val="auto"/>
        </w:rPr>
        <w:t>(In thousands)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3"/>
                <w:szCs w:val="13"/>
                <w:color w:val="auto"/>
              </w:rPr>
              <w:t>As Previously</w:t>
            </w:r>
          </w:p>
        </w:tc>
        <w:tc>
          <w:tcPr>
            <w:tcW w:w="1480" w:type="dxa"/>
            <w:vAlign w:val="bottom"/>
          </w:tcPr>
          <w:p>
            <w:pPr>
              <w:spacing w:after="0"/>
              <w:rPr>
                <w:sz w:val="12"/>
                <w:szCs w:val="12"/>
                <w:color w:val="auto"/>
              </w:rPr>
            </w:pPr>
          </w:p>
        </w:tc>
      </w:tr>
      <w:tr>
        <w:trPr>
          <w:trHeight w:val="154"/>
        </w:trPr>
        <w:tc>
          <w:tcPr>
            <w:tcW w:w="14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80" w:type="dxa"/>
            <w:vAlign w:val="bottom"/>
          </w:tcPr>
          <w:p>
            <w:pPr>
              <w:jc w:val="right"/>
              <w:ind w:right="613"/>
              <w:spacing w:after="0"/>
              <w:rPr>
                <w:sz w:val="20"/>
                <w:szCs w:val="20"/>
                <w:color w:val="auto"/>
              </w:rPr>
            </w:pPr>
            <w:r>
              <w:rPr>
                <w:rFonts w:ascii="Courier New" w:cs="Courier New" w:eastAsia="Courier New" w:hAnsi="Courier New"/>
                <w:sz w:val="13"/>
                <w:szCs w:val="13"/>
                <w:color w:val="auto"/>
              </w:rPr>
              <w:t>Reported</w:t>
            </w:r>
          </w:p>
        </w:tc>
        <w:tc>
          <w:tcPr>
            <w:tcW w:w="14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14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Goodwill</w:t>
            </w:r>
          </w:p>
        </w:tc>
        <w:tc>
          <w:tcPr>
            <w:tcW w:w="2740" w:type="dxa"/>
            <w:vAlign w:val="bottom"/>
          </w:tcPr>
          <w:p>
            <w:pPr>
              <w:spacing w:after="0"/>
              <w:rPr>
                <w:sz w:val="13"/>
                <w:szCs w:val="13"/>
                <w:color w:val="auto"/>
              </w:rPr>
            </w:pP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$ 42,166</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$ 39,374</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Total assets</w:t>
            </w:r>
          </w:p>
        </w:tc>
        <w:tc>
          <w:tcPr>
            <w:tcW w:w="2740" w:type="dxa"/>
            <w:vAlign w:val="bottom"/>
          </w:tcPr>
          <w:p>
            <w:pPr>
              <w:spacing w:after="0"/>
              <w:rPr>
                <w:sz w:val="13"/>
                <w:szCs w:val="13"/>
                <w:color w:val="auto"/>
              </w:rPr>
            </w:pP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198,007</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195,215</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Total liabilities</w:t>
            </w:r>
          </w:p>
        </w:tc>
        <w:tc>
          <w:tcPr>
            <w:tcW w:w="2740" w:type="dxa"/>
            <w:vAlign w:val="bottom"/>
          </w:tcPr>
          <w:p>
            <w:pPr>
              <w:spacing w:after="0"/>
              <w:rPr>
                <w:sz w:val="13"/>
                <w:szCs w:val="13"/>
                <w:color w:val="auto"/>
              </w:rPr>
            </w:pP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124,728</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105,022</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Minority interest</w:t>
            </w:r>
          </w:p>
        </w:tc>
        <w:tc>
          <w:tcPr>
            <w:tcW w:w="2740" w:type="dxa"/>
            <w:vAlign w:val="bottom"/>
          </w:tcPr>
          <w:p>
            <w:pPr>
              <w:ind w:left="40"/>
              <w:spacing w:after="0"/>
              <w:rPr>
                <w:sz w:val="20"/>
                <w:szCs w:val="20"/>
                <w:color w:val="auto"/>
              </w:rPr>
            </w:pPr>
            <w:r>
              <w:rPr>
                <w:rFonts w:ascii="Courier New" w:cs="Courier New" w:eastAsia="Courier New" w:hAnsi="Courier New"/>
                <w:sz w:val="13"/>
                <w:szCs w:val="13"/>
                <w:color w:val="auto"/>
              </w:rPr>
              <w:t>in consolidated subsidiaries</w:t>
            </w: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19,706</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12,285</w:t>
            </w:r>
          </w:p>
        </w:tc>
      </w:tr>
      <w:tr>
        <w:trPr>
          <w:trHeight w:val="154"/>
        </w:trPr>
        <w:tc>
          <w:tcPr>
            <w:tcW w:w="4140" w:type="dxa"/>
            <w:vAlign w:val="bottom"/>
            <w:gridSpan w:val="2"/>
          </w:tcPr>
          <w:p>
            <w:pPr>
              <w:spacing w:after="0"/>
              <w:rPr>
                <w:sz w:val="20"/>
                <w:szCs w:val="20"/>
                <w:color w:val="auto"/>
              </w:rPr>
            </w:pPr>
            <w:r>
              <w:rPr>
                <w:rFonts w:ascii="Courier New" w:cs="Courier New" w:eastAsia="Courier New" w:hAnsi="Courier New"/>
                <w:sz w:val="13"/>
                <w:szCs w:val="13"/>
                <w:color w:val="auto"/>
              </w:rPr>
              <w:t>Additional paid-in capital</w:t>
            </w: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31,187</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40,457</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Retained earnings</w:t>
            </w:r>
          </w:p>
        </w:tc>
        <w:tc>
          <w:tcPr>
            <w:tcW w:w="2740" w:type="dxa"/>
            <w:vAlign w:val="bottom"/>
          </w:tcPr>
          <w:p>
            <w:pPr>
              <w:spacing w:after="0"/>
              <w:rPr>
                <w:sz w:val="13"/>
                <w:szCs w:val="13"/>
                <w:color w:val="auto"/>
              </w:rPr>
            </w:pP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44,888</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38,984</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Accumulated other</w:t>
            </w:r>
          </w:p>
        </w:tc>
        <w:tc>
          <w:tcPr>
            <w:tcW w:w="2740" w:type="dxa"/>
            <w:vAlign w:val="bottom"/>
          </w:tcPr>
          <w:p>
            <w:pPr>
              <w:ind w:left="40"/>
              <w:spacing w:after="0"/>
              <w:rPr>
                <w:sz w:val="20"/>
                <w:szCs w:val="20"/>
                <w:color w:val="auto"/>
              </w:rPr>
            </w:pPr>
            <w:r>
              <w:rPr>
                <w:rFonts w:ascii="Courier New" w:cs="Courier New" w:eastAsia="Courier New" w:hAnsi="Courier New"/>
                <w:sz w:val="13"/>
                <w:szCs w:val="13"/>
                <w:color w:val="auto"/>
              </w:rPr>
              <w:t>comprehensive loss</w:t>
            </w: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(2,950)</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(1,687)</w:t>
            </w:r>
          </w:p>
        </w:tc>
      </w:tr>
      <w:tr>
        <w:trPr>
          <w:trHeight w:val="154"/>
        </w:trPr>
        <w:tc>
          <w:tcPr>
            <w:tcW w:w="4140" w:type="dxa"/>
            <w:vAlign w:val="bottom"/>
            <w:gridSpan w:val="2"/>
          </w:tcPr>
          <w:p>
            <w:pPr>
              <w:spacing w:after="0"/>
              <w:rPr>
                <w:sz w:val="20"/>
                <w:szCs w:val="20"/>
                <w:color w:val="auto"/>
              </w:rPr>
            </w:pPr>
            <w:r>
              <w:rPr>
                <w:rFonts w:ascii="Courier New" w:cs="Courier New" w:eastAsia="Courier New" w:hAnsi="Courier New"/>
                <w:sz w:val="13"/>
                <w:szCs w:val="13"/>
                <w:color w:val="auto"/>
              </w:rPr>
              <w:t>Total stockholders' equity</w:t>
            </w: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73,279</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77,908</w:t>
            </w:r>
          </w:p>
        </w:tc>
      </w:tr>
      <w:tr>
        <w:trPr>
          <w:trHeight w:val="154"/>
        </w:trPr>
        <w:tc>
          <w:tcPr>
            <w:tcW w:w="1400" w:type="dxa"/>
            <w:vAlign w:val="bottom"/>
          </w:tcPr>
          <w:p>
            <w:pPr>
              <w:spacing w:after="0"/>
              <w:rPr>
                <w:sz w:val="20"/>
                <w:szCs w:val="20"/>
                <w:color w:val="auto"/>
              </w:rPr>
            </w:pPr>
            <w:r>
              <w:rPr>
                <w:rFonts w:ascii="Courier New" w:cs="Courier New" w:eastAsia="Courier New" w:hAnsi="Courier New"/>
                <w:sz w:val="13"/>
                <w:szCs w:val="13"/>
                <w:color w:val="auto"/>
              </w:rPr>
              <w:t>Total liabilities</w:t>
            </w:r>
          </w:p>
        </w:tc>
        <w:tc>
          <w:tcPr>
            <w:tcW w:w="2740" w:type="dxa"/>
            <w:vAlign w:val="bottom"/>
          </w:tcPr>
          <w:p>
            <w:pPr>
              <w:ind w:left="40"/>
              <w:spacing w:after="0"/>
              <w:rPr>
                <w:sz w:val="20"/>
                <w:szCs w:val="20"/>
                <w:color w:val="auto"/>
              </w:rPr>
            </w:pPr>
            <w:r>
              <w:rPr>
                <w:rFonts w:ascii="Courier New" w:cs="Courier New" w:eastAsia="Courier New" w:hAnsi="Courier New"/>
                <w:sz w:val="13"/>
                <w:szCs w:val="13"/>
                <w:color w:val="auto"/>
              </w:rPr>
              <w:t>and stockholders' equity</w:t>
            </w:r>
          </w:p>
        </w:tc>
        <w:tc>
          <w:tcPr>
            <w:tcW w:w="20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198,007</w:t>
            </w:r>
          </w:p>
        </w:tc>
        <w:tc>
          <w:tcPr>
            <w:tcW w:w="1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195,215</w:t>
            </w:r>
          </w:p>
        </w:tc>
      </w:tr>
    </w:tbl>
    <w:p>
      <w:pPr>
        <w:spacing w:after="0" w:line="200" w:lineRule="exact"/>
        <w:rPr>
          <w:sz w:val="20"/>
          <w:szCs w:val="20"/>
          <w:color w:val="auto"/>
        </w:rPr>
      </w:pPr>
    </w:p>
    <w:p>
      <w:pPr>
        <w:spacing w:after="0" w:line="268"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b w:val="1"/>
          <w:bCs w:val="1"/>
          <w:color w:val="auto"/>
        </w:rPr>
        <w:t>Selected Consolidated Balance Sheet Data</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3"/>
          <w:szCs w:val="13"/>
          <w:b w:val="1"/>
          <w:bCs w:val="1"/>
          <w:color w:val="auto"/>
        </w:rPr>
        <w:t>December 31, 2001</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b w:val="1"/>
          <w:bCs w:val="1"/>
          <w:color w:val="auto"/>
        </w:rPr>
        <w:t>(In thousands)</w:t>
      </w:r>
    </w:p>
    <w:p>
      <w:pPr>
        <w:spacing w:after="0" w:line="7"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As Previously</w:t>
      </w:r>
    </w:p>
    <w:p>
      <w:pPr>
        <w:sectPr>
          <w:pgSz w:w="11900" w:h="16838" w:orient="portrait"/>
          <w:cols w:equalWidth="0" w:num="1">
            <w:col w:w="10580"/>
          </w:cols>
          <w:pgMar w:left="220" w:top="141" w:right="109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8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Reported</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18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4800" w:type="dxa"/>
            <w:vAlign w:val="bottom"/>
          </w:tcPr>
          <w:p>
            <w:pPr>
              <w:ind w:left="320"/>
              <w:spacing w:after="0"/>
              <w:rPr>
                <w:sz w:val="20"/>
                <w:szCs w:val="20"/>
                <w:color w:val="auto"/>
              </w:rPr>
            </w:pPr>
            <w:r>
              <w:rPr>
                <w:rFonts w:ascii="Courier New" w:cs="Courier New" w:eastAsia="Courier New" w:hAnsi="Courier New"/>
                <w:sz w:val="13"/>
                <w:szCs w:val="13"/>
                <w:color w:val="auto"/>
              </w:rPr>
              <w:t>---------------</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Goodwill</w:t>
            </w:r>
          </w:p>
        </w:tc>
        <w:tc>
          <w:tcPr>
            <w:tcW w:w="3100" w:type="dxa"/>
            <w:vAlign w:val="bottom"/>
          </w:tcPr>
          <w:p>
            <w:pPr>
              <w:spacing w:after="0"/>
              <w:rPr>
                <w:sz w:val="13"/>
                <w:szCs w:val="13"/>
                <w:color w:val="auto"/>
              </w:rPr>
            </w:pP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$ 40,282</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$ 36,624</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Total assets</w:t>
            </w:r>
          </w:p>
        </w:tc>
        <w:tc>
          <w:tcPr>
            <w:tcW w:w="3100" w:type="dxa"/>
            <w:vAlign w:val="bottom"/>
          </w:tcPr>
          <w:p>
            <w:pPr>
              <w:spacing w:after="0"/>
              <w:rPr>
                <w:sz w:val="13"/>
                <w:szCs w:val="13"/>
                <w:color w:val="auto"/>
              </w:rPr>
            </w:pP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188,135</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184,477</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Total liabilities</w:t>
            </w:r>
          </w:p>
        </w:tc>
        <w:tc>
          <w:tcPr>
            <w:tcW w:w="3100" w:type="dxa"/>
            <w:vAlign w:val="bottom"/>
          </w:tcPr>
          <w:p>
            <w:pPr>
              <w:spacing w:after="0"/>
              <w:rPr>
                <w:sz w:val="13"/>
                <w:szCs w:val="13"/>
                <w:color w:val="auto"/>
              </w:rPr>
            </w:pP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126,096</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95,164</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Minority interest</w:t>
            </w:r>
          </w:p>
        </w:tc>
        <w:tc>
          <w:tcPr>
            <w:tcW w:w="3100" w:type="dxa"/>
            <w:vAlign w:val="bottom"/>
          </w:tcPr>
          <w:p>
            <w:pPr>
              <w:ind w:left="40"/>
              <w:spacing w:after="0"/>
              <w:rPr>
                <w:sz w:val="20"/>
                <w:szCs w:val="20"/>
                <w:color w:val="auto"/>
              </w:rPr>
            </w:pPr>
            <w:r>
              <w:rPr>
                <w:rFonts w:ascii="Courier New" w:cs="Courier New" w:eastAsia="Courier New" w:hAnsi="Courier New"/>
                <w:sz w:val="13"/>
                <w:szCs w:val="13"/>
                <w:color w:val="auto"/>
              </w:rPr>
              <w:t>in consolidated subsidiaries</w:t>
            </w: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30,932</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18,331</w:t>
            </w: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Additional paid-in capital</w:t>
            </w: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30,841</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40,111</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Retained earnings</w:t>
            </w:r>
          </w:p>
        </w:tc>
        <w:tc>
          <w:tcPr>
            <w:tcW w:w="3100" w:type="dxa"/>
            <w:vAlign w:val="bottom"/>
          </w:tcPr>
          <w:p>
            <w:pPr>
              <w:spacing w:after="0"/>
              <w:rPr>
                <w:sz w:val="13"/>
                <w:szCs w:val="13"/>
                <w:color w:val="auto"/>
              </w:rPr>
            </w:pP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36,139</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36,139</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Accumulated other</w:t>
            </w:r>
          </w:p>
        </w:tc>
        <w:tc>
          <w:tcPr>
            <w:tcW w:w="3100" w:type="dxa"/>
            <w:vAlign w:val="bottom"/>
          </w:tcPr>
          <w:p>
            <w:pPr>
              <w:ind w:left="40"/>
              <w:spacing w:after="0"/>
              <w:rPr>
                <w:sz w:val="20"/>
                <w:szCs w:val="20"/>
                <w:color w:val="auto"/>
              </w:rPr>
            </w:pPr>
            <w:r>
              <w:rPr>
                <w:rFonts w:ascii="Courier New" w:cs="Courier New" w:eastAsia="Courier New" w:hAnsi="Courier New"/>
                <w:sz w:val="13"/>
                <w:szCs w:val="13"/>
                <w:color w:val="auto"/>
              </w:rPr>
              <w:t>comprehensive loss</w:t>
            </w: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(5,095)</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(5,422)</w:t>
            </w: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Total stockholders' equity</w:t>
            </w: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62,039</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70,982</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Total liabilities</w:t>
            </w:r>
          </w:p>
        </w:tc>
        <w:tc>
          <w:tcPr>
            <w:tcW w:w="3100" w:type="dxa"/>
            <w:vAlign w:val="bottom"/>
          </w:tcPr>
          <w:p>
            <w:pPr>
              <w:ind w:left="40"/>
              <w:spacing w:after="0"/>
              <w:rPr>
                <w:sz w:val="20"/>
                <w:szCs w:val="20"/>
                <w:color w:val="auto"/>
              </w:rPr>
            </w:pPr>
            <w:r>
              <w:rPr>
                <w:rFonts w:ascii="Courier New" w:cs="Courier New" w:eastAsia="Courier New" w:hAnsi="Courier New"/>
                <w:sz w:val="13"/>
                <w:szCs w:val="13"/>
                <w:color w:val="auto"/>
              </w:rPr>
              <w:t>and stockholders' equity</w:t>
            </w: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188,135</w:t>
            </w:r>
          </w:p>
        </w:tc>
        <w:tc>
          <w:tcPr>
            <w:tcW w:w="4800" w:type="dxa"/>
            <w:vAlign w:val="bottom"/>
          </w:tcPr>
          <w:p>
            <w:pPr>
              <w:jc w:val="right"/>
              <w:ind w:right="3293"/>
              <w:spacing w:after="0"/>
              <w:rPr>
                <w:sz w:val="20"/>
                <w:szCs w:val="20"/>
                <w:color w:val="auto"/>
              </w:rPr>
            </w:pPr>
            <w:r>
              <w:rPr>
                <w:rFonts w:ascii="Courier New" w:cs="Courier New" w:eastAsia="Courier New" w:hAnsi="Courier New"/>
                <w:sz w:val="13"/>
                <w:szCs w:val="13"/>
                <w:color w:val="auto"/>
              </w:rPr>
              <w:t>184,477</w:t>
            </w:r>
          </w:p>
        </w:tc>
      </w:tr>
      <w:tr>
        <w:trPr>
          <w:trHeight w:val="463"/>
        </w:trPr>
        <w:tc>
          <w:tcPr>
            <w:tcW w:w="1880" w:type="dxa"/>
            <w:vAlign w:val="bottom"/>
          </w:tcPr>
          <w:p>
            <w:pPr>
              <w:spacing w:after="0"/>
              <w:rPr>
                <w:sz w:val="24"/>
                <w:szCs w:val="24"/>
                <w:color w:val="auto"/>
              </w:rPr>
            </w:pPr>
          </w:p>
        </w:tc>
        <w:tc>
          <w:tcPr>
            <w:tcW w:w="4780" w:type="dxa"/>
            <w:vAlign w:val="bottom"/>
            <w:gridSpan w:val="2"/>
          </w:tcPr>
          <w:p>
            <w:pPr>
              <w:jc w:val="right"/>
              <w:ind w:right="813"/>
              <w:spacing w:after="0"/>
              <w:rPr>
                <w:sz w:val="20"/>
                <w:szCs w:val="20"/>
                <w:color w:val="auto"/>
              </w:rPr>
            </w:pPr>
            <w:r>
              <w:rPr>
                <w:rFonts w:ascii="Courier New" w:cs="Courier New" w:eastAsia="Courier New" w:hAnsi="Courier New"/>
                <w:sz w:val="13"/>
                <w:szCs w:val="13"/>
                <w:b w:val="1"/>
                <w:bCs w:val="1"/>
                <w:color w:val="auto"/>
              </w:rPr>
              <w:t>Selected Consolidated Balance Sheet Data</w:t>
            </w:r>
          </w:p>
        </w:tc>
        <w:tc>
          <w:tcPr>
            <w:tcW w:w="4800" w:type="dxa"/>
            <w:vAlign w:val="bottom"/>
          </w:tcPr>
          <w:p>
            <w:pPr>
              <w:spacing w:after="0"/>
              <w:rPr>
                <w:sz w:val="24"/>
                <w:szCs w:val="24"/>
                <w:color w:val="auto"/>
              </w:rPr>
            </w:pPr>
          </w:p>
        </w:tc>
      </w:tr>
      <w:tr>
        <w:trPr>
          <w:trHeight w:val="154"/>
        </w:trPr>
        <w:tc>
          <w:tcPr>
            <w:tcW w:w="1880" w:type="dxa"/>
            <w:vAlign w:val="bottom"/>
          </w:tcPr>
          <w:p>
            <w:pPr>
              <w:spacing w:after="0"/>
              <w:rPr>
                <w:sz w:val="13"/>
                <w:szCs w:val="13"/>
                <w:color w:val="auto"/>
              </w:rPr>
            </w:pPr>
          </w:p>
        </w:tc>
        <w:tc>
          <w:tcPr>
            <w:tcW w:w="3100" w:type="dxa"/>
            <w:vAlign w:val="bottom"/>
          </w:tcPr>
          <w:p>
            <w:pPr>
              <w:ind w:left="1660"/>
              <w:spacing w:after="0"/>
              <w:rPr>
                <w:sz w:val="20"/>
                <w:szCs w:val="20"/>
                <w:color w:val="auto"/>
              </w:rPr>
            </w:pPr>
            <w:r>
              <w:rPr>
                <w:rFonts w:ascii="Courier New" w:cs="Courier New" w:eastAsia="Courier New" w:hAnsi="Courier New"/>
                <w:sz w:val="13"/>
                <w:szCs w:val="13"/>
                <w:b w:val="1"/>
                <w:bCs w:val="1"/>
                <w:color w:val="auto"/>
              </w:rPr>
              <w:t>December 31, 2000</w:t>
            </w:r>
          </w:p>
        </w:tc>
        <w:tc>
          <w:tcPr>
            <w:tcW w:w="168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154"/>
        </w:trPr>
        <w:tc>
          <w:tcPr>
            <w:tcW w:w="1880" w:type="dxa"/>
            <w:vAlign w:val="bottom"/>
          </w:tcPr>
          <w:p>
            <w:pPr>
              <w:spacing w:after="0"/>
              <w:rPr>
                <w:sz w:val="13"/>
                <w:szCs w:val="13"/>
                <w:color w:val="auto"/>
              </w:rPr>
            </w:pPr>
          </w:p>
        </w:tc>
        <w:tc>
          <w:tcPr>
            <w:tcW w:w="3100" w:type="dxa"/>
            <w:vAlign w:val="bottom"/>
          </w:tcPr>
          <w:p>
            <w:pPr>
              <w:ind w:left="1740"/>
              <w:spacing w:after="0"/>
              <w:rPr>
                <w:sz w:val="20"/>
                <w:szCs w:val="20"/>
                <w:color w:val="auto"/>
              </w:rPr>
            </w:pPr>
            <w:r>
              <w:rPr>
                <w:rFonts w:ascii="Courier New" w:cs="Courier New" w:eastAsia="Courier New" w:hAnsi="Courier New"/>
                <w:sz w:val="13"/>
                <w:szCs w:val="13"/>
                <w:b w:val="1"/>
                <w:bCs w:val="1"/>
                <w:color w:val="auto"/>
              </w:rPr>
              <w:t>(In thousands)</w:t>
            </w:r>
          </w:p>
        </w:tc>
        <w:tc>
          <w:tcPr>
            <w:tcW w:w="168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308"/>
        </w:trPr>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8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As Previously</w:t>
            </w:r>
          </w:p>
        </w:tc>
        <w:tc>
          <w:tcPr>
            <w:tcW w:w="4800" w:type="dxa"/>
            <w:vAlign w:val="bottom"/>
          </w:tcPr>
          <w:p>
            <w:pPr>
              <w:spacing w:after="0"/>
              <w:rPr>
                <w:sz w:val="24"/>
                <w:szCs w:val="24"/>
                <w:color w:val="auto"/>
              </w:rPr>
            </w:pPr>
          </w:p>
        </w:tc>
      </w:tr>
      <w:tr>
        <w:trPr>
          <w:trHeight w:val="154"/>
        </w:trPr>
        <w:tc>
          <w:tcPr>
            <w:tcW w:w="18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8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Reported</w:t>
            </w:r>
          </w:p>
        </w:tc>
        <w:tc>
          <w:tcPr>
            <w:tcW w:w="4800" w:type="dxa"/>
            <w:vAlign w:val="bottom"/>
          </w:tcPr>
          <w:p>
            <w:pPr>
              <w:ind w:left="320"/>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18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4800" w:type="dxa"/>
            <w:vAlign w:val="bottom"/>
          </w:tcPr>
          <w:p>
            <w:pPr>
              <w:jc w:val="right"/>
              <w:ind w:right="3373"/>
              <w:spacing w:after="0"/>
              <w:rPr>
                <w:sz w:val="20"/>
                <w:szCs w:val="20"/>
                <w:color w:val="auto"/>
              </w:rPr>
            </w:pPr>
            <w:r>
              <w:rPr>
                <w:rFonts w:ascii="Courier New" w:cs="Courier New" w:eastAsia="Courier New" w:hAnsi="Courier New"/>
                <w:sz w:val="13"/>
                <w:szCs w:val="13"/>
                <w:color w:val="auto"/>
              </w:rPr>
              <w:t>--------------</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Goodwill</w:t>
            </w:r>
          </w:p>
        </w:tc>
        <w:tc>
          <w:tcPr>
            <w:tcW w:w="3100" w:type="dxa"/>
            <w:vAlign w:val="bottom"/>
          </w:tcPr>
          <w:p>
            <w:pPr>
              <w:spacing w:after="0"/>
              <w:rPr>
                <w:sz w:val="13"/>
                <w:szCs w:val="13"/>
                <w:color w:val="auto"/>
              </w:rPr>
            </w:pP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$ 27,865</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$ 24,008</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Total assets</w:t>
            </w:r>
          </w:p>
        </w:tc>
        <w:tc>
          <w:tcPr>
            <w:tcW w:w="3100" w:type="dxa"/>
            <w:vAlign w:val="bottom"/>
          </w:tcPr>
          <w:p>
            <w:pPr>
              <w:spacing w:after="0"/>
              <w:rPr>
                <w:sz w:val="13"/>
                <w:szCs w:val="13"/>
                <w:color w:val="auto"/>
              </w:rPr>
            </w:pP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187,808</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183,951</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Total liabilities</w:t>
            </w:r>
          </w:p>
        </w:tc>
        <w:tc>
          <w:tcPr>
            <w:tcW w:w="3100" w:type="dxa"/>
            <w:vAlign w:val="bottom"/>
          </w:tcPr>
          <w:p>
            <w:pPr>
              <w:spacing w:after="0"/>
              <w:rPr>
                <w:sz w:val="13"/>
                <w:szCs w:val="13"/>
                <w:color w:val="auto"/>
              </w:rPr>
            </w:pP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122,562</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92,305</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Minority interest</w:t>
            </w:r>
          </w:p>
        </w:tc>
        <w:tc>
          <w:tcPr>
            <w:tcW w:w="3100" w:type="dxa"/>
            <w:vAlign w:val="bottom"/>
          </w:tcPr>
          <w:p>
            <w:pPr>
              <w:ind w:left="40"/>
              <w:spacing w:after="0"/>
              <w:rPr>
                <w:sz w:val="20"/>
                <w:szCs w:val="20"/>
                <w:color w:val="auto"/>
              </w:rPr>
            </w:pPr>
            <w:r>
              <w:rPr>
                <w:rFonts w:ascii="Courier New" w:cs="Courier New" w:eastAsia="Courier New" w:hAnsi="Courier New"/>
                <w:sz w:val="13"/>
                <w:szCs w:val="13"/>
                <w:color w:val="auto"/>
              </w:rPr>
              <w:t>in consolidated subsidiaries</w:t>
            </w: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30,257</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16,971</w:t>
            </w: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Additional paid-in capital</w:t>
            </w: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30,414</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39,684</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Retained earnings</w:t>
            </w:r>
          </w:p>
        </w:tc>
        <w:tc>
          <w:tcPr>
            <w:tcW w:w="3100" w:type="dxa"/>
            <w:vAlign w:val="bottom"/>
          </w:tcPr>
          <w:p>
            <w:pPr>
              <w:spacing w:after="0"/>
              <w:rPr>
                <w:sz w:val="13"/>
                <w:szCs w:val="13"/>
                <w:color w:val="auto"/>
              </w:rPr>
            </w:pP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36,364</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36,364</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Accumulated other</w:t>
            </w:r>
          </w:p>
        </w:tc>
        <w:tc>
          <w:tcPr>
            <w:tcW w:w="3100" w:type="dxa"/>
            <w:vAlign w:val="bottom"/>
          </w:tcPr>
          <w:p>
            <w:pPr>
              <w:ind w:left="40"/>
              <w:spacing w:after="0"/>
              <w:rPr>
                <w:sz w:val="20"/>
                <w:szCs w:val="20"/>
                <w:color w:val="auto"/>
              </w:rPr>
            </w:pPr>
            <w:r>
              <w:rPr>
                <w:rFonts w:ascii="Courier New" w:cs="Courier New" w:eastAsia="Courier New" w:hAnsi="Courier New"/>
                <w:sz w:val="13"/>
                <w:szCs w:val="13"/>
                <w:color w:val="auto"/>
              </w:rPr>
              <w:t>comprehensive loss</w:t>
            </w: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(1,685)</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(1,526)</w:t>
            </w:r>
          </w:p>
        </w:tc>
      </w:tr>
      <w:tr>
        <w:trPr>
          <w:trHeight w:val="154"/>
        </w:trPr>
        <w:tc>
          <w:tcPr>
            <w:tcW w:w="498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Total stockholders' equity</w:t>
            </w: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65,246</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74,675</w:t>
            </w:r>
          </w:p>
        </w:tc>
      </w:tr>
      <w:tr>
        <w:trPr>
          <w:trHeight w:val="154"/>
        </w:trPr>
        <w:tc>
          <w:tcPr>
            <w:tcW w:w="1880" w:type="dxa"/>
            <w:vAlign w:val="bottom"/>
          </w:tcPr>
          <w:p>
            <w:pPr>
              <w:ind w:left="480"/>
              <w:spacing w:after="0"/>
              <w:rPr>
                <w:sz w:val="20"/>
                <w:szCs w:val="20"/>
                <w:color w:val="auto"/>
              </w:rPr>
            </w:pPr>
            <w:r>
              <w:rPr>
                <w:rFonts w:ascii="Courier New" w:cs="Courier New" w:eastAsia="Courier New" w:hAnsi="Courier New"/>
                <w:sz w:val="13"/>
                <w:szCs w:val="13"/>
                <w:color w:val="auto"/>
              </w:rPr>
              <w:t>Total liabilities</w:t>
            </w:r>
          </w:p>
        </w:tc>
        <w:tc>
          <w:tcPr>
            <w:tcW w:w="3100" w:type="dxa"/>
            <w:vAlign w:val="bottom"/>
          </w:tcPr>
          <w:p>
            <w:pPr>
              <w:ind w:left="40"/>
              <w:spacing w:after="0"/>
              <w:rPr>
                <w:sz w:val="20"/>
                <w:szCs w:val="20"/>
                <w:color w:val="auto"/>
              </w:rPr>
            </w:pPr>
            <w:r>
              <w:rPr>
                <w:rFonts w:ascii="Courier New" w:cs="Courier New" w:eastAsia="Courier New" w:hAnsi="Courier New"/>
                <w:sz w:val="13"/>
                <w:szCs w:val="13"/>
                <w:color w:val="auto"/>
              </w:rPr>
              <w:t>and stockholders' equity</w:t>
            </w:r>
          </w:p>
        </w:tc>
        <w:tc>
          <w:tcPr>
            <w:tcW w:w="1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187,808</w:t>
            </w:r>
          </w:p>
        </w:tc>
        <w:tc>
          <w:tcPr>
            <w:tcW w:w="4800" w:type="dxa"/>
            <w:vAlign w:val="bottom"/>
          </w:tcPr>
          <w:p>
            <w:pPr>
              <w:jc w:val="right"/>
              <w:ind w:right="3453"/>
              <w:spacing w:after="0"/>
              <w:rPr>
                <w:sz w:val="20"/>
                <w:szCs w:val="20"/>
                <w:color w:val="auto"/>
              </w:rPr>
            </w:pPr>
            <w:r>
              <w:rPr>
                <w:rFonts w:ascii="Courier New" w:cs="Courier New" w:eastAsia="Courier New" w:hAnsi="Courier New"/>
                <w:sz w:val="13"/>
                <w:szCs w:val="13"/>
                <w:color w:val="auto"/>
              </w:rPr>
              <w:t>183,951</w:t>
            </w:r>
          </w:p>
        </w:tc>
      </w:tr>
      <w:tr>
        <w:trPr>
          <w:trHeight w:val="617"/>
        </w:trPr>
        <w:tc>
          <w:tcPr>
            <w:tcW w:w="1880" w:type="dxa"/>
            <w:vAlign w:val="bottom"/>
          </w:tcPr>
          <w:p>
            <w:pPr>
              <w:spacing w:after="0"/>
              <w:rPr>
                <w:sz w:val="24"/>
                <w:szCs w:val="24"/>
                <w:color w:val="auto"/>
              </w:rPr>
            </w:pPr>
          </w:p>
        </w:tc>
        <w:tc>
          <w:tcPr>
            <w:tcW w:w="3100" w:type="dxa"/>
            <w:vAlign w:val="bottom"/>
          </w:tcPr>
          <w:p>
            <w:pPr>
              <w:ind w:left="1240"/>
              <w:spacing w:after="0"/>
              <w:rPr>
                <w:sz w:val="20"/>
                <w:szCs w:val="20"/>
                <w:color w:val="auto"/>
              </w:rPr>
            </w:pPr>
            <w:r>
              <w:rPr>
                <w:rFonts w:ascii="Courier New" w:cs="Courier New" w:eastAsia="Courier New" w:hAnsi="Courier New"/>
                <w:sz w:val="13"/>
                <w:szCs w:val="13"/>
                <w:color w:val="auto"/>
              </w:rPr>
              <w:t>34</w:t>
            </w:r>
          </w:p>
        </w:tc>
        <w:tc>
          <w:tcPr>
            <w:tcW w:w="16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2"/>
        </w:trPr>
        <w:tc>
          <w:tcPr>
            <w:tcW w:w="18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-25400</wp:posOffset>
            </wp:positionV>
            <wp:extent cx="3175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color w:val="auto"/>
        </w:rPr>
        <w:t>Effect on selected Consolidated Statement of Income and Comprehensive</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color w:val="auto"/>
        </w:rPr>
        <w:t>Income Data for the twelve months ended December 31, 2002, 2001 and</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b w:val="1"/>
          <w:bCs w:val="1"/>
          <w:color w:val="auto"/>
        </w:rPr>
        <w:t>2000</w:t>
      </w:r>
    </w:p>
    <w:p>
      <w:pPr>
        <w:spacing w:after="0" w:line="161"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3"/>
          <w:szCs w:val="13"/>
          <w:b w:val="1"/>
          <w:bCs w:val="1"/>
          <w:color w:val="auto"/>
        </w:rPr>
        <w:t>Selected Consolidated Statement of Income and Comprehensive Income Data</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3"/>
          <w:szCs w:val="13"/>
          <w:b w:val="1"/>
          <w:bCs w:val="1"/>
          <w:color w:val="auto"/>
        </w:rPr>
        <w:t>Year ended December 31, 2002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00" w:type="dxa"/>
            <w:vAlign w:val="bottom"/>
            <w:gridSpan w:val="2"/>
          </w:tcPr>
          <w:p>
            <w:pPr>
              <w:jc w:val="right"/>
              <w:ind w:right="973"/>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308"/>
        </w:trPr>
        <w:tc>
          <w:tcPr>
            <w:tcW w:w="3340" w:type="dxa"/>
            <w:vAlign w:val="bottom"/>
          </w:tcPr>
          <w:p>
            <w:pPr>
              <w:spacing w:after="0"/>
              <w:rPr>
                <w:sz w:val="24"/>
                <w:szCs w:val="24"/>
                <w:color w:val="auto"/>
              </w:rPr>
            </w:pPr>
          </w:p>
        </w:tc>
        <w:tc>
          <w:tcPr>
            <w:tcW w:w="31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As Previously</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Reported</w:t>
            </w:r>
          </w:p>
        </w:tc>
        <w:tc>
          <w:tcPr>
            <w:tcW w:w="160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3340" w:type="dxa"/>
            <w:vAlign w:val="bottom"/>
          </w:tcPr>
          <w:p>
            <w:pPr>
              <w:spacing w:after="0"/>
              <w:rPr>
                <w:sz w:val="13"/>
                <w:szCs w:val="13"/>
                <w:color w:val="auto"/>
              </w:rPr>
            </w:pPr>
          </w:p>
        </w:tc>
        <w:tc>
          <w:tcPr>
            <w:tcW w:w="3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Gain on purchase of minority interest</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$(5,904)</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Income before provision for income taxes</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22,899</w:t>
            </w:r>
          </w:p>
        </w:tc>
        <w:tc>
          <w:tcPr>
            <w:tcW w:w="16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16,995</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13,664</w:t>
            </w:r>
          </w:p>
        </w:tc>
        <w:tc>
          <w:tcPr>
            <w:tcW w:w="112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7,760</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Foreign currency translation</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2,173</w:t>
            </w:r>
          </w:p>
        </w:tc>
        <w:tc>
          <w:tcPr>
            <w:tcW w:w="112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3,763</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Comprehensive income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15,809</w:t>
            </w:r>
          </w:p>
        </w:tc>
        <w:tc>
          <w:tcPr>
            <w:tcW w:w="16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11,495</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Basic income per share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0.89</w:t>
            </w:r>
          </w:p>
        </w:tc>
        <w:tc>
          <w:tcPr>
            <w:tcW w:w="112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0.51</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Diluted income per share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0.87</w:t>
            </w:r>
          </w:p>
        </w:tc>
        <w:tc>
          <w:tcPr>
            <w:tcW w:w="112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0.49</w:t>
            </w:r>
          </w:p>
        </w:tc>
      </w:tr>
      <w:tr>
        <w:trPr>
          <w:trHeight w:val="308"/>
        </w:trPr>
        <w:tc>
          <w:tcPr>
            <w:tcW w:w="7620" w:type="dxa"/>
            <w:vAlign w:val="bottom"/>
            <w:gridSpan w:val="3"/>
          </w:tcPr>
          <w:p>
            <w:pPr>
              <w:ind w:left="1120"/>
              <w:spacing w:after="0"/>
              <w:rPr>
                <w:sz w:val="20"/>
                <w:szCs w:val="20"/>
                <w:color w:val="auto"/>
              </w:rPr>
            </w:pPr>
            <w:r>
              <w:rPr>
                <w:rFonts w:ascii="Courier New" w:cs="Courier New" w:eastAsia="Courier New" w:hAnsi="Courier New"/>
                <w:sz w:val="13"/>
                <w:szCs w:val="13"/>
                <w:b w:val="1"/>
                <w:bCs w:val="1"/>
                <w:color w:val="auto"/>
              </w:rPr>
              <w:t>Selected Consolidated Statement of Income and Comprehensive Income Data</w:t>
            </w:r>
          </w:p>
        </w:tc>
        <w:tc>
          <w:tcPr>
            <w:tcW w:w="480" w:type="dxa"/>
            <w:vAlign w:val="bottom"/>
          </w:tcPr>
          <w:p>
            <w:pPr>
              <w:spacing w:after="0"/>
              <w:rPr>
                <w:sz w:val="24"/>
                <w:szCs w:val="24"/>
                <w:color w:val="auto"/>
              </w:rPr>
            </w:pPr>
          </w:p>
        </w:tc>
      </w:tr>
      <w:tr>
        <w:trPr>
          <w:trHeight w:val="154"/>
        </w:trPr>
        <w:tc>
          <w:tcPr>
            <w:tcW w:w="6500" w:type="dxa"/>
            <w:vAlign w:val="bottom"/>
            <w:gridSpan w:val="2"/>
          </w:tcPr>
          <w:p>
            <w:pPr>
              <w:jc w:val="center"/>
              <w:ind w:left="1453"/>
              <w:spacing w:after="0"/>
              <w:rPr>
                <w:sz w:val="20"/>
                <w:szCs w:val="20"/>
                <w:color w:val="auto"/>
              </w:rPr>
            </w:pPr>
            <w:r>
              <w:rPr>
                <w:rFonts w:ascii="Courier New" w:cs="Courier New" w:eastAsia="Courier New" w:hAnsi="Courier New"/>
                <w:sz w:val="13"/>
                <w:szCs w:val="13"/>
                <w:b w:val="1"/>
                <w:bCs w:val="1"/>
                <w:color w:val="auto"/>
              </w:rPr>
              <w:t>Year ended December 31, 2001</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center"/>
              <w:ind w:right="1733"/>
              <w:spacing w:after="0"/>
              <w:rPr>
                <w:sz w:val="20"/>
                <w:szCs w:val="20"/>
                <w:color w:val="auto"/>
              </w:rPr>
            </w:pPr>
            <w:r>
              <w:rPr>
                <w:rFonts w:ascii="Courier New" w:cs="Courier New" w:eastAsia="Courier New" w:hAnsi="Courier New"/>
                <w:sz w:val="13"/>
                <w:szCs w:val="13"/>
                <w:b w:val="1"/>
                <w:bCs w:val="1"/>
                <w:color w:val="auto"/>
              </w:rPr>
              <w:t>(In thousands)</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08"/>
        </w:trPr>
        <w:tc>
          <w:tcPr>
            <w:tcW w:w="3340" w:type="dxa"/>
            <w:vAlign w:val="bottom"/>
          </w:tcPr>
          <w:p>
            <w:pPr>
              <w:spacing w:after="0"/>
              <w:rPr>
                <w:sz w:val="24"/>
                <w:szCs w:val="24"/>
                <w:color w:val="auto"/>
              </w:rPr>
            </w:pPr>
          </w:p>
        </w:tc>
        <w:tc>
          <w:tcPr>
            <w:tcW w:w="31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As Previously</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Reported</w:t>
            </w:r>
          </w:p>
        </w:tc>
        <w:tc>
          <w:tcPr>
            <w:tcW w:w="160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3340" w:type="dxa"/>
            <w:vAlign w:val="bottom"/>
          </w:tcPr>
          <w:p>
            <w:pPr>
              <w:spacing w:after="0"/>
              <w:rPr>
                <w:sz w:val="13"/>
                <w:szCs w:val="13"/>
                <w:color w:val="auto"/>
              </w:rPr>
            </w:pPr>
          </w:p>
        </w:tc>
        <w:tc>
          <w:tcPr>
            <w:tcW w:w="3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Foreign currency translation</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$(3,357)</w:t>
            </w:r>
          </w:p>
        </w:tc>
        <w:tc>
          <w:tcPr>
            <w:tcW w:w="16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$(3,843)</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Comprehensive income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1,252</w:t>
            </w:r>
          </w:p>
        </w:tc>
        <w:tc>
          <w:tcPr>
            <w:tcW w:w="112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766</w:t>
            </w:r>
          </w:p>
        </w:tc>
      </w:tr>
      <w:tr>
        <w:trPr>
          <w:trHeight w:val="308"/>
        </w:trPr>
        <w:tc>
          <w:tcPr>
            <w:tcW w:w="7620" w:type="dxa"/>
            <w:vAlign w:val="bottom"/>
            <w:gridSpan w:val="3"/>
          </w:tcPr>
          <w:p>
            <w:pPr>
              <w:ind w:left="1120"/>
              <w:spacing w:after="0"/>
              <w:rPr>
                <w:sz w:val="20"/>
                <w:szCs w:val="20"/>
                <w:color w:val="auto"/>
              </w:rPr>
            </w:pPr>
            <w:r>
              <w:rPr>
                <w:rFonts w:ascii="Courier New" w:cs="Courier New" w:eastAsia="Courier New" w:hAnsi="Courier New"/>
                <w:sz w:val="13"/>
                <w:szCs w:val="13"/>
                <w:b w:val="1"/>
                <w:bCs w:val="1"/>
                <w:color w:val="auto"/>
              </w:rPr>
              <w:t>Selected Consolidated Statement of Income and Comprehensive Income Data</w:t>
            </w:r>
          </w:p>
        </w:tc>
        <w:tc>
          <w:tcPr>
            <w:tcW w:w="480" w:type="dxa"/>
            <w:vAlign w:val="bottom"/>
          </w:tcPr>
          <w:p>
            <w:pPr>
              <w:spacing w:after="0"/>
              <w:rPr>
                <w:sz w:val="24"/>
                <w:szCs w:val="24"/>
                <w:color w:val="auto"/>
              </w:rPr>
            </w:pPr>
          </w:p>
        </w:tc>
      </w:tr>
      <w:tr>
        <w:trPr>
          <w:trHeight w:val="154"/>
        </w:trPr>
        <w:tc>
          <w:tcPr>
            <w:tcW w:w="6500" w:type="dxa"/>
            <w:vAlign w:val="bottom"/>
            <w:gridSpan w:val="2"/>
          </w:tcPr>
          <w:p>
            <w:pPr>
              <w:jc w:val="center"/>
              <w:ind w:left="1453"/>
              <w:spacing w:after="0"/>
              <w:rPr>
                <w:sz w:val="20"/>
                <w:szCs w:val="20"/>
                <w:color w:val="auto"/>
              </w:rPr>
            </w:pPr>
            <w:r>
              <w:rPr>
                <w:rFonts w:ascii="Courier New" w:cs="Courier New" w:eastAsia="Courier New" w:hAnsi="Courier New"/>
                <w:sz w:val="13"/>
                <w:szCs w:val="13"/>
                <w:b w:val="1"/>
                <w:bCs w:val="1"/>
                <w:color w:val="auto"/>
              </w:rPr>
              <w:t>Year ended December 31, 2000</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center"/>
              <w:ind w:right="1733"/>
              <w:spacing w:after="0"/>
              <w:rPr>
                <w:sz w:val="20"/>
                <w:szCs w:val="20"/>
                <w:color w:val="auto"/>
              </w:rPr>
            </w:pPr>
            <w:r>
              <w:rPr>
                <w:rFonts w:ascii="Courier New" w:cs="Courier New" w:eastAsia="Courier New" w:hAnsi="Courier New"/>
                <w:sz w:val="13"/>
                <w:szCs w:val="13"/>
                <w:b w:val="1"/>
                <w:bCs w:val="1"/>
                <w:color w:val="auto"/>
              </w:rPr>
              <w:t>(In thousands)</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08"/>
        </w:trPr>
        <w:tc>
          <w:tcPr>
            <w:tcW w:w="3340" w:type="dxa"/>
            <w:vAlign w:val="bottom"/>
          </w:tcPr>
          <w:p>
            <w:pPr>
              <w:spacing w:after="0"/>
              <w:rPr>
                <w:sz w:val="24"/>
                <w:szCs w:val="24"/>
                <w:color w:val="auto"/>
              </w:rPr>
            </w:pPr>
          </w:p>
        </w:tc>
        <w:tc>
          <w:tcPr>
            <w:tcW w:w="31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As Previously</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Reported</w:t>
            </w:r>
          </w:p>
        </w:tc>
        <w:tc>
          <w:tcPr>
            <w:tcW w:w="160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3340" w:type="dxa"/>
            <w:vAlign w:val="bottom"/>
          </w:tcPr>
          <w:p>
            <w:pPr>
              <w:spacing w:after="0"/>
              <w:rPr>
                <w:sz w:val="13"/>
                <w:szCs w:val="13"/>
                <w:color w:val="auto"/>
              </w:rPr>
            </w:pPr>
          </w:p>
        </w:tc>
        <w:tc>
          <w:tcPr>
            <w:tcW w:w="3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Foreign currency translation</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(7)</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152</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Comprehensive income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9,980</w:t>
            </w:r>
          </w:p>
        </w:tc>
        <w:tc>
          <w:tcPr>
            <w:tcW w:w="16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10,139</w:t>
            </w:r>
          </w:p>
        </w:tc>
      </w:tr>
      <w:tr>
        <w:trPr>
          <w:trHeight w:val="308"/>
        </w:trPr>
        <w:tc>
          <w:tcPr>
            <w:tcW w:w="6500" w:type="dxa"/>
            <w:vAlign w:val="bottom"/>
            <w:gridSpan w:val="2"/>
          </w:tcPr>
          <w:p>
            <w:pPr>
              <w:spacing w:after="0"/>
              <w:rPr>
                <w:sz w:val="20"/>
                <w:szCs w:val="20"/>
                <w:color w:val="auto"/>
              </w:rPr>
            </w:pPr>
            <w:r>
              <w:rPr>
                <w:rFonts w:ascii="Courier New" w:cs="Courier New" w:eastAsia="Courier New" w:hAnsi="Courier New"/>
                <w:sz w:val="13"/>
                <w:szCs w:val="13"/>
                <w:b w:val="1"/>
                <w:bCs w:val="1"/>
                <w:color w:val="auto"/>
              </w:rPr>
              <w:t>Effect on selected Consolidated Statement of Cash Flows Data for the year ended</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b w:val="1"/>
                <w:bCs w:val="1"/>
                <w:color w:val="auto"/>
              </w:rPr>
              <w:t>December 31, 2002</w:t>
            </w:r>
          </w:p>
        </w:tc>
        <w:tc>
          <w:tcPr>
            <w:tcW w:w="3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08"/>
        </w:trPr>
        <w:tc>
          <w:tcPr>
            <w:tcW w:w="6500" w:type="dxa"/>
            <w:vAlign w:val="bottom"/>
            <w:gridSpan w:val="2"/>
          </w:tcPr>
          <w:p>
            <w:pPr>
              <w:jc w:val="center"/>
              <w:ind w:left="1453"/>
              <w:spacing w:after="0"/>
              <w:rPr>
                <w:sz w:val="20"/>
                <w:szCs w:val="20"/>
                <w:color w:val="auto"/>
              </w:rPr>
            </w:pPr>
            <w:r>
              <w:rPr>
                <w:rFonts w:ascii="Courier New" w:cs="Courier New" w:eastAsia="Courier New" w:hAnsi="Courier New"/>
                <w:sz w:val="13"/>
                <w:szCs w:val="13"/>
                <w:b w:val="1"/>
                <w:bCs w:val="1"/>
                <w:color w:val="auto"/>
              </w:rPr>
              <w:t>Selected Consolidated Statement of Cash Flows Data</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4"/>
        </w:trPr>
        <w:tc>
          <w:tcPr>
            <w:tcW w:w="6500" w:type="dxa"/>
            <w:vAlign w:val="bottom"/>
            <w:gridSpan w:val="2"/>
          </w:tcPr>
          <w:p>
            <w:pPr>
              <w:jc w:val="center"/>
              <w:ind w:left="1453"/>
              <w:spacing w:after="0"/>
              <w:rPr>
                <w:sz w:val="20"/>
                <w:szCs w:val="20"/>
                <w:color w:val="auto"/>
              </w:rPr>
            </w:pPr>
            <w:r>
              <w:rPr>
                <w:rFonts w:ascii="Courier New" w:cs="Courier New" w:eastAsia="Courier New" w:hAnsi="Courier New"/>
                <w:sz w:val="13"/>
                <w:szCs w:val="13"/>
                <w:b w:val="1"/>
                <w:bCs w:val="1"/>
                <w:color w:val="auto"/>
              </w:rPr>
              <w:t>Year ended December 31, 2002</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center"/>
              <w:ind w:right="1733"/>
              <w:spacing w:after="0"/>
              <w:rPr>
                <w:sz w:val="20"/>
                <w:szCs w:val="20"/>
                <w:color w:val="auto"/>
              </w:rPr>
            </w:pPr>
            <w:r>
              <w:rPr>
                <w:rFonts w:ascii="Courier New" w:cs="Courier New" w:eastAsia="Courier New" w:hAnsi="Courier New"/>
                <w:sz w:val="13"/>
                <w:szCs w:val="13"/>
                <w:b w:val="1"/>
                <w:bCs w:val="1"/>
                <w:color w:val="auto"/>
              </w:rPr>
              <w:t>(In thousands)</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08"/>
        </w:trPr>
        <w:tc>
          <w:tcPr>
            <w:tcW w:w="3340" w:type="dxa"/>
            <w:vAlign w:val="bottom"/>
          </w:tcPr>
          <w:p>
            <w:pPr>
              <w:spacing w:after="0"/>
              <w:rPr>
                <w:sz w:val="24"/>
                <w:szCs w:val="24"/>
                <w:color w:val="auto"/>
              </w:rPr>
            </w:pPr>
          </w:p>
        </w:tc>
        <w:tc>
          <w:tcPr>
            <w:tcW w:w="31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As Previously</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4"/>
        </w:trPr>
        <w:tc>
          <w:tcPr>
            <w:tcW w:w="3340" w:type="dxa"/>
            <w:vAlign w:val="bottom"/>
          </w:tcPr>
          <w:p>
            <w:pPr>
              <w:spacing w:after="0"/>
              <w:rPr>
                <w:sz w:val="13"/>
                <w:szCs w:val="13"/>
                <w:color w:val="auto"/>
              </w:rPr>
            </w:pPr>
          </w:p>
        </w:tc>
        <w:tc>
          <w:tcPr>
            <w:tcW w:w="316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Reported</w:t>
            </w:r>
          </w:p>
        </w:tc>
        <w:tc>
          <w:tcPr>
            <w:tcW w:w="160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As Restated</w:t>
            </w:r>
          </w:p>
        </w:tc>
      </w:tr>
      <w:tr>
        <w:trPr>
          <w:trHeight w:val="154"/>
        </w:trPr>
        <w:tc>
          <w:tcPr>
            <w:tcW w:w="3340" w:type="dxa"/>
            <w:vAlign w:val="bottom"/>
          </w:tcPr>
          <w:p>
            <w:pPr>
              <w:spacing w:after="0"/>
              <w:rPr>
                <w:sz w:val="13"/>
                <w:szCs w:val="13"/>
                <w:color w:val="auto"/>
              </w:rPr>
            </w:pPr>
          </w:p>
        </w:tc>
        <w:tc>
          <w:tcPr>
            <w:tcW w:w="3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$13,664</w:t>
            </w:r>
          </w:p>
        </w:tc>
        <w:tc>
          <w:tcPr>
            <w:tcW w:w="16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$7,760</w:t>
            </w:r>
          </w:p>
        </w:tc>
      </w:tr>
      <w:tr>
        <w:trPr>
          <w:trHeight w:val="154"/>
        </w:trPr>
        <w:tc>
          <w:tcPr>
            <w:tcW w:w="3340" w:type="dxa"/>
            <w:vAlign w:val="bottom"/>
          </w:tcPr>
          <w:p>
            <w:pPr>
              <w:spacing w:after="0"/>
              <w:rPr>
                <w:sz w:val="20"/>
                <w:szCs w:val="20"/>
                <w:color w:val="auto"/>
              </w:rPr>
            </w:pPr>
            <w:r>
              <w:rPr>
                <w:rFonts w:ascii="Courier New" w:cs="Courier New" w:eastAsia="Courier New" w:hAnsi="Courier New"/>
                <w:sz w:val="13"/>
                <w:szCs w:val="13"/>
                <w:color w:val="auto"/>
              </w:rPr>
              <w:t>Gain on purchase of minority interest</w:t>
            </w:r>
          </w:p>
        </w:tc>
        <w:tc>
          <w:tcPr>
            <w:tcW w:w="31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(5,904)</w:t>
            </w:r>
          </w:p>
        </w:tc>
        <w:tc>
          <w:tcPr>
            <w:tcW w:w="112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bl>
    <w:p>
      <w:pPr>
        <w:spacing w:after="0" w:line="200" w:lineRule="exact"/>
        <w:rPr>
          <w:sz w:val="20"/>
          <w:szCs w:val="20"/>
          <w:color w:val="auto"/>
        </w:rPr>
      </w:pPr>
    </w:p>
    <w:p>
      <w:pPr>
        <w:spacing w:after="0" w:line="268"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ectPr>
          <w:pgSz w:w="11900" w:h="16838" w:orient="portrait"/>
          <w:cols w:equalWidth="0" w:num="1">
            <w:col w:w="11460"/>
          </w:cols>
          <w:pgMar w:left="220" w:top="141" w:right="219" w:bottom="0" w:gutter="0" w:footer="0" w:header="0"/>
        </w:sectPr>
      </w:pPr>
    </w:p>
    <w:bookmarkStart w:id="25" w:name="page26"/>
    <w:bookmarkEnd w:id="25"/>
    <w:p>
      <w:pPr>
        <w:ind w:left="320" w:hanging="318"/>
        <w:spacing w:after="0"/>
        <w:tabs>
          <w:tab w:leader="none" w:pos="320" w:val="left"/>
        </w:tabs>
        <w:numPr>
          <w:ilvl w:val="0"/>
          <w:numId w:val="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Summary of Significant Accounting Policies and Practices</w:t>
      </w:r>
    </w:p>
    <w:p>
      <w:pPr>
        <w:spacing w:after="0" w:line="161" w:lineRule="exact"/>
        <w:rPr>
          <w:rFonts w:ascii="Courier New" w:cs="Courier New" w:eastAsia="Courier New" w:hAnsi="Courier New"/>
          <w:sz w:val="13"/>
          <w:szCs w:val="13"/>
          <w:b w:val="1"/>
          <w:b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Description of Business</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NN, Inc. (the "Company") is a manufacturer of precision balls, rollers, plastic injection molded products, and precision bearing seals. The Company's balls, rollers,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Euroball Segment, which was acquired in July 2000, (see Note 3) is comprised of manufacturing facilities located in Kilkenny, Ireland, Eltmann, Germany, and Pinerolo, Italy. All of the facilities in the Euroball Segment are engaged in the production of precision balls. The Plastics Segment consists of IMC, acquired in July 1999, NN Arte, formed in August 2000 and Delta Rubber, acquired in February 2001. IMC has two production facilities in Texas, NN Arte has one production facility in Guadalajara, Mexico and Delta Rubber has two production facilities in Connecticut (see Note 3). All of the Company's segments sell to foreign and domestic customers.</w:t>
      </w:r>
    </w:p>
    <w:p>
      <w:pPr>
        <w:spacing w:after="0" w:line="157"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Cash and Cash Equivalents</w:t>
      </w:r>
    </w:p>
    <w:p>
      <w:pPr>
        <w:spacing w:after="0" w:line="161" w:lineRule="exact"/>
        <w:rPr>
          <w:rFonts w:ascii="Courier New" w:cs="Courier New" w:eastAsia="Courier New" w:hAnsi="Courier New"/>
          <w:sz w:val="13"/>
          <w:szCs w:val="13"/>
          <w:b w:val="1"/>
          <w:bCs w:val="1"/>
          <w:i w:val="1"/>
          <w:iCs w:val="1"/>
          <w:color w:val="auto"/>
        </w:rPr>
      </w:pPr>
    </w:p>
    <w:p>
      <w:pPr>
        <w:ind w:left="1120" w:right="4139"/>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considers all highly liquid investments with an original maturity of three months or less as cash equivalents.</w:t>
      </w:r>
    </w:p>
    <w:p>
      <w:pPr>
        <w:spacing w:after="0" w:line="150"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Inventories</w:t>
      </w:r>
    </w:p>
    <w:p>
      <w:pPr>
        <w:spacing w:after="0" w:line="161" w:lineRule="exact"/>
        <w:rPr>
          <w:rFonts w:ascii="Courier New" w:cs="Courier New" w:eastAsia="Courier New" w:hAnsi="Courier New"/>
          <w:sz w:val="13"/>
          <w:szCs w:val="13"/>
          <w:b w:val="1"/>
          <w:bCs w:val="1"/>
          <w:i w:val="1"/>
          <w:iCs w:val="1"/>
          <w:color w:val="auto"/>
        </w:rPr>
      </w:pPr>
    </w:p>
    <w:p>
      <w:pPr>
        <w:ind w:left="1120" w:right="4139"/>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Inventories are stated at the lower of cost or market. Cost is determined using the first-in, first-out method.</w:t>
      </w:r>
    </w:p>
    <w:p>
      <w:pPr>
        <w:spacing w:after="0" w:line="150"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Property, Plant and Equipment</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During the years ended December 31, 2002 and 2001, the Company incurred an impairment charge of $1,199 and $1,083 respectively, to write-down the land, building and equipment at the Walterboro, SC production facility to its net realizable value, which was principally based upon fair market value appraisals and valuations. As of December 31, 2002 and 2001, the carrying value of this land, building</w:t>
      </w:r>
    </w:p>
    <w:p>
      <w:pPr>
        <w:spacing w:after="0" w:line="3" w:lineRule="exact"/>
        <w:rPr>
          <w:rFonts w:ascii="Courier New" w:cs="Courier New" w:eastAsia="Courier New" w:hAnsi="Courier New"/>
          <w:sz w:val="13"/>
          <w:szCs w:val="13"/>
          <w:b w:val="1"/>
          <w:bCs w:val="1"/>
          <w:i w:val="1"/>
          <w:iCs w:val="1"/>
          <w:color w:val="auto"/>
        </w:rPr>
      </w:pPr>
    </w:p>
    <w:p>
      <w:pPr>
        <w:ind w:left="1120" w:right="373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and equipment was classified as a component of assets held for sale in the accompanying financial statements at $2,214 and $4,348, respectively. During the year ended December 31, 2000, the Company did not incur any impairment charges.</w:t>
      </w:r>
    </w:p>
    <w:p>
      <w:pPr>
        <w:spacing w:after="0" w:line="152" w:lineRule="exact"/>
        <w:rPr>
          <w:rFonts w:ascii="Courier New" w:cs="Courier New" w:eastAsia="Courier New" w:hAnsi="Courier New"/>
          <w:sz w:val="13"/>
          <w:szCs w:val="13"/>
          <w:b w:val="1"/>
          <w:bCs w:val="1"/>
          <w:i w:val="1"/>
          <w:iCs w:val="1"/>
          <w:color w:val="auto"/>
        </w:rPr>
      </w:pPr>
    </w:p>
    <w:p>
      <w:pPr>
        <w:ind w:left="1120" w:right="381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52"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Revenue Recognition</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310" w:lineRule="exact"/>
        <w:rPr>
          <w:rFonts w:ascii="Courier New" w:cs="Courier New" w:eastAsia="Courier New" w:hAnsi="Courier New"/>
          <w:sz w:val="13"/>
          <w:szCs w:val="13"/>
          <w:b w:val="1"/>
          <w:bCs w:val="1"/>
          <w:i w:val="1"/>
          <w:iCs w:val="1"/>
          <w:color w:val="auto"/>
        </w:rPr>
      </w:pPr>
    </w:p>
    <w:p>
      <w:pPr>
        <w:ind w:left="1120" w:hanging="556"/>
        <w:spacing w:after="0"/>
        <w:tabs>
          <w:tab w:leader="none" w:pos="1120" w:val="left"/>
        </w:tabs>
        <w:numPr>
          <w:ilvl w:val="1"/>
          <w:numId w:val="5"/>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Income Taxes</w:t>
      </w:r>
    </w:p>
    <w:p>
      <w:pPr>
        <w:spacing w:after="0" w:line="161" w:lineRule="exact"/>
        <w:rPr>
          <w:rFonts w:ascii="Courier New" w:cs="Courier New" w:eastAsia="Courier New" w:hAnsi="Courier New"/>
          <w:sz w:val="13"/>
          <w:szCs w:val="13"/>
          <w:b w:val="1"/>
          <w:bCs w:val="1"/>
          <w:i w:val="1"/>
          <w:iCs w:val="1"/>
          <w:color w:val="auto"/>
        </w:rPr>
      </w:pPr>
    </w:p>
    <w:p>
      <w:pPr>
        <w:ind w:left="112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w:t>
      </w:r>
    </w:p>
    <w:p>
      <w:pPr>
        <w:spacing w:after="0" w:line="310"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30440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1120" w:right="3899"/>
        <w:spacing w:after="0" w:line="252" w:lineRule="auto"/>
        <w:rPr>
          <w:sz w:val="20"/>
          <w:szCs w:val="20"/>
          <w:color w:val="auto"/>
        </w:rPr>
      </w:pPr>
      <w:r>
        <w:rPr>
          <w:rFonts w:ascii="Courier New" w:cs="Courier New" w:eastAsia="Courier New" w:hAnsi="Courier New"/>
          <w:sz w:val="13"/>
          <w:szCs w:val="13"/>
          <w:color w:val="auto"/>
        </w:rPr>
        <w:t>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3" w:lineRule="exact"/>
        <w:rPr>
          <w:sz w:val="20"/>
          <w:szCs w:val="20"/>
          <w:color w:val="auto"/>
        </w:rPr>
      </w:pPr>
    </w:p>
    <w:p>
      <w:pPr>
        <w:ind w:left="560"/>
        <w:spacing w:after="0"/>
        <w:tabs>
          <w:tab w:leader="none" w:pos="1100" w:val="left"/>
        </w:tabs>
        <w:rPr>
          <w:sz w:val="20"/>
          <w:szCs w:val="20"/>
          <w:color w:val="auto"/>
        </w:rPr>
      </w:pPr>
      <w:r>
        <w:rPr>
          <w:rFonts w:ascii="Courier New" w:cs="Courier New" w:eastAsia="Courier New" w:hAnsi="Courier New"/>
          <w:sz w:val="13"/>
          <w:szCs w:val="13"/>
          <w:b w:val="1"/>
          <w:bCs w:val="1"/>
          <w:i w:val="1"/>
          <w:iCs w:val="1"/>
          <w:color w:val="auto"/>
        </w:rPr>
        <w:t>(g)</w:t>
      </w:r>
      <w:r>
        <w:rPr>
          <w:sz w:val="20"/>
          <w:szCs w:val="20"/>
          <w:color w:val="auto"/>
        </w:rPr>
        <w:tab/>
      </w:r>
      <w:r>
        <w:rPr>
          <w:rFonts w:ascii="Courier New" w:cs="Courier New" w:eastAsia="Courier New" w:hAnsi="Courier New"/>
          <w:sz w:val="13"/>
          <w:szCs w:val="13"/>
          <w:b w:val="1"/>
          <w:bCs w:val="1"/>
          <w:i w:val="1"/>
          <w:iCs w:val="1"/>
          <w:color w:val="auto"/>
        </w:rPr>
        <w:t>Net Income Per Common Share</w:t>
      </w:r>
    </w:p>
    <w:p>
      <w:pPr>
        <w:sectPr>
          <w:pgSz w:w="11900" w:h="16838" w:orient="portrait"/>
          <w:cols w:equalWidth="0" w:num="1">
            <w:col w:w="10239"/>
          </w:cols>
          <w:pgMar w:left="220" w:top="295" w:right="1440" w:bottom="0" w:gutter="0" w:footer="0" w:header="0"/>
        </w:sectPr>
      </w:pPr>
    </w:p>
    <w:bookmarkStart w:id="26" w:name="page27"/>
    <w:bookmarkEnd w:id="26"/>
    <w:p>
      <w:pPr>
        <w:ind w:left="560" w:right="3899"/>
        <w:spacing w:after="0" w:line="252" w:lineRule="auto"/>
        <w:rPr>
          <w:sz w:val="20"/>
          <w:szCs w:val="20"/>
          <w:color w:val="auto"/>
        </w:rPr>
      </w:pPr>
      <w:r>
        <w:rPr>
          <w:rFonts w:ascii="Courier New" w:cs="Courier New" w:eastAsia="Courier New" w:hAnsi="Courier New"/>
          <w:sz w:val="13"/>
          <w:szCs w:val="13"/>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53" w:lineRule="exact"/>
        <w:rPr>
          <w:sz w:val="20"/>
          <w:szCs w:val="20"/>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Stock Incentive Plan</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and SFAS No. 148.</w:t>
      </w:r>
    </w:p>
    <w:p>
      <w:pPr>
        <w:spacing w:after="0" w:line="157"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Principles of Consolidation</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by the Company, are reflected as minority interests. Minority interest represents the minority shareholders interest of NN Euroball ApS and NN Arte.</w:t>
      </w:r>
    </w:p>
    <w:p>
      <w:pPr>
        <w:spacing w:after="0" w:line="156"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Foreign Currency Translation</w:t>
      </w:r>
    </w:p>
    <w:p>
      <w:pPr>
        <w:spacing w:after="0" w:line="161" w:lineRule="exact"/>
        <w:rPr>
          <w:rFonts w:ascii="Courier New" w:cs="Courier New" w:eastAsia="Courier New" w:hAnsi="Courier New"/>
          <w:sz w:val="13"/>
          <w:szCs w:val="13"/>
          <w:b w:val="1"/>
          <w:bCs w:val="1"/>
          <w:i w:val="1"/>
          <w:iCs w:val="1"/>
          <w:color w:val="auto"/>
        </w:rPr>
      </w:pPr>
    </w:p>
    <w:p>
      <w:pPr>
        <w:ind w:left="560" w:right="397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52" w:lineRule="exact"/>
        <w:rPr>
          <w:rFonts w:ascii="Courier New" w:cs="Courier New" w:eastAsia="Courier New" w:hAnsi="Courier New"/>
          <w:sz w:val="13"/>
          <w:szCs w:val="13"/>
          <w:b w:val="1"/>
          <w:bCs w:val="1"/>
          <w:i w:val="1"/>
          <w:iCs w:val="1"/>
          <w:color w:val="auto"/>
        </w:rPr>
      </w:pPr>
    </w:p>
    <w:p>
      <w:pPr>
        <w:ind w:left="720" w:hanging="716"/>
        <w:spacing w:after="0"/>
        <w:tabs>
          <w:tab w:leader="none" w:pos="720" w:val="left"/>
        </w:tabs>
        <w:numPr>
          <w:ilvl w:val="0"/>
          <w:numId w:val="6"/>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Goodwill</w:t>
      </w:r>
    </w:p>
    <w:p>
      <w:pPr>
        <w:spacing w:after="0" w:line="161"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$36.6 million, which is subject to the provisions of Statement No. 142.</w:t>
      </w:r>
    </w:p>
    <w:p>
      <w:pPr>
        <w:spacing w:after="0" w:line="157" w:lineRule="exact"/>
        <w:rPr>
          <w:sz w:val="20"/>
          <w:szCs w:val="20"/>
          <w:color w:val="auto"/>
        </w:rPr>
      </w:pPr>
    </w:p>
    <w:p>
      <w:pPr>
        <w:ind w:left="560" w:right="3899"/>
        <w:spacing w:after="0" w:line="253" w:lineRule="auto"/>
        <w:rPr>
          <w:sz w:val="20"/>
          <w:szCs w:val="20"/>
          <w:color w:val="auto"/>
        </w:rPr>
      </w:pPr>
      <w:r>
        <w:rPr>
          <w:rFonts w:ascii="Courier New" w:cs="Courier New" w:eastAsia="Courier New" w:hAnsi="Courier New"/>
          <w:sz w:val="13"/>
          <w:szCs w:val="13"/>
          <w:color w:val="auto"/>
        </w:rPr>
        <w:t>As a result of adopting these new standards, the Company's accounting policies for goodwill and other intangibles changed on January 1, 2002, as described below:</w:t>
      </w:r>
    </w:p>
    <w:p>
      <w:pPr>
        <w:spacing w:after="0" w:line="151" w:lineRule="exact"/>
        <w:rPr>
          <w:sz w:val="20"/>
          <w:szCs w:val="20"/>
          <w:color w:val="auto"/>
        </w:rPr>
      </w:pPr>
    </w:p>
    <w:p>
      <w:pPr>
        <w:jc w:val="both"/>
        <w:ind w:left="560" w:right="3819"/>
        <w:spacing w:after="0" w:line="251" w:lineRule="auto"/>
        <w:rPr>
          <w:sz w:val="20"/>
          <w:szCs w:val="20"/>
          <w:color w:val="auto"/>
        </w:rPr>
      </w:pPr>
      <w:r>
        <w:rPr>
          <w:rFonts w:ascii="Courier New" w:cs="Courier New" w:eastAsia="Courier New" w:hAnsi="Courier New"/>
          <w:sz w:val="13"/>
          <w:szCs w:val="13"/>
          <w:color w:val="auto"/>
        </w:rPr>
        <w:t>Goodwill: The Company recognized the excess of the purchase price of an acquired entity over the fair value of the net identifiable assets as goodwill. Goodwill is tested for impairment on an annual basis and between annual tests in certain circumstances.</w:t>
      </w:r>
    </w:p>
    <w:p>
      <w:pPr>
        <w:spacing w:after="0" w:line="1" w:lineRule="exact"/>
        <w:rPr>
          <w:sz w:val="20"/>
          <w:szCs w:val="20"/>
          <w:color w:val="auto"/>
        </w:rPr>
      </w:pPr>
    </w:p>
    <w:p>
      <w:pPr>
        <w:ind w:left="560" w:right="3979"/>
        <w:spacing w:after="0" w:line="254" w:lineRule="auto"/>
        <w:rPr>
          <w:sz w:val="20"/>
          <w:szCs w:val="20"/>
          <w:color w:val="auto"/>
        </w:rPr>
      </w:pPr>
      <w:r>
        <w:rPr>
          <w:rFonts w:ascii="Courier New" w:cs="Courier New" w:eastAsia="Courier New" w:hAnsi="Courier New"/>
          <w:sz w:val="13"/>
          <w:szCs w:val="13"/>
          <w:color w:val="auto"/>
        </w:rPr>
        <w:t>Impairment losses are recognized whenever the implied fair value of</w:t>
      </w:r>
    </w:p>
    <w:p>
      <w:pPr>
        <w:spacing w:after="0" w:line="151"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173355</wp:posOffset>
            </wp:positionV>
            <wp:extent cx="730440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979"/>
        <w:spacing w:after="0" w:line="252" w:lineRule="auto"/>
        <w:rPr>
          <w:sz w:val="20"/>
          <w:szCs w:val="20"/>
          <w:color w:val="auto"/>
        </w:rPr>
      </w:pPr>
      <w:r>
        <w:rPr>
          <w:rFonts w:ascii="Courier New" w:cs="Courier New" w:eastAsia="Courier New" w:hAnsi="Courier New"/>
          <w:sz w:val="13"/>
          <w:szCs w:val="13"/>
          <w:color w:val="auto"/>
        </w:rPr>
        <w:t>goodwill is less than its carrying value. Prior to January 1, 2002, goodwill was amortized over a twenty-year period using the straight-line method. Beginning January 1, 2002, goodwill is no longer amortized.</w:t>
      </w:r>
    </w:p>
    <w:p>
      <w:pPr>
        <w:spacing w:after="0" w:line="153"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w:t>
      </w:r>
    </w:p>
    <w:p>
      <w:pPr>
        <w:sectPr>
          <w:pgSz w:w="11900" w:h="16838" w:orient="portrait"/>
          <w:cols w:equalWidth="0" w:num="1">
            <w:col w:w="9679"/>
          </w:cols>
          <w:pgMar w:left="780" w:top="295" w:right="1440" w:bottom="0" w:gutter="0" w:footer="0" w:header="0"/>
        </w:sectPr>
      </w:pPr>
    </w:p>
    <w:bookmarkStart w:id="27" w:name="page28"/>
    <w:bookmarkEnd w:id="27"/>
    <w:p>
      <w:pPr>
        <w:ind w:left="560"/>
        <w:spacing w:after="0"/>
        <w:rPr>
          <w:sz w:val="20"/>
          <w:szCs w:val="20"/>
          <w:color w:val="auto"/>
        </w:rPr>
      </w:pPr>
      <w:r>
        <w:rPr>
          <w:rFonts w:ascii="Courier New" w:cs="Courier New" w:eastAsia="Courier New" w:hAnsi="Courier New"/>
          <w:sz w:val="13"/>
          <w:szCs w:val="13"/>
          <w:color w:val="auto"/>
        </w:rPr>
        <w:t>amortization is not recoverable from expected future cash flows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and its carrying amount exceeds its fair value.</w:t>
      </w:r>
    </w:p>
    <w:p>
      <w:pPr>
        <w:spacing w:after="0" w:line="161" w:lineRule="exact"/>
        <w:rPr>
          <w:sz w:val="20"/>
          <w:szCs w:val="20"/>
          <w:color w:val="auto"/>
        </w:rPr>
      </w:pPr>
    </w:p>
    <w:p>
      <w:pPr>
        <w:ind w:left="560" w:right="4320"/>
        <w:spacing w:after="0" w:line="251" w:lineRule="auto"/>
        <w:rPr>
          <w:sz w:val="20"/>
          <w:szCs w:val="20"/>
          <w:color w:val="auto"/>
        </w:rPr>
      </w:pPr>
      <w:r>
        <w:rPr>
          <w:rFonts w:ascii="Courier New" w:cs="Courier New" w:eastAsia="Courier New" w:hAnsi="Courier New"/>
          <w:sz w:val="13"/>
          <w:szCs w:val="13"/>
          <w:color w:val="auto"/>
        </w:rPr>
        <w:t>The Company completed the transitional goodwill impairment reviews required by the new standards during the first six months of 2002 and the annually required goodwill impairment review during the fourth quarter of 2002. In performing the impairment reviews, the Company estimated the fair values of the reporting units using a method that incorporates valuations derived from EBITDA multiples based upon market multiples and recent capital market transactions and also incorporates valuations determined by each segment's discounted future cash flows. As of January 1, 2002, the transition day and as of October 1, 2002, the annual review date, there was no impairment to goodwill as the fair values exceeded the carrying values of the reporting units. As of December 31, 2002, the carrying amounts of goodwill by reporting units are as follows: $26.1 million for the Plastics Segment and $13.3 million for the Euroball Segment. Since the transition date, January 1, 2002, approximately $1.3 million of the increase in goodwill is due to foreign currency translation adjustments at the Euroball Segment.</w:t>
      </w:r>
    </w:p>
    <w:p>
      <w:pPr>
        <w:spacing w:after="0" w:line="312"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table below describes the impact of the amortization of</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goodwill for the three month and twelve month period ended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December 31, 2002, 2001 and 2000:</w:t>
      </w:r>
    </w:p>
    <w:p>
      <w:pPr>
        <w:spacing w:after="0" w:line="315"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2800" w:type="dxa"/>
            <w:vAlign w:val="bottom"/>
            <w:gridSpan w:val="2"/>
          </w:tcPr>
          <w:p>
            <w:pPr>
              <w:jc w:val="right"/>
              <w:ind w:right="53"/>
              <w:spacing w:after="0"/>
              <w:rPr>
                <w:sz w:val="20"/>
                <w:szCs w:val="20"/>
                <w:color w:val="auto"/>
              </w:rPr>
            </w:pPr>
            <w:r>
              <w:rPr>
                <w:rFonts w:ascii="Courier New" w:cs="Courier New" w:eastAsia="Courier New" w:hAnsi="Courier New"/>
                <w:sz w:val="13"/>
                <w:szCs w:val="13"/>
                <w:b w:val="1"/>
                <w:bCs w:val="1"/>
                <w:color w:val="auto"/>
              </w:rPr>
              <w:t>For the Three Months</w:t>
            </w:r>
          </w:p>
        </w:tc>
        <w:tc>
          <w:tcPr>
            <w:tcW w:w="1080" w:type="dxa"/>
            <w:vAlign w:val="bottom"/>
          </w:tcPr>
          <w:p>
            <w:pPr>
              <w:spacing w:after="0"/>
              <w:rPr>
                <w:sz w:val="12"/>
                <w:szCs w:val="12"/>
                <w:color w:val="auto"/>
              </w:rPr>
            </w:pPr>
          </w:p>
        </w:tc>
        <w:tc>
          <w:tcPr>
            <w:tcW w:w="3520" w:type="dxa"/>
            <w:vAlign w:val="bottom"/>
            <w:gridSpan w:val="3"/>
          </w:tcPr>
          <w:p>
            <w:pPr>
              <w:jc w:val="right"/>
              <w:ind w:right="813"/>
              <w:spacing w:after="0"/>
              <w:rPr>
                <w:sz w:val="20"/>
                <w:szCs w:val="20"/>
                <w:color w:val="auto"/>
              </w:rPr>
            </w:pPr>
            <w:r>
              <w:rPr>
                <w:rFonts w:ascii="Courier New" w:cs="Courier New" w:eastAsia="Courier New" w:hAnsi="Courier New"/>
                <w:sz w:val="13"/>
                <w:szCs w:val="13"/>
                <w:b w:val="1"/>
                <w:bCs w:val="1"/>
                <w:color w:val="auto"/>
              </w:rPr>
              <w:t>For the Twelve Months</w:t>
            </w:r>
          </w:p>
        </w:tc>
      </w:tr>
      <w:tr>
        <w:trPr>
          <w:trHeight w:val="154"/>
        </w:trPr>
        <w:tc>
          <w:tcPr>
            <w:tcW w:w="2380" w:type="dxa"/>
            <w:vAlign w:val="bottom"/>
          </w:tcPr>
          <w:p>
            <w:pPr>
              <w:spacing w:after="0"/>
              <w:rPr>
                <w:sz w:val="13"/>
                <w:szCs w:val="13"/>
                <w:color w:val="auto"/>
              </w:rPr>
            </w:pPr>
          </w:p>
        </w:tc>
        <w:tc>
          <w:tcPr>
            <w:tcW w:w="2800" w:type="dxa"/>
            <w:vAlign w:val="bottom"/>
            <w:gridSpan w:val="2"/>
          </w:tcPr>
          <w:p>
            <w:pPr>
              <w:jc w:val="right"/>
              <w:ind w:right="133"/>
              <w:spacing w:after="0"/>
              <w:rPr>
                <w:sz w:val="20"/>
                <w:szCs w:val="20"/>
                <w:color w:val="auto"/>
              </w:rPr>
            </w:pPr>
            <w:r>
              <w:rPr>
                <w:rFonts w:ascii="Courier New" w:cs="Courier New" w:eastAsia="Courier New" w:hAnsi="Courier New"/>
                <w:sz w:val="13"/>
                <w:szCs w:val="13"/>
                <w:b w:val="1"/>
                <w:bCs w:val="1"/>
                <w:color w:val="auto"/>
              </w:rPr>
              <w:t>Ended December 31,</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20"/>
                <w:szCs w:val="20"/>
                <w:color w:val="auto"/>
              </w:rPr>
            </w:pPr>
            <w:r>
              <w:rPr>
                <w:rFonts w:ascii="Courier New" w:cs="Courier New" w:eastAsia="Courier New" w:hAnsi="Courier New"/>
                <w:sz w:val="13"/>
                <w:szCs w:val="13"/>
                <w:b w:val="1"/>
                <w:bCs w:val="1"/>
                <w:color w:val="auto"/>
              </w:rPr>
              <w:t>Ended December 31,</w:t>
            </w:r>
          </w:p>
        </w:tc>
        <w:tc>
          <w:tcPr>
            <w:tcW w:w="1000" w:type="dxa"/>
            <w:vAlign w:val="bottom"/>
          </w:tcPr>
          <w:p>
            <w:pPr>
              <w:spacing w:after="0"/>
              <w:rPr>
                <w:sz w:val="13"/>
                <w:szCs w:val="13"/>
                <w:color w:val="auto"/>
              </w:rPr>
            </w:pPr>
          </w:p>
        </w:tc>
      </w:tr>
      <w:tr>
        <w:trPr>
          <w:trHeight w:val="154"/>
        </w:trPr>
        <w:tc>
          <w:tcPr>
            <w:tcW w:w="23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Restated</w:t>
            </w: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20"/>
                <w:szCs w:val="20"/>
                <w:color w:val="auto"/>
              </w:rPr>
            </w:pPr>
            <w:r>
              <w:rPr>
                <w:rFonts w:ascii="Courier New" w:cs="Courier New" w:eastAsia="Courier New" w:hAnsi="Courier New"/>
                <w:sz w:val="13"/>
                <w:szCs w:val="13"/>
                <w:b w:val="1"/>
                <w:bCs w:val="1"/>
                <w:color w:val="auto"/>
              </w:rPr>
              <w:t>2</w:t>
            </w:r>
          </w:p>
        </w:tc>
        <w:tc>
          <w:tcPr>
            <w:tcW w:w="1000" w:type="dxa"/>
            <w:vAlign w:val="bottom"/>
          </w:tcPr>
          <w:p>
            <w:pPr>
              <w:spacing w:after="0"/>
              <w:rPr>
                <w:sz w:val="13"/>
                <w:szCs w:val="13"/>
                <w:color w:val="auto"/>
              </w:rPr>
            </w:pPr>
          </w:p>
        </w:tc>
      </w:tr>
      <w:tr>
        <w:trPr>
          <w:trHeight w:val="154"/>
        </w:trPr>
        <w:tc>
          <w:tcPr>
            <w:tcW w:w="2380" w:type="dxa"/>
            <w:vAlign w:val="bottom"/>
          </w:tcPr>
          <w:p>
            <w:pPr>
              <w:spacing w:after="0"/>
              <w:rPr>
                <w:sz w:val="13"/>
                <w:szCs w:val="13"/>
                <w:color w:val="auto"/>
              </w:rPr>
            </w:pPr>
          </w:p>
        </w:tc>
        <w:tc>
          <w:tcPr>
            <w:tcW w:w="144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2002</w:t>
            </w:r>
          </w:p>
        </w:tc>
        <w:tc>
          <w:tcPr>
            <w:tcW w:w="136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2001</w:t>
            </w:r>
          </w:p>
        </w:tc>
        <w:tc>
          <w:tcPr>
            <w:tcW w:w="108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2000</w:t>
            </w:r>
          </w:p>
        </w:tc>
        <w:tc>
          <w:tcPr>
            <w:tcW w:w="10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Restated200</w:t>
            </w:r>
          </w:p>
        </w:tc>
        <w:tc>
          <w:tcPr>
            <w:tcW w:w="1480" w:type="dxa"/>
            <w:vAlign w:val="bottom"/>
          </w:tcPr>
          <w:p>
            <w:pPr>
              <w:jc w:val="right"/>
              <w:ind w:right="533"/>
              <w:spacing w:after="0"/>
              <w:rPr>
                <w:sz w:val="20"/>
                <w:szCs w:val="20"/>
                <w:color w:val="auto"/>
              </w:rPr>
            </w:pPr>
            <w:r>
              <w:rPr>
                <w:rFonts w:ascii="Courier New" w:cs="Courier New" w:eastAsia="Courier New" w:hAnsi="Courier New"/>
                <w:sz w:val="13"/>
                <w:szCs w:val="13"/>
                <w:b w:val="1"/>
                <w:bCs w:val="1"/>
                <w:color w:val="auto"/>
              </w:rPr>
              <w:t>2001</w:t>
            </w:r>
          </w:p>
        </w:tc>
        <w:tc>
          <w:tcPr>
            <w:tcW w:w="100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w:t>
            </w:r>
          </w:p>
        </w:tc>
        <w:tc>
          <w:tcPr>
            <w:tcW w:w="108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Reported net income</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$ 1,384</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(1,036)</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$ 3,192</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$7,760</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$ 4,662</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$9,987</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Add back:  Goodwill</w:t>
            </w: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amortization, net of tax</w:t>
            </w: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and minority interest</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272</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138</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983</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484</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24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 --- ----------</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spacing w:after="0"/>
              <w:rPr>
                <w:sz w:val="20"/>
                <w:szCs w:val="20"/>
                <w:color w:val="auto"/>
              </w:rPr>
            </w:pPr>
            <w:r>
              <w:rPr>
                <w:rFonts w:ascii="Courier New" w:cs="Courier New" w:eastAsia="Courier New" w:hAnsi="Courier New"/>
                <w:sz w:val="13"/>
                <w:szCs w:val="13"/>
                <w:color w:val="auto"/>
              </w:rPr>
              <w:t>Pro-forma net income</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$ 1,384</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(764)</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$ 3,330</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$7,760</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$ 5,645</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$ 10,471</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24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2380" w:type="dxa"/>
            <w:vAlign w:val="bottom"/>
          </w:tcPr>
          <w:p>
            <w:pPr>
              <w:spacing w:after="0"/>
              <w:rPr>
                <w:sz w:val="20"/>
                <w:szCs w:val="20"/>
                <w:color w:val="auto"/>
              </w:rPr>
            </w:pPr>
            <w:r>
              <w:rPr>
                <w:rFonts w:ascii="Courier New" w:cs="Courier New" w:eastAsia="Courier New" w:hAnsi="Courier New"/>
                <w:sz w:val="13"/>
                <w:szCs w:val="13"/>
                <w:color w:val="auto"/>
              </w:rPr>
              <w:t>Basic earnings per share:</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Reported net income</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$ 0.09</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$(0.07)</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$ 0.21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$ 0.51</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$ 0.31</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$ 0.66</w:t>
            </w:r>
          </w:p>
        </w:tc>
      </w:tr>
      <w:tr>
        <w:trPr>
          <w:trHeight w:val="308"/>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Goodwill amortization</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0.02</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0.01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0.06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0.03</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Pro-forma net income</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$ 0.09</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(0.05)</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$ 0.22</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$ 0.51</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$ 0.37</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$ 0.69</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2380" w:type="dxa"/>
            <w:vAlign w:val="bottom"/>
          </w:tcPr>
          <w:p>
            <w:pPr>
              <w:spacing w:after="0"/>
              <w:rPr>
                <w:sz w:val="20"/>
                <w:szCs w:val="20"/>
                <w:color w:val="auto"/>
              </w:rPr>
            </w:pPr>
            <w:r>
              <w:rPr>
                <w:rFonts w:ascii="Courier New" w:cs="Courier New" w:eastAsia="Courier New" w:hAnsi="Courier New"/>
                <w:sz w:val="13"/>
                <w:szCs w:val="13"/>
                <w:color w:val="auto"/>
              </w:rPr>
              <w:t>Diluted earnings per share:</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Reported net income</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$ 0.09</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(0.07)</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$ 0.21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$ 0.49</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$ 0.30</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$ 0.64</w:t>
            </w:r>
          </w:p>
        </w:tc>
      </w:tr>
      <w:tr>
        <w:trPr>
          <w:trHeight w:val="308"/>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Goodwill amortization</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0.02</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0.01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0.06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0.03</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2380" w:type="dxa"/>
            <w:vAlign w:val="bottom"/>
          </w:tcPr>
          <w:p>
            <w:pPr>
              <w:ind w:left="240"/>
              <w:spacing w:after="0"/>
              <w:rPr>
                <w:sz w:val="20"/>
                <w:szCs w:val="20"/>
                <w:color w:val="auto"/>
              </w:rPr>
            </w:pPr>
            <w:r>
              <w:rPr>
                <w:rFonts w:ascii="Courier New" w:cs="Courier New" w:eastAsia="Courier New" w:hAnsi="Courier New"/>
                <w:sz w:val="13"/>
                <w:szCs w:val="13"/>
                <w:color w:val="auto"/>
              </w:rPr>
              <w:t>Pro-forma net income</w:t>
            </w:r>
          </w:p>
        </w:tc>
        <w:tc>
          <w:tcPr>
            <w:tcW w:w="14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$ 0.09</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(0.05)</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$ 0.21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$ 0.49</w:t>
            </w:r>
          </w:p>
        </w:tc>
        <w:tc>
          <w:tcPr>
            <w:tcW w:w="14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$ 0.36</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$ 0.67</w:t>
            </w:r>
          </w:p>
        </w:tc>
      </w:tr>
      <w:tr>
        <w:trPr>
          <w:trHeight w:val="154"/>
        </w:trPr>
        <w:tc>
          <w:tcPr>
            <w:tcW w:w="2380" w:type="dxa"/>
            <w:vAlign w:val="bottom"/>
          </w:tcPr>
          <w:p>
            <w:pPr>
              <w:spacing w:after="0"/>
              <w:rPr>
                <w:sz w:val="13"/>
                <w:szCs w:val="13"/>
                <w:color w:val="auto"/>
              </w:rPr>
            </w:pPr>
          </w:p>
        </w:tc>
        <w:tc>
          <w:tcPr>
            <w:tcW w:w="1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ind w:left="560" w:hanging="476"/>
        <w:spacing w:after="0"/>
        <w:tabs>
          <w:tab w:leader="none" w:pos="560" w:val="left"/>
        </w:tabs>
        <w:numPr>
          <w:ilvl w:val="0"/>
          <w:numId w:val="7"/>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Impairment of Long-Lived Assets and Long-Lived Assets to Be Disposed Of</w:t>
      </w:r>
    </w:p>
    <w:p>
      <w:pPr>
        <w:spacing w:after="0" w:line="161" w:lineRule="exact"/>
        <w:rPr>
          <w:rFonts w:ascii="Courier New" w:cs="Courier New" w:eastAsia="Courier New" w:hAnsi="Courier New"/>
          <w:sz w:val="13"/>
          <w:szCs w:val="13"/>
          <w:b w:val="1"/>
          <w:bCs w:val="1"/>
          <w:i w:val="1"/>
          <w:iCs w:val="1"/>
          <w:color w:val="auto"/>
        </w:rPr>
      </w:pPr>
    </w:p>
    <w:p>
      <w:pPr>
        <w:ind w:left="560" w:right="4400"/>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Company accounts for long-lived assets in accordance with the provisions of SFAS No. 144, "Accounting for the Impairment of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has adopted Statement</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173355</wp:posOffset>
            </wp:positionV>
            <wp:extent cx="730440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88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88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560" w:right="4400"/>
        <w:spacing w:after="0" w:line="252" w:lineRule="auto"/>
        <w:rPr>
          <w:sz w:val="20"/>
          <w:szCs w:val="20"/>
          <w:color w:val="auto"/>
        </w:rPr>
      </w:pPr>
      <w:r>
        <w:rPr>
          <w:rFonts w:ascii="Courier New" w:cs="Courier New" w:eastAsia="Courier New" w:hAnsi="Courier New"/>
          <w:sz w:val="13"/>
          <w:szCs w:val="13"/>
          <w:color w:val="auto"/>
        </w:rPr>
        <w:t>No. 144 effective January 1, 2002. Assets to be held and used are tested for recoverability when indications of impairment are evident. If the reviewed carrying value of the asset is not recoverable the asset is written down to the lesser of recoverable value or carrying value. Assets held for sale are carried at the lesser of carrying value or fair value less costs of disposal.</w:t>
      </w:r>
    </w:p>
    <w:p>
      <w:pPr>
        <w:spacing w:after="0" w:line="306" w:lineRule="exact"/>
        <w:rPr>
          <w:sz w:val="20"/>
          <w:szCs w:val="20"/>
          <w:color w:val="auto"/>
        </w:rPr>
      </w:pPr>
    </w:p>
    <w:p>
      <w:pPr>
        <w:ind w:left="560" w:hanging="556"/>
        <w:spacing w:after="0"/>
        <w:tabs>
          <w:tab w:leader="none" w:pos="560" w:val="left"/>
        </w:tabs>
        <w:numPr>
          <w:ilvl w:val="0"/>
          <w:numId w:val="8"/>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Use of Estimates in the Preparation of Financial Statements</w:t>
      </w:r>
    </w:p>
    <w:p>
      <w:pPr>
        <w:spacing w:after="0" w:line="161" w:lineRule="exact"/>
        <w:rPr>
          <w:rFonts w:ascii="Courier New" w:cs="Courier New" w:eastAsia="Courier New" w:hAnsi="Courier New"/>
          <w:sz w:val="13"/>
          <w:szCs w:val="13"/>
          <w:b w:val="1"/>
          <w:bCs w:val="1"/>
          <w:i w:val="1"/>
          <w:iCs w:val="1"/>
          <w:color w:val="auto"/>
        </w:rPr>
      </w:pPr>
    </w:p>
    <w:p>
      <w:pPr>
        <w:ind w:left="560" w:right="4320"/>
        <w:spacing w:after="0" w:line="251"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8"/>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Reclassifications</w:t>
      </w:r>
    </w:p>
    <w:p>
      <w:pPr>
        <w:spacing w:after="0" w:line="161" w:lineRule="exact"/>
        <w:rPr>
          <w:rFonts w:ascii="Courier New" w:cs="Courier New" w:eastAsia="Courier New" w:hAnsi="Courier New"/>
          <w:sz w:val="13"/>
          <w:szCs w:val="13"/>
          <w:b w:val="1"/>
          <w:bCs w:val="1"/>
          <w:i w:val="1"/>
          <w:iCs w:val="1"/>
          <w:color w:val="auto"/>
        </w:rPr>
      </w:pPr>
    </w:p>
    <w:p>
      <w:pPr>
        <w:ind w:left="560" w:right="4560"/>
        <w:spacing w:after="0" w:line="254"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Certain 2001 and 2000 amounts have been reclassified to conform with the 2002 presentation.</w:t>
      </w:r>
    </w:p>
    <w:p>
      <w:pPr>
        <w:spacing w:after="0" w:line="150" w:lineRule="exact"/>
        <w:rPr>
          <w:rFonts w:ascii="Courier New" w:cs="Courier New" w:eastAsia="Courier New" w:hAnsi="Courier New"/>
          <w:sz w:val="13"/>
          <w:szCs w:val="13"/>
          <w:b w:val="1"/>
          <w:bCs w:val="1"/>
          <w:i w:val="1"/>
          <w:iCs w:val="1"/>
          <w:color w:val="auto"/>
        </w:rPr>
      </w:pPr>
    </w:p>
    <w:p>
      <w:pPr>
        <w:ind w:left="560" w:hanging="556"/>
        <w:spacing w:after="0"/>
        <w:tabs>
          <w:tab w:leader="none" w:pos="560" w:val="left"/>
        </w:tabs>
        <w:numPr>
          <w:ilvl w:val="0"/>
          <w:numId w:val="8"/>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Derivative Financial Instruments</w:t>
      </w:r>
    </w:p>
    <w:p>
      <w:pPr>
        <w:sectPr>
          <w:pgSz w:w="11900" w:h="16838" w:orient="portrait"/>
          <w:cols w:equalWidth="0" w:num="1">
            <w:col w:w="10180"/>
          </w:cols>
          <w:pgMar w:left="780" w:top="141" w:right="939" w:bottom="0" w:gutter="0" w:footer="0" w:header="0"/>
        </w:sectPr>
      </w:pPr>
    </w:p>
    <w:bookmarkStart w:id="28" w:name="page29"/>
    <w:bookmarkEnd w:id="28"/>
    <w:p>
      <w:pPr>
        <w:ind w:left="560" w:right="3819"/>
        <w:spacing w:after="0" w:line="251" w:lineRule="auto"/>
        <w:rPr>
          <w:sz w:val="20"/>
          <w:szCs w:val="20"/>
          <w:color w:val="auto"/>
        </w:rPr>
      </w:pPr>
      <w:r>
        <w:rPr>
          <w:rFonts w:ascii="Courier New" w:cs="Courier New" w:eastAsia="Courier New" w:hAnsi="Courier New"/>
          <w:sz w:val="13"/>
          <w:szCs w:val="13"/>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56"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56"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In connection with a variable EURIBOR rate debt financing in July 2000 the Company's majority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56"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The cumulative effect of a change in accounting principle for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adoption of SFAS No. 133 effective January 1, 2001 resulted in a</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transition adjustment net loss of $98 which is net of an income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tax benefit of $112 and the related minority interest impact of</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$84. The interest rate swap does not qualify for hedge accounting</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under the provisions of SFAS No. 133; therefore, the transition</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adjustment for adoption of SFAS No. 133 and any subsequent</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periodic changes in fair value of the interest rate swap are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recorded in earnings.</w:t>
      </w:r>
    </w:p>
    <w:p>
      <w:pPr>
        <w:spacing w:after="0" w:line="161"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As of December 31, 2002 and 2001, the fair value of the swap is a before tax loss of approximately $485 and $374, respectively, which is recorded in other non-current liabilities. The change in fair value during the years ended December 31, 2002 and 2001 was a loss of approximately $51 and $80 (excluding the impact of foreign currency), respectively, which has been included as a component of other income.</w:t>
      </w:r>
    </w:p>
    <w:p>
      <w:pPr>
        <w:spacing w:after="0" w:line="156" w:lineRule="exact"/>
        <w:rPr>
          <w:sz w:val="20"/>
          <w:szCs w:val="20"/>
          <w:color w:val="auto"/>
        </w:rPr>
      </w:pPr>
    </w:p>
    <w:p>
      <w:pPr>
        <w:ind w:left="560" w:hanging="556"/>
        <w:spacing w:after="0"/>
        <w:tabs>
          <w:tab w:leader="none" w:pos="560" w:val="left"/>
        </w:tabs>
        <w:numPr>
          <w:ilvl w:val="0"/>
          <w:numId w:val="9"/>
        </w:numPr>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b w:val="1"/>
          <w:bCs w:val="1"/>
          <w:i w:val="1"/>
          <w:iCs w:val="1"/>
          <w:color w:val="auto"/>
        </w:rPr>
        <w:t>Recently Issued Accounting Standards</w:t>
      </w:r>
    </w:p>
    <w:p>
      <w:pPr>
        <w:spacing w:after="0" w:line="161" w:lineRule="exact"/>
        <w:rPr>
          <w:rFonts w:ascii="Courier New" w:cs="Courier New" w:eastAsia="Courier New" w:hAnsi="Courier New"/>
          <w:sz w:val="13"/>
          <w:szCs w:val="13"/>
          <w:b w:val="1"/>
          <w:bCs w:val="1"/>
          <w:i w:val="1"/>
          <w:iCs w:val="1"/>
          <w:color w:val="auto"/>
        </w:rPr>
      </w:pPr>
    </w:p>
    <w:p>
      <w:pPr>
        <w:ind w:left="560" w:right="3819"/>
        <w:spacing w:after="0" w:line="252" w:lineRule="auto"/>
        <w:rPr>
          <w:rFonts w:ascii="Courier New" w:cs="Courier New" w:eastAsia="Courier New" w:hAnsi="Courier New"/>
          <w:sz w:val="13"/>
          <w:szCs w:val="13"/>
          <w:b w:val="1"/>
          <w:bCs w:val="1"/>
          <w:i w:val="1"/>
          <w:iCs w:val="1"/>
          <w:color w:val="auto"/>
        </w:rPr>
      </w:pPr>
      <w:r>
        <w:rPr>
          <w:rFonts w:ascii="Courier New" w:cs="Courier New" w:eastAsia="Courier New" w:hAnsi="Courier New"/>
          <w:sz w:val="13"/>
          <w:szCs w:val="13"/>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w:t>
      </w:r>
    </w:p>
    <w:p>
      <w:pPr>
        <w:spacing w:after="0" w:line="152"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173355</wp:posOffset>
            </wp:positionV>
            <wp:extent cx="730440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4059"/>
        <w:spacing w:after="0" w:line="252" w:lineRule="auto"/>
        <w:rPr>
          <w:sz w:val="20"/>
          <w:szCs w:val="20"/>
          <w:color w:val="auto"/>
        </w:rPr>
      </w:pPr>
      <w:r>
        <w:rPr>
          <w:rFonts w:ascii="Courier New" w:cs="Courier New" w:eastAsia="Courier New" w:hAnsi="Courier New"/>
          <w:sz w:val="13"/>
          <w:szCs w:val="13"/>
          <w:color w:val="auto"/>
        </w:rPr>
        <w:t>and rational method. Adoption of the Statement is required for fiscal years beginning after June 15, 2002. Management believes that, as of December 31, 2002, it is not materially affected by SFAS No. 143.</w:t>
      </w:r>
    </w:p>
    <w:p>
      <w:pPr>
        <w:spacing w:after="0" w:line="153"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form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 No. 13 for transactions occurring after May 15, 2002. Management believes that, as of December 31, 2002, it is not materially affected by SFAS No. 145.</w:t>
      </w:r>
    </w:p>
    <w:p>
      <w:pPr>
        <w:spacing w:after="0" w:line="157"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156" w:lineRule="exact"/>
        <w:rPr>
          <w:sz w:val="20"/>
          <w:szCs w:val="20"/>
          <w:color w:val="auto"/>
        </w:rPr>
      </w:pPr>
    </w:p>
    <w:p>
      <w:pPr>
        <w:ind w:left="560" w:right="4059"/>
        <w:spacing w:after="0" w:line="252" w:lineRule="auto"/>
        <w:rPr>
          <w:sz w:val="20"/>
          <w:szCs w:val="20"/>
          <w:color w:val="auto"/>
        </w:rPr>
      </w:pPr>
      <w:r>
        <w:rPr>
          <w:rFonts w:ascii="Courier New" w:cs="Courier New" w:eastAsia="Courier New" w:hAnsi="Courier New"/>
          <w:sz w:val="13"/>
          <w:szCs w:val="13"/>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w:t>
      </w:r>
    </w:p>
    <w:p>
      <w:pPr>
        <w:sectPr>
          <w:pgSz w:w="11900" w:h="16838" w:orient="portrait"/>
          <w:cols w:equalWidth="0" w:num="1">
            <w:col w:w="9679"/>
          </w:cols>
          <w:pgMar w:left="780" w:top="141" w:right="1440" w:bottom="0" w:gutter="0" w:footer="0" w:header="0"/>
        </w:sectPr>
      </w:pPr>
    </w:p>
    <w:bookmarkStart w:id="29" w:name="page30"/>
    <w:bookmarkEnd w:id="29"/>
    <w:p>
      <w:pPr>
        <w:ind w:left="1120" w:right="3819"/>
        <w:spacing w:after="0" w:line="251" w:lineRule="auto"/>
        <w:rPr>
          <w:sz w:val="20"/>
          <w:szCs w:val="20"/>
          <w:color w:val="auto"/>
        </w:rPr>
      </w:pPr>
      <w:r>
        <w:rPr>
          <w:rFonts w:ascii="Courier New" w:cs="Courier New" w:eastAsia="Courier New" w:hAnsi="Courier New"/>
          <w:sz w:val="13"/>
          <w:szCs w:val="13"/>
          <w:color w:val="auto"/>
        </w:rPr>
        <w:t>compensation. In addition, SFAS No. 148 amends the disclosures in both annual and interim financial statements about the method of accounting for stock-based employee compensation and the effect of the method used on reported results. The Company has adopted the provisions of SFAS 123, which encourages but does not require a fair value based method of accounting for stock compensation plans. The Company has elected to continue accounting for its stock compensation plan using the intrinsic value based method under APB Opinion No. 25. See Note 11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1120" w:right="3819"/>
        <w:spacing w:after="0" w:line="251" w:lineRule="auto"/>
        <w:rPr>
          <w:sz w:val="20"/>
          <w:szCs w:val="20"/>
          <w:color w:val="auto"/>
        </w:rPr>
      </w:pPr>
      <w:r>
        <w:rPr>
          <w:rFonts w:ascii="Courier New" w:cs="Courier New" w:eastAsia="Courier New" w:hAnsi="Courier New"/>
          <w:sz w:val="13"/>
          <w:szCs w:val="13"/>
          <w:color w:val="auto"/>
        </w:rPr>
        <w:t>The Company has elected to continue accounting for its stock compensation plan using the intrinsic value based method under APB Opinion No. 25 and, accordingly, has not recorded compensation expense for each of the three years ended December 31, 2002,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ectPr>
          <w:pgSz w:w="11900" w:h="16838" w:orient="portrait"/>
          <w:cols w:equalWidth="0" w:num="1">
            <w:col w:w="10239"/>
          </w:cols>
          <w:pgMar w:left="220" w:top="141" w:right="1440" w:bottom="4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20"/>
        <w:spacing w:after="0"/>
        <w:rPr>
          <w:sz w:val="20"/>
          <w:szCs w:val="20"/>
          <w:color w:val="auto"/>
        </w:rPr>
      </w:pPr>
      <w:r>
        <w:rPr>
          <w:rFonts w:ascii="Courier New" w:cs="Courier New" w:eastAsia="Courier New" w:hAnsi="Courier New"/>
          <w:sz w:val="13"/>
          <w:szCs w:val="13"/>
          <w:color w:val="auto"/>
        </w:rPr>
        <w:t>Net income - as reported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b w:val="1"/>
          <w:bCs w:val="1"/>
          <w:color w:val="auto"/>
        </w:rPr>
        <w:t>Year ended December 31,</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b w:val="1"/>
          <w:bCs w:val="1"/>
          <w:color w:val="auto"/>
        </w:rPr>
        <w:t>Restated</w:t>
      </w:r>
    </w:p>
    <w:p>
      <w:pPr>
        <w:spacing w:after="0" w:line="7" w:lineRule="exact"/>
        <w:rPr>
          <w:sz w:val="20"/>
          <w:szCs w:val="20"/>
          <w:color w:val="auto"/>
        </w:rPr>
      </w:pPr>
    </w:p>
    <w:p>
      <w:pPr>
        <w:ind w:left="320"/>
        <w:spacing w:after="0"/>
        <w:tabs>
          <w:tab w:leader="none" w:pos="1420" w:val="left"/>
          <w:tab w:leader="none" w:pos="2540" w:val="left"/>
        </w:tabs>
        <w:rPr>
          <w:sz w:val="20"/>
          <w:szCs w:val="20"/>
          <w:color w:val="auto"/>
        </w:rPr>
      </w:pPr>
      <w:r>
        <w:rPr>
          <w:rFonts w:ascii="Courier New" w:cs="Courier New" w:eastAsia="Courier New" w:hAnsi="Courier New"/>
          <w:sz w:val="13"/>
          <w:szCs w:val="13"/>
          <w:b w:val="1"/>
          <w:bCs w:val="1"/>
          <w:color w:val="auto"/>
        </w:rPr>
        <w:t>2002</w:t>
      </w:r>
      <w:r>
        <w:rPr>
          <w:sz w:val="20"/>
          <w:szCs w:val="20"/>
          <w:color w:val="auto"/>
        </w:rPr>
        <w:tab/>
      </w:r>
      <w:r>
        <w:rPr>
          <w:rFonts w:ascii="Courier New" w:cs="Courier New" w:eastAsia="Courier New" w:hAnsi="Courier New"/>
          <w:sz w:val="13"/>
          <w:szCs w:val="13"/>
          <w:b w:val="1"/>
          <w:bCs w:val="1"/>
          <w:color w:val="auto"/>
        </w:rPr>
        <w:t>2001</w:t>
      </w:r>
      <w:r>
        <w:rPr>
          <w:sz w:val="20"/>
          <w:szCs w:val="20"/>
          <w:color w:val="auto"/>
        </w:rPr>
        <w:tab/>
      </w:r>
      <w:r>
        <w:rPr>
          <w:rFonts w:ascii="Courier New" w:cs="Courier New" w:eastAsia="Courier New" w:hAnsi="Courier New"/>
          <w:sz w:val="13"/>
          <w:szCs w:val="13"/>
          <w:b w:val="1"/>
          <w:bCs w:val="1"/>
          <w:color w:val="auto"/>
        </w:rPr>
        <w:t>2000</w:t>
      </w:r>
    </w:p>
    <w:p>
      <w:pPr>
        <w:spacing w:after="0" w:line="7" w:lineRule="exact"/>
        <w:rPr>
          <w:sz w:val="20"/>
          <w:szCs w:val="20"/>
          <w:color w:val="auto"/>
        </w:rPr>
      </w:pPr>
    </w:p>
    <w:p>
      <w:pPr>
        <w:spacing w:after="0"/>
        <w:tabs>
          <w:tab w:leader="none" w:pos="1100" w:val="left"/>
          <w:tab w:leader="none" w:pos="2220" w:val="left"/>
        </w:tabs>
        <w:rPr>
          <w:sz w:val="20"/>
          <w:szCs w:val="20"/>
          <w:color w:val="auto"/>
        </w:rPr>
      </w:pPr>
      <w:r>
        <w:rPr>
          <w:rFonts w:ascii="Courier New" w:cs="Courier New" w:eastAsia="Courier New" w:hAnsi="Courier New"/>
          <w:sz w:val="13"/>
          <w:szCs w:val="13"/>
          <w:b w:val="1"/>
          <w:bCs w:val="1"/>
          <w:color w:val="auto"/>
        </w:rPr>
        <w:t>------------</w:t>
        <w:tab/>
        <w:t>-----------</w:t>
        <w:tab/>
        <w:t>------------</w:t>
      </w:r>
    </w:p>
    <w:p>
      <w:pPr>
        <w:spacing w:after="0" w:line="7" w:lineRule="exact"/>
        <w:rPr>
          <w:sz w:val="20"/>
          <w:szCs w:val="20"/>
          <w:color w:val="auto"/>
        </w:rPr>
      </w:pPr>
    </w:p>
    <w:p>
      <w:pPr>
        <w:ind w:left="320"/>
        <w:spacing w:after="0"/>
        <w:tabs>
          <w:tab w:leader="none" w:pos="1260" w:val="left"/>
          <w:tab w:leader="none" w:pos="1500" w:val="left"/>
          <w:tab w:leader="none" w:pos="2540" w:val="left"/>
          <w:tab w:leader="none" w:pos="2780" w:val="left"/>
        </w:tabs>
        <w:rPr>
          <w:sz w:val="20"/>
          <w:szCs w:val="20"/>
          <w:color w:val="auto"/>
        </w:rPr>
      </w:pPr>
      <w:r>
        <w:rPr>
          <w:rFonts w:ascii="Courier New" w:cs="Courier New" w:eastAsia="Courier New" w:hAnsi="Courier New"/>
          <w:sz w:val="13"/>
          <w:szCs w:val="13"/>
          <w:color w:val="auto"/>
        </w:rPr>
        <w:t>$7,760</w:t>
      </w:r>
      <w:r>
        <w:rPr>
          <w:sz w:val="20"/>
          <w:szCs w:val="20"/>
          <w:color w:val="auto"/>
        </w:rPr>
        <w:tab/>
      </w:r>
      <w:r>
        <w:rPr>
          <w:rFonts w:ascii="Courier New" w:cs="Courier New" w:eastAsia="Courier New" w:hAnsi="Courier New"/>
          <w:sz w:val="13"/>
          <w:szCs w:val="13"/>
          <w:color w:val="auto"/>
        </w:rPr>
        <w:t>$</w:t>
        <w:tab/>
        <w:t>4,662</w:t>
      </w:r>
      <w:r>
        <w:rPr>
          <w:sz w:val="20"/>
          <w:szCs w:val="20"/>
          <w:color w:val="auto"/>
        </w:rPr>
        <w:tab/>
      </w:r>
      <w:r>
        <w:rPr>
          <w:rFonts w:ascii="Courier New" w:cs="Courier New" w:eastAsia="Courier New" w:hAnsi="Courier New"/>
          <w:sz w:val="13"/>
          <w:szCs w:val="13"/>
          <w:color w:val="auto"/>
        </w:rPr>
        <w:t>$</w:t>
        <w:tab/>
        <w:t>9,987</w:t>
      </w:r>
    </w:p>
    <w:p>
      <w:pPr>
        <w:spacing w:after="0" w:line="7" w:lineRule="exact"/>
        <w:rPr>
          <w:sz w:val="20"/>
          <w:szCs w:val="20"/>
          <w:color w:val="auto"/>
        </w:rPr>
      </w:pPr>
    </w:p>
    <w:p>
      <w:pPr>
        <w:sectPr>
          <w:pgSz w:w="11900" w:h="16838" w:orient="portrait"/>
          <w:cols w:equalWidth="0" w:num="2">
            <w:col w:w="5060" w:space="720"/>
            <w:col w:w="4459"/>
          </w:cols>
          <w:pgMar w:left="220" w:top="141" w:right="1440" w:bottom="429" w:gutter="0" w:footer="0" w:header="0"/>
          <w:type w:val="continuous"/>
        </w:sectPr>
      </w:pPr>
    </w:p>
    <w:p>
      <w:pPr>
        <w:ind w:left="1360"/>
        <w:spacing w:after="0"/>
        <w:rPr>
          <w:sz w:val="20"/>
          <w:szCs w:val="20"/>
          <w:color w:val="auto"/>
        </w:rPr>
      </w:pPr>
      <w:r>
        <w:rPr>
          <w:rFonts w:ascii="Courier New" w:cs="Courier New" w:eastAsia="Courier New" w:hAnsi="Courier New"/>
          <w:sz w:val="13"/>
          <w:szCs w:val="13"/>
          <w:color w:val="auto"/>
        </w:rPr>
        <w:t>Stock based compensation costs, net of income</w:t>
      </w:r>
    </w:p>
    <w:p>
      <w:pPr>
        <w:sectPr>
          <w:pgSz w:w="11900" w:h="16838" w:orient="portrait"/>
          <w:cols w:equalWidth="0" w:num="1">
            <w:col w:w="10239"/>
          </w:cols>
          <w:pgMar w:left="220" w:top="141" w:right="1440" w:bottom="429"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tax, 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ectPr>
          <w:pgSz w:w="11900" w:h="16838" w:orient="portrait"/>
          <w:cols w:equalWidth="0" w:num="4">
            <w:col w:w="5700" w:space="720"/>
            <w:col w:w="400" w:space="720"/>
            <w:col w:w="480" w:space="720"/>
            <w:col w:w="1499"/>
          </w:cols>
          <w:pgMar w:left="220" w:top="141" w:right="1440" w:bottom="429" w:gutter="0" w:footer="0" w:header="0"/>
          <w:type w:val="continuous"/>
        </w:sectPr>
      </w:pPr>
    </w:p>
    <w:p>
      <w:pPr>
        <w:ind w:left="1360"/>
        <w:spacing w:after="0"/>
        <w:rPr>
          <w:sz w:val="20"/>
          <w:szCs w:val="20"/>
          <w:color w:val="auto"/>
        </w:rPr>
      </w:pPr>
      <w:r>
        <w:rPr>
          <w:rFonts w:ascii="Courier New" w:cs="Courier New" w:eastAsia="Courier New" w:hAnsi="Courier New"/>
          <w:sz w:val="13"/>
          <w:szCs w:val="13"/>
          <w:color w:val="auto"/>
        </w:rPr>
        <w:t>Stock based compensation costs, net of income</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tax, that would have been included in net</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income if the fair value method had been</w:t>
      </w:r>
    </w:p>
    <w:p>
      <w:pPr>
        <w:sectPr>
          <w:pgSz w:w="11900" w:h="16838" w:orient="portrait"/>
          <w:cols w:equalWidth="0" w:num="1">
            <w:col w:w="10239"/>
          </w:cols>
          <w:pgMar w:left="220" w:top="141" w:right="1440" w:bottom="429"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applied</w:t>
      </w:r>
    </w:p>
    <w:p>
      <w:pPr>
        <w:spacing w:after="0" w:line="161" w:lineRule="exact"/>
        <w:rPr>
          <w:sz w:val="20"/>
          <w:szCs w:val="20"/>
          <w:color w:val="auto"/>
        </w:rPr>
      </w:pPr>
    </w:p>
    <w:p>
      <w:pPr>
        <w:ind w:left="1120"/>
        <w:spacing w:after="0"/>
        <w:rPr>
          <w:sz w:val="20"/>
          <w:szCs w:val="20"/>
          <w:color w:val="auto"/>
        </w:rPr>
      </w:pPr>
      <w:r>
        <w:rPr>
          <w:rFonts w:ascii="Courier New" w:cs="Courier New" w:eastAsia="Courier New" w:hAnsi="Courier New"/>
          <w:sz w:val="13"/>
          <w:szCs w:val="13"/>
          <w:color w:val="auto"/>
        </w:rPr>
        <w:t>Net income - proforma</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3"/>
          <w:szCs w:val="13"/>
          <w:color w:val="auto"/>
        </w:rPr>
        <w:t>488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$ 7,272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3"/>
          <w:szCs w:val="13"/>
          <w:color w:val="auto"/>
        </w:rPr>
        <w:t>315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ind w:left="160"/>
        <w:spacing w:after="0"/>
        <w:tabs>
          <w:tab w:leader="none" w:pos="380" w:val="left"/>
        </w:tabs>
        <w:rPr>
          <w:sz w:val="20"/>
          <w:szCs w:val="20"/>
          <w:color w:val="auto"/>
        </w:rPr>
      </w:pPr>
      <w:r>
        <w:rPr>
          <w:rFonts w:ascii="Courier New" w:cs="Courier New" w:eastAsia="Courier New" w:hAnsi="Courier New"/>
          <w:sz w:val="13"/>
          <w:szCs w:val="13"/>
          <w:color w:val="auto"/>
        </w:rPr>
        <w:t>$</w:t>
        <w:tab/>
        <w:t>4,347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1339"/>
        <w:spacing w:after="0"/>
        <w:rPr>
          <w:sz w:val="20"/>
          <w:szCs w:val="20"/>
          <w:color w:val="auto"/>
        </w:rPr>
      </w:pPr>
      <w:r>
        <w:rPr>
          <w:rFonts w:ascii="Courier New" w:cs="Courier New" w:eastAsia="Courier New" w:hAnsi="Courier New"/>
          <w:sz w:val="13"/>
          <w:szCs w:val="13"/>
          <w:color w:val="auto"/>
        </w:rPr>
        <w:t>183</w:t>
      </w:r>
    </w:p>
    <w:p>
      <w:pPr>
        <w:spacing w:after="0" w:line="7"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240"/>
        <w:spacing w:after="0"/>
        <w:tabs>
          <w:tab w:leader="none" w:pos="460" w:val="left"/>
        </w:tabs>
        <w:rPr>
          <w:sz w:val="20"/>
          <w:szCs w:val="20"/>
          <w:color w:val="auto"/>
        </w:rPr>
      </w:pPr>
      <w:r>
        <w:rPr>
          <w:rFonts w:ascii="Courier New" w:cs="Courier New" w:eastAsia="Courier New" w:hAnsi="Courier New"/>
          <w:sz w:val="13"/>
          <w:szCs w:val="13"/>
          <w:color w:val="auto"/>
        </w:rPr>
        <w:t>$</w:t>
        <w:tab/>
        <w:t>9,804</w:t>
      </w:r>
    </w:p>
    <w:p>
      <w:pPr>
        <w:spacing w:after="0" w:line="7"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0"/>
          <w:szCs w:val="20"/>
          <w:color w:val="auto"/>
        </w:rPr>
      </w:pPr>
    </w:p>
    <w:p>
      <w:pPr>
        <w:sectPr>
          <w:pgSz w:w="11900" w:h="16838" w:orient="portrait"/>
          <w:cols w:equalWidth="0" w:num="4">
            <w:col w:w="5060" w:space="720"/>
            <w:col w:w="960" w:space="160"/>
            <w:col w:w="880" w:space="240"/>
            <w:col w:w="2219"/>
          </w:cols>
          <w:pgMar w:left="220" w:top="141" w:right="1440" w:bottom="429" w:gutter="0" w:footer="0" w:header="0"/>
          <w:type w:val="continuous"/>
        </w:sectPr>
      </w:pPr>
    </w:p>
    <w:p>
      <w:pPr>
        <w:ind w:left="1120"/>
        <w:spacing w:after="0"/>
        <w:rPr>
          <w:sz w:val="20"/>
          <w:szCs w:val="20"/>
          <w:color w:val="auto"/>
        </w:rPr>
      </w:pPr>
      <w:r>
        <w:rPr>
          <w:rFonts w:ascii="Courier New" w:cs="Courier New" w:eastAsia="Courier New" w:hAnsi="Courier New"/>
          <w:sz w:val="13"/>
          <w:szCs w:val="13"/>
          <w:color w:val="auto"/>
        </w:rPr>
        <w:t>Earnings per share -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$ 0.51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0.31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3"/>
          <w:szCs w:val="13"/>
          <w:color w:val="auto"/>
        </w:rPr>
        <w:t>$</w:t>
        <w:tab/>
        <w:t>0.66</w:t>
      </w:r>
    </w:p>
    <w:p>
      <w:pPr>
        <w:spacing w:after="0" w:line="7" w:lineRule="exact"/>
        <w:rPr>
          <w:sz w:val="20"/>
          <w:szCs w:val="20"/>
          <w:color w:val="auto"/>
        </w:rPr>
      </w:pPr>
    </w:p>
    <w:p>
      <w:pPr>
        <w:sectPr>
          <w:pgSz w:w="11900" w:h="16838" w:orient="portrait"/>
          <w:cols w:equalWidth="0" w:num="5">
            <w:col w:w="5380" w:space="720"/>
            <w:col w:w="480" w:space="400"/>
            <w:col w:w="80" w:space="320"/>
            <w:col w:w="320" w:space="560"/>
            <w:col w:w="1979"/>
          </w:cols>
          <w:pgMar w:left="220" w:top="141" w:right="1440" w:bottom="429" w:gutter="0" w:footer="0" w:header="0"/>
          <w:type w:val="continuous"/>
        </w:sectPr>
      </w:pPr>
    </w:p>
    <w:p>
      <w:pPr>
        <w:ind w:left="1360"/>
        <w:spacing w:after="0"/>
        <w:rPr>
          <w:sz w:val="20"/>
          <w:szCs w:val="20"/>
          <w:color w:val="auto"/>
        </w:rPr>
      </w:pPr>
      <w:r>
        <w:rPr>
          <w:rFonts w:ascii="Courier New" w:cs="Courier New" w:eastAsia="Courier New" w:hAnsi="Courier New"/>
          <w:sz w:val="13"/>
          <w:szCs w:val="13"/>
          <w:color w:val="auto"/>
        </w:rPr>
        <w:t>Stock based compensation costs, net of income</w:t>
      </w:r>
    </w:p>
    <w:p>
      <w:pPr>
        <w:sectPr>
          <w:pgSz w:w="11900" w:h="16838" w:orient="portrait"/>
          <w:cols w:equalWidth="0" w:num="1">
            <w:col w:w="10239"/>
          </w:cols>
          <w:pgMar w:left="220" w:top="141" w:right="1440" w:bottom="429"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tax, 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ectPr>
          <w:pgSz w:w="11900" w:h="16838" w:orient="portrait"/>
          <w:cols w:equalWidth="0" w:num="4">
            <w:col w:w="5700" w:space="720"/>
            <w:col w:w="400" w:space="720"/>
            <w:col w:w="480" w:space="720"/>
            <w:col w:w="1499"/>
          </w:cols>
          <w:pgMar w:left="220" w:top="141" w:right="1440" w:bottom="429" w:gutter="0" w:footer="0" w:header="0"/>
          <w:type w:val="continuous"/>
        </w:sectPr>
      </w:pPr>
    </w:p>
    <w:p>
      <w:pPr>
        <w:ind w:left="1360"/>
        <w:spacing w:after="0"/>
        <w:rPr>
          <w:sz w:val="20"/>
          <w:szCs w:val="20"/>
          <w:color w:val="auto"/>
        </w:rPr>
      </w:pPr>
      <w:r>
        <w:rPr>
          <w:rFonts w:ascii="Courier New" w:cs="Courier New" w:eastAsia="Courier New" w:hAnsi="Courier New"/>
          <w:sz w:val="13"/>
          <w:szCs w:val="13"/>
          <w:color w:val="auto"/>
        </w:rPr>
        <w:t>Stock based compensation costs, net of income</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tax, that would have been included in net</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income if the fair value method had been</w:t>
      </w:r>
    </w:p>
    <w:p>
      <w:pPr>
        <w:sectPr>
          <w:pgSz w:w="11900" w:h="16838" w:orient="portrait"/>
          <w:cols w:equalWidth="0" w:num="1">
            <w:col w:w="10239"/>
          </w:cols>
          <w:pgMar w:left="220" w:top="141" w:right="1440" w:bottom="429"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applied</w:t>
      </w:r>
    </w:p>
    <w:p>
      <w:pPr>
        <w:spacing w:after="0" w:line="161" w:lineRule="exact"/>
        <w:rPr>
          <w:sz w:val="20"/>
          <w:szCs w:val="20"/>
          <w:color w:val="auto"/>
        </w:rPr>
      </w:pPr>
    </w:p>
    <w:p>
      <w:pPr>
        <w:ind w:left="1120"/>
        <w:spacing w:after="0"/>
        <w:rPr>
          <w:sz w:val="20"/>
          <w:szCs w:val="20"/>
          <w:color w:val="auto"/>
        </w:rPr>
      </w:pPr>
      <w:r>
        <w:rPr>
          <w:rFonts w:ascii="Courier New" w:cs="Courier New" w:eastAsia="Courier New" w:hAnsi="Courier New"/>
          <w:sz w:val="13"/>
          <w:szCs w:val="13"/>
          <w:color w:val="auto"/>
        </w:rPr>
        <w:t>Earnings per share - proforma</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3"/>
          <w:szCs w:val="13"/>
          <w:color w:val="auto"/>
        </w:rPr>
        <w:t>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0.48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3"/>
          <w:szCs w:val="13"/>
          <w:color w:val="auto"/>
        </w:rPr>
        <w:t>0.03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160"/>
        <w:spacing w:after="0"/>
        <w:tabs>
          <w:tab w:leader="none" w:pos="5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0.28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1339"/>
        <w:spacing w:after="0"/>
        <w:rPr>
          <w:sz w:val="20"/>
          <w:szCs w:val="20"/>
          <w:color w:val="auto"/>
        </w:rPr>
      </w:pPr>
      <w:r>
        <w:rPr>
          <w:rFonts w:ascii="Courier New" w:cs="Courier New" w:eastAsia="Courier New" w:hAnsi="Courier New"/>
          <w:sz w:val="13"/>
          <w:szCs w:val="13"/>
          <w:color w:val="auto"/>
        </w:rPr>
        <w:t>0.02</w:t>
      </w:r>
    </w:p>
    <w:p>
      <w:pPr>
        <w:spacing w:after="0" w:line="7"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320"/>
        <w:spacing w:after="0"/>
        <w:tabs>
          <w:tab w:leader="none" w:pos="620" w:val="left"/>
        </w:tabs>
        <w:rPr>
          <w:sz w:val="20"/>
          <w:szCs w:val="20"/>
          <w:color w:val="auto"/>
        </w:rPr>
      </w:pPr>
      <w:r>
        <w:rPr>
          <w:rFonts w:ascii="Courier New" w:cs="Courier New" w:eastAsia="Courier New" w:hAnsi="Courier New"/>
          <w:sz w:val="13"/>
          <w:szCs w:val="13"/>
          <w:color w:val="auto"/>
        </w:rPr>
        <w:t>$</w:t>
        <w:tab/>
        <w:t>0.64</w:t>
      </w:r>
    </w:p>
    <w:p>
      <w:pPr>
        <w:spacing w:after="0" w:line="7"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4">
            <w:col w:w="4980" w:space="720"/>
            <w:col w:w="960" w:space="160"/>
            <w:col w:w="880" w:space="240"/>
            <w:col w:w="2299"/>
          </w:cols>
          <w:pgMar w:left="220" w:top="141" w:right="1440" w:bottom="429" w:gutter="0" w:footer="0" w:header="0"/>
          <w:type w:val="continuous"/>
        </w:sectPr>
      </w:pPr>
    </w:p>
    <w:p>
      <w:pPr>
        <w:spacing w:after="0" w:line="270" w:lineRule="exact"/>
        <w:rPr>
          <w:sz w:val="20"/>
          <w:szCs w:val="20"/>
          <w:color w:val="auto"/>
        </w:rPr>
      </w:pPr>
    </w:p>
    <w:p>
      <w:pPr>
        <w:ind w:left="1120"/>
        <w:spacing w:after="0"/>
        <w:rPr>
          <w:sz w:val="20"/>
          <w:szCs w:val="20"/>
          <w:color w:val="auto"/>
        </w:rPr>
      </w:pPr>
      <w:r>
        <w:rPr>
          <w:rFonts w:ascii="Courier New" w:cs="Courier New" w:eastAsia="Courier New" w:hAnsi="Courier New"/>
          <w:sz w:val="13"/>
          <w:szCs w:val="13"/>
          <w:color w:val="auto"/>
        </w:rPr>
        <w:t>Earnings per share-assuming dilution - as reported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color w:val="auto"/>
        </w:rPr>
        <w:t>0.49</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0.30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0.64</w:t>
      </w:r>
    </w:p>
    <w:p>
      <w:pPr>
        <w:spacing w:after="0" w:line="7" w:lineRule="exact"/>
        <w:rPr>
          <w:sz w:val="20"/>
          <w:szCs w:val="20"/>
          <w:color w:val="auto"/>
        </w:rPr>
      </w:pPr>
    </w:p>
    <w:p>
      <w:pPr>
        <w:sectPr>
          <w:pgSz w:w="11900" w:h="16838" w:orient="portrait"/>
          <w:cols w:equalWidth="0" w:num="6">
            <w:col w:w="5140" w:space="560"/>
            <w:col w:w="80" w:space="480"/>
            <w:col w:w="800" w:space="320"/>
            <w:col w:w="320" w:space="480"/>
            <w:col w:w="80" w:space="240"/>
            <w:col w:w="1739"/>
          </w:cols>
          <w:pgMar w:left="220" w:top="141" w:right="1440" w:bottom="429" w:gutter="0" w:footer="0" w:header="0"/>
          <w:type w:val="continuous"/>
        </w:sectPr>
      </w:pPr>
    </w:p>
    <w:p>
      <w:pPr>
        <w:ind w:left="1120"/>
        <w:spacing w:after="0"/>
        <w:rPr>
          <w:sz w:val="20"/>
          <w:szCs w:val="20"/>
          <w:color w:val="auto"/>
        </w:rPr>
      </w:pPr>
      <w:r>
        <w:rPr>
          <w:rFonts w:ascii="Courier New" w:cs="Courier New" w:eastAsia="Courier New" w:hAnsi="Courier New"/>
          <w:sz w:val="13"/>
          <w:szCs w:val="13"/>
          <w:color w:val="auto"/>
        </w:rPr>
        <w:t>Stock based compensation costs, net of income tax,</w:t>
      </w:r>
    </w:p>
    <w:p>
      <w:pPr>
        <w:sectPr>
          <w:pgSz w:w="11900" w:h="16838" w:orient="portrait"/>
          <w:cols w:equalWidth="0" w:num="1">
            <w:col w:w="10239"/>
          </w:cols>
          <w:pgMar w:left="220" w:top="141" w:right="1440" w:bottom="429"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color w:val="auto"/>
        </w:rPr>
        <w:t>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ectPr>
          <w:pgSz w:w="11900" w:h="16838" w:orient="portrait"/>
          <w:cols w:equalWidth="0" w:num="4">
            <w:col w:w="5700" w:space="720"/>
            <w:col w:w="320" w:space="720"/>
            <w:col w:w="480" w:space="720"/>
            <w:col w:w="1579"/>
          </w:cols>
          <w:pgMar w:left="220" w:top="141" w:right="1440" w:bottom="429" w:gutter="0" w:footer="0" w:header="0"/>
          <w:type w:val="continuous"/>
        </w:sectPr>
      </w:pPr>
    </w:p>
    <w:p>
      <w:pPr>
        <w:jc w:val="right"/>
        <w:ind w:right="5099"/>
        <w:spacing w:after="0"/>
        <w:rPr>
          <w:sz w:val="20"/>
          <w:szCs w:val="20"/>
          <w:color w:val="auto"/>
        </w:rPr>
      </w:pPr>
      <w:r>
        <w:rPr>
          <w:rFonts w:ascii="Courier New" w:cs="Courier New" w:eastAsia="Courier New" w:hAnsi="Courier New"/>
          <w:sz w:val="13"/>
          <w:szCs w:val="13"/>
          <w:color w:val="auto"/>
        </w:rPr>
        <w:t>Stock based compensation costs, net of income tax,</w:t>
      </w:r>
    </w:p>
    <w:p>
      <w:pPr>
        <w:spacing w:after="0" w:line="7" w:lineRule="exact"/>
        <w:rPr>
          <w:sz w:val="20"/>
          <w:szCs w:val="20"/>
          <w:color w:val="auto"/>
        </w:rPr>
      </w:pPr>
    </w:p>
    <w:p>
      <w:pPr>
        <w:jc w:val="right"/>
        <w:ind w:right="5099"/>
        <w:spacing w:after="0"/>
        <w:rPr>
          <w:sz w:val="20"/>
          <w:szCs w:val="20"/>
          <w:color w:val="auto"/>
        </w:rPr>
      </w:pPr>
      <w:r>
        <w:rPr>
          <w:rFonts w:ascii="Courier New" w:cs="Courier New" w:eastAsia="Courier New" w:hAnsi="Courier New"/>
          <w:sz w:val="13"/>
          <w:szCs w:val="13"/>
          <w:color w:val="auto"/>
        </w:rPr>
        <w:t>that would have been included in net income if</w:t>
      </w:r>
    </w:p>
    <w:p>
      <w:pPr>
        <w:sectPr>
          <w:pgSz w:w="11900" w:h="16838" w:orient="portrait"/>
          <w:cols w:equalWidth="0" w:num="1">
            <w:col w:w="10239"/>
          </w:cols>
          <w:pgMar w:left="220" w:top="141" w:right="1440" w:bottom="429" w:gutter="0" w:footer="0" w:header="0"/>
          <w:type w:val="continuous"/>
        </w:sectPr>
      </w:pPr>
    </w:p>
    <w:p>
      <w:pPr>
        <w:spacing w:after="0" w:line="7" w:lineRule="exact"/>
        <w:rPr>
          <w:sz w:val="20"/>
          <w:szCs w:val="20"/>
          <w:color w:val="auto"/>
        </w:rPr>
      </w:pPr>
    </w:p>
    <w:p>
      <w:pPr>
        <w:ind w:left="1120" w:right="80" w:firstLine="321"/>
        <w:spacing w:after="0" w:line="506" w:lineRule="auto"/>
        <w:rPr>
          <w:sz w:val="20"/>
          <w:szCs w:val="20"/>
          <w:color w:val="auto"/>
        </w:rPr>
      </w:pPr>
      <w:r>
        <w:rPr>
          <w:rFonts w:ascii="Courier New" w:cs="Courier New" w:eastAsia="Courier New" w:hAnsi="Courier New"/>
          <w:sz w:val="13"/>
          <w:szCs w:val="13"/>
          <w:color w:val="auto"/>
        </w:rPr>
        <w:t>the fair value method had been applied Earnings per share - assuming dilution-proforma</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3"/>
          <w:szCs w:val="13"/>
          <w:color w:val="auto"/>
        </w:rPr>
        <w:t>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0.46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3"/>
          <w:szCs w:val="13"/>
          <w:color w:val="auto"/>
        </w:rPr>
        <w:t>0.02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160"/>
        <w:spacing w:after="0"/>
        <w:tabs>
          <w:tab w:leader="none" w:pos="5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0.28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1419"/>
        <w:spacing w:after="0"/>
        <w:rPr>
          <w:sz w:val="20"/>
          <w:szCs w:val="20"/>
          <w:color w:val="auto"/>
        </w:rPr>
      </w:pPr>
      <w:r>
        <w:rPr>
          <w:rFonts w:ascii="Courier New" w:cs="Courier New" w:eastAsia="Courier New" w:hAnsi="Courier New"/>
          <w:sz w:val="13"/>
          <w:szCs w:val="13"/>
          <w:color w:val="auto"/>
        </w:rPr>
        <w:t>0.01</w:t>
      </w:r>
    </w:p>
    <w:p>
      <w:pPr>
        <w:spacing w:after="0" w:line="7"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jc w:val="both"/>
        <w:ind w:left="240"/>
        <w:spacing w:after="0"/>
        <w:tabs>
          <w:tab w:leader="none" w:pos="540" w:val="left"/>
        </w:tabs>
        <w:rPr>
          <w:sz w:val="20"/>
          <w:szCs w:val="20"/>
          <w:color w:val="auto"/>
        </w:rPr>
      </w:pPr>
      <w:r>
        <w:rPr>
          <w:rFonts w:ascii="Courier New" w:cs="Courier New" w:eastAsia="Courier New" w:hAnsi="Courier New"/>
          <w:sz w:val="13"/>
          <w:szCs w:val="13"/>
          <w:color w:val="auto"/>
        </w:rPr>
        <w:t>$</w:t>
        <w:tab/>
        <w:t>0.63</w:t>
      </w:r>
    </w:p>
    <w:p>
      <w:pPr>
        <w:spacing w:after="0" w:line="7"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4">
            <w:col w:w="4980" w:space="720"/>
            <w:col w:w="960" w:space="160"/>
            <w:col w:w="880" w:space="240"/>
            <w:col w:w="2299"/>
          </w:cols>
          <w:pgMar w:left="220" w:top="141" w:right="1440" w:bottom="429" w:gutter="0" w:footer="0" w:header="0"/>
          <w:type w:val="continuous"/>
        </w:sectPr>
      </w:pPr>
    </w:p>
    <w:p>
      <w:pPr>
        <w:spacing w:after="0" w:line="104" w:lineRule="exact"/>
        <w:rPr>
          <w:sz w:val="20"/>
          <w:szCs w:val="20"/>
          <w:color w:val="auto"/>
        </w:rPr>
      </w:pPr>
    </w:p>
    <w:p>
      <w:pPr>
        <w:ind w:left="1120" w:right="3899"/>
        <w:spacing w:after="0" w:line="252" w:lineRule="auto"/>
        <w:rPr>
          <w:sz w:val="20"/>
          <w:szCs w:val="20"/>
          <w:color w:val="auto"/>
        </w:rPr>
      </w:pPr>
      <w:r>
        <w:rPr>
          <w:rFonts w:ascii="Courier New" w:cs="Courier New" w:eastAsia="Courier New" w:hAnsi="Courier New"/>
          <w:sz w:val="13"/>
          <w:szCs w:val="13"/>
          <w:color w:val="auto"/>
        </w:rPr>
        <w:t>The fair value of each option grant was estimated based on actual information available through December 31, 2002, 2001 and 2000 using the Black Scholes option-pricing model with the following assumptions:</w:t>
      </w:r>
    </w:p>
    <w:p>
      <w:pPr>
        <w:sectPr>
          <w:pgSz w:w="11900" w:h="16838" w:orient="portrait"/>
          <w:cols w:equalWidth="0" w:num="1">
            <w:col w:w="10239"/>
          </w:cols>
          <w:pgMar w:left="220" w:top="141" w:right="1440" w:bottom="429"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Risk free interest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Dividend yield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Volatility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Vesting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3.28%, 4.75% and 5.1% for 2002, 2001 and 2000,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3.2%, 2.8%, and 3.6% annually for 2002, 2001 and 2000,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50.11%, 40.7% and 39.5% for 2002, 2001 and 2000, respectively</w:t>
      </w:r>
    </w:p>
    <w:p>
      <w:pPr>
        <w:spacing w:after="0" w:line="200" w:lineRule="exact"/>
        <w:rPr>
          <w:sz w:val="20"/>
          <w:szCs w:val="20"/>
          <w:color w:val="auto"/>
        </w:rPr>
      </w:pPr>
    </w:p>
    <w:p>
      <w:pPr>
        <w:sectPr>
          <w:pgSz w:w="11900" w:h="16838" w:orient="portrait"/>
          <w:cols w:equalWidth="0" w:num="2">
            <w:col w:w="1840" w:space="720"/>
            <w:col w:w="7679"/>
          </w:cols>
          <w:pgMar w:left="220" w:top="141" w:right="1440" w:bottom="429" w:gutter="0" w:footer="0" w:header="0"/>
          <w:type w:val="continuous"/>
        </w:sectPr>
      </w:pPr>
    </w:p>
    <w:p>
      <w:pPr>
        <w:spacing w:after="0" w:line="115"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w:t>
      </w:r>
    </w:p>
    <w:p>
      <w:pPr>
        <w:spacing w:after="0" w:line="156"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9"/>
          </w:cols>
          <w:pgMar w:left="220" w:top="141" w:right="1440" w:bottom="429" w:gutter="0" w:footer="0" w:header="0"/>
          <w:type w:val="continuous"/>
        </w:sectPr>
      </w:pPr>
    </w:p>
    <w:bookmarkStart w:id="30" w:name="page31"/>
    <w:bookmarkEnd w:id="30"/>
    <w:p>
      <w:pPr>
        <w:jc w:val="center"/>
        <w:ind w:right="50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guarantees that it has issued. It also clarifies that a guarantor is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required to recognize, at the inception of a guarantee, a liability</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for the fair value of the obligation undertaken in issuing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guarantee. The initial recognition and initial measurement provisions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of this interpretation are applicable on a prospective basis to</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guarantees issued or modified after December 31, 2002 and are not</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expected to have a material effect on the Company's consolidated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results of operations, financial position or cash flows.</w:t>
      </w:r>
    </w:p>
    <w:p>
      <w:pPr>
        <w:spacing w:after="0" w:line="200" w:lineRule="exact"/>
        <w:rPr>
          <w:sz w:val="20"/>
          <w:szCs w:val="20"/>
          <w:color w:val="auto"/>
        </w:rPr>
      </w:pPr>
    </w:p>
    <w:p>
      <w:pPr>
        <w:spacing w:after="0" w:line="270" w:lineRule="exact"/>
        <w:rPr>
          <w:sz w:val="20"/>
          <w:szCs w:val="20"/>
          <w:color w:val="auto"/>
        </w:rPr>
      </w:pPr>
    </w:p>
    <w:p>
      <w:pPr>
        <w:ind w:left="560" w:hanging="558"/>
        <w:spacing w:after="0"/>
        <w:tabs>
          <w:tab w:leader="none" w:pos="560" w:val="left"/>
        </w:tabs>
        <w:numPr>
          <w:ilvl w:val="0"/>
          <w:numId w:val="10"/>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Acquisitions and Purchase of Minority Interest (Restated)</w:t>
      </w:r>
    </w:p>
    <w:p>
      <w:pPr>
        <w:spacing w:after="0" w:line="161" w:lineRule="exact"/>
        <w:rPr>
          <w:rFonts w:ascii="Courier New" w:cs="Courier New" w:eastAsia="Courier New" w:hAnsi="Courier New"/>
          <w:sz w:val="13"/>
          <w:szCs w:val="13"/>
          <w:b w:val="1"/>
          <w:bCs w:val="1"/>
          <w:color w:val="auto"/>
        </w:rPr>
      </w:pPr>
    </w:p>
    <w:p>
      <w:pPr>
        <w:ind w:left="56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On December 20, 2002 the Company completed the purchase of the 23% interest in NN Euroball, ApS ("Euroball") held by INA/FAG. Euroball was formed in 2000 by the Company, FAG Kugelfischer George Schaefer AG, which was subsequently acquired by INA - Schaeffler KG (collectively, "INA/FAG"), and AB SKF ("SKF"). INA/FAG is a global bearing manufacturer and one of our largest customers. The Company paid approximately 13,400 Euro ($13,800) for INA/FAG's interest in Euroball. The excess of the purchase price paid to INA/FAG for its 23% interest over the fair value of INA/FAG's 23% interest in the net assets of Euroball of approximately $1,517 has been recorded as goodwill (see Note 1). Following the closing of the transaction, the Company owns 77% of the outstanding shares of Euroball and SKF owns the remaining 23%. SKF consented to our purchase of INA/FAG's interest pursuant to the terms of the Euroball Shareholder Agreement. SKF has informed us that it intends to exercise its right and we expect to purchase its interest during the second quarter of 2003.</w:t>
      </w:r>
    </w:p>
    <w:p>
      <w:pPr>
        <w:spacing w:after="0" w:line="157" w:lineRule="exact"/>
        <w:rPr>
          <w:rFonts w:ascii="Courier New" w:cs="Courier New" w:eastAsia="Courier New" w:hAnsi="Courier New"/>
          <w:sz w:val="13"/>
          <w:szCs w:val="13"/>
          <w:b w:val="1"/>
          <w:bCs w:val="1"/>
          <w:color w:val="auto"/>
        </w:rPr>
      </w:pPr>
    </w:p>
    <w:p>
      <w:pPr>
        <w:ind w:left="56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On February 16, 2001, the Company completed the acquisition of all of the outstanding stock of The Delta Rubber Company, ("Delta") a Connecticut corporation for $22,500 in cash, of which $500 was to be held in escrow for one year from the date of closing. Delta provides high quality engineered bearing seals and other precision-molded rubber products to original equipment manufacturers. The Company plans to continue the operation of the Delta business, which operates a manufacturing facility in Danielson, Connecticut. The excess of the purchase price over the fair value of the net identifiable assets acquired of $14,107 has been recorded as goodwill.</w:t>
      </w:r>
    </w:p>
    <w:p>
      <w:pPr>
        <w:spacing w:after="0" w:line="310" w:lineRule="exact"/>
        <w:rPr>
          <w:rFonts w:ascii="Courier New" w:cs="Courier New" w:eastAsia="Courier New" w:hAnsi="Courier New"/>
          <w:sz w:val="13"/>
          <w:szCs w:val="13"/>
          <w:b w:val="1"/>
          <w:bCs w:val="1"/>
          <w:color w:val="auto"/>
        </w:rPr>
      </w:pPr>
    </w:p>
    <w:p>
      <w:pPr>
        <w:ind w:left="560" w:right="488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Effective July 31, 2000, the Company completed its Euroball transaction. Completion of the transaction required the Company to start a majority owned stand-alone company in Europe, NN Euroball ApS, for the manufacture and sale of precision steel balls used for ball bearings and other products. As a result of this transaction the Company owned 54% of the shares of NN Euroball, ApS, AB SKF (SKF), a Swedish Company, and FAG Kugelfischer Georg Schager AG (FAG), a German Company, owned 23% each. NN Euroball ApS subsequently acquired the steel ball manufacturing facilities located in Pinerolo, Italy (previously owned by SKF), Eltmann, Germany (previously owned by FAG) and Kilkenny, Ireland (previously owned by the Company). NN Euroball ApS paid approximately $47,433 for the net assets originally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$8,761 has been recorded as goodwill. The Company recorded a $9,270 increase in stockholders' equity to reflect the amount by which the Company's proportionate interest in Euroball exceeded the book value of the net assets exchanged by the Company. See Note 1, "Restatement".</w:t>
      </w:r>
    </w:p>
    <w:p>
      <w:pPr>
        <w:spacing w:after="0" w:line="158" w:lineRule="exact"/>
        <w:rPr>
          <w:rFonts w:ascii="Courier New" w:cs="Courier New" w:eastAsia="Courier New" w:hAnsi="Courier New"/>
          <w:sz w:val="13"/>
          <w:szCs w:val="13"/>
          <w:b w:val="1"/>
          <w:bCs w:val="1"/>
          <w:color w:val="auto"/>
        </w:rPr>
      </w:pPr>
    </w:p>
    <w:p>
      <w:pPr>
        <w:ind w:left="560" w:right="5120"/>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Under the terms of a Shareholder Agreement between the Company and SKF, at any time after December 31, 2002, SKF can require the Company to purchase its shares of NN Euroball ApS. The purchase price of the shares is to be calculated based on a formula price detailed in the Euroball Shareholder Agreement.</w:t>
      </w:r>
    </w:p>
    <w:p>
      <w:pPr>
        <w:spacing w:after="0" w:line="152" w:lineRule="exact"/>
        <w:rPr>
          <w:rFonts w:ascii="Courier New" w:cs="Courier New" w:eastAsia="Courier New" w:hAnsi="Courier New"/>
          <w:sz w:val="13"/>
          <w:szCs w:val="13"/>
          <w:b w:val="1"/>
          <w:bCs w:val="1"/>
          <w:color w:val="auto"/>
        </w:rPr>
      </w:pPr>
    </w:p>
    <w:p>
      <w:pPr>
        <w:ind w:left="56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following unaudited pro forma summary presents the financial information as if the Company's Euroball transaction and Delta acquisition had occurred on January 1, 2001 and 2000. These proforma results have been prepared for comparative purposes and do not purport to be indicative of what would have occurred had the acquisitions been made on January 1, 2001 and 2000, nor is it indicative of future results.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8700" w:type="dxa"/>
            <w:vAlign w:val="bottom"/>
            <w:gridSpan w:val="2"/>
          </w:tcPr>
          <w:p>
            <w:pPr>
              <w:jc w:val="right"/>
              <w:ind w:right="4973"/>
              <w:spacing w:after="0"/>
              <w:rPr>
                <w:sz w:val="20"/>
                <w:szCs w:val="20"/>
                <w:color w:val="auto"/>
              </w:rPr>
            </w:pPr>
            <w:r>
              <w:rPr>
                <w:rFonts w:ascii="Courier New" w:cs="Courier New" w:eastAsia="Courier New" w:hAnsi="Courier New"/>
                <w:sz w:val="13"/>
                <w:szCs w:val="13"/>
                <w:color w:val="auto"/>
              </w:rPr>
              <w:t>Continued</w:t>
            </w:r>
          </w:p>
        </w:tc>
      </w:tr>
      <w:tr>
        <w:trPr>
          <w:trHeight w:val="308"/>
        </w:trPr>
        <w:tc>
          <w:tcPr>
            <w:tcW w:w="2760" w:type="dxa"/>
            <w:vAlign w:val="bottom"/>
          </w:tcPr>
          <w:p>
            <w:pPr>
              <w:spacing w:after="0"/>
              <w:rPr>
                <w:sz w:val="24"/>
                <w:szCs w:val="24"/>
                <w:color w:val="auto"/>
              </w:rPr>
            </w:pPr>
          </w:p>
        </w:tc>
        <w:tc>
          <w:tcPr>
            <w:tcW w:w="3140" w:type="dxa"/>
            <w:vAlign w:val="bottom"/>
          </w:tcPr>
          <w:p>
            <w:pPr>
              <w:jc w:val="center"/>
              <w:ind w:right="2173"/>
              <w:spacing w:after="0"/>
              <w:rPr>
                <w:sz w:val="20"/>
                <w:szCs w:val="20"/>
                <w:color w:val="auto"/>
              </w:rPr>
            </w:pPr>
            <w:r>
              <w:rPr>
                <w:rFonts w:ascii="Courier New" w:cs="Courier New" w:eastAsia="Courier New" w:hAnsi="Courier New"/>
                <w:sz w:val="13"/>
                <w:szCs w:val="13"/>
                <w:color w:val="auto"/>
              </w:rPr>
              <w:t>42</w:t>
            </w:r>
          </w:p>
        </w:tc>
        <w:tc>
          <w:tcPr>
            <w:tcW w:w="5560" w:type="dxa"/>
            <w:vAlign w:val="bottom"/>
          </w:tcPr>
          <w:p>
            <w:pPr>
              <w:spacing w:after="0"/>
              <w:rPr>
                <w:sz w:val="24"/>
                <w:szCs w:val="24"/>
                <w:color w:val="auto"/>
              </w:rPr>
            </w:pPr>
          </w:p>
        </w:tc>
      </w:tr>
      <w:tr>
        <w:trPr>
          <w:trHeight w:val="137"/>
        </w:trPr>
        <w:tc>
          <w:tcPr>
            <w:tcW w:w="2760" w:type="dxa"/>
            <w:vAlign w:val="bottom"/>
            <w:tcBorders>
              <w:bottom w:val="single" w:sz="8" w:color="9A9A9A"/>
            </w:tcBorders>
          </w:tcPr>
          <w:p>
            <w:pPr>
              <w:spacing w:after="0"/>
              <w:rPr>
                <w:sz w:val="11"/>
                <w:szCs w:val="11"/>
                <w:color w:val="auto"/>
              </w:rPr>
            </w:pPr>
          </w:p>
        </w:tc>
        <w:tc>
          <w:tcPr>
            <w:tcW w:w="3140" w:type="dxa"/>
            <w:vAlign w:val="bottom"/>
            <w:tcBorders>
              <w:bottom w:val="single" w:sz="8" w:color="9A9A9A"/>
            </w:tcBorders>
          </w:tcPr>
          <w:p>
            <w:pPr>
              <w:spacing w:after="0"/>
              <w:rPr>
                <w:sz w:val="11"/>
                <w:szCs w:val="11"/>
                <w:color w:val="auto"/>
              </w:rPr>
            </w:pPr>
          </w:p>
        </w:tc>
        <w:tc>
          <w:tcPr>
            <w:tcW w:w="5560" w:type="dxa"/>
            <w:vAlign w:val="bottom"/>
            <w:tcBorders>
              <w:bottom w:val="single" w:sz="8" w:color="9A9A9A"/>
            </w:tcBorders>
          </w:tcPr>
          <w:p>
            <w:pPr>
              <w:spacing w:after="0"/>
              <w:rPr>
                <w:sz w:val="11"/>
                <w:szCs w:val="11"/>
                <w:color w:val="auto"/>
              </w:rPr>
            </w:pPr>
          </w:p>
        </w:tc>
      </w:tr>
      <w:tr>
        <w:trPr>
          <w:trHeight w:val="593"/>
        </w:trPr>
        <w:tc>
          <w:tcPr>
            <w:tcW w:w="2760" w:type="dxa"/>
            <w:vAlign w:val="bottom"/>
          </w:tcPr>
          <w:p>
            <w:pPr>
              <w:spacing w:after="0"/>
              <w:rPr>
                <w:sz w:val="24"/>
                <w:szCs w:val="24"/>
                <w:color w:val="auto"/>
              </w:rPr>
            </w:pPr>
          </w:p>
        </w:tc>
        <w:tc>
          <w:tcPr>
            <w:tcW w:w="3140" w:type="dxa"/>
            <w:vAlign w:val="bottom"/>
          </w:tcPr>
          <w:p>
            <w:pPr>
              <w:jc w:val="center"/>
              <w:ind w:right="2173"/>
              <w:spacing w:after="0"/>
              <w:rPr>
                <w:sz w:val="20"/>
                <w:szCs w:val="20"/>
                <w:color w:val="auto"/>
              </w:rPr>
            </w:pPr>
            <w:r>
              <w:rPr>
                <w:rFonts w:ascii="Courier New" w:cs="Courier New" w:eastAsia="Courier New" w:hAnsi="Courier New"/>
                <w:sz w:val="13"/>
                <w:szCs w:val="13"/>
                <w:b w:val="1"/>
                <w:bCs w:val="1"/>
                <w:color w:val="auto"/>
              </w:rPr>
              <w:t>NN, Inc.</w:t>
            </w:r>
          </w:p>
        </w:tc>
        <w:tc>
          <w:tcPr>
            <w:tcW w:w="5560" w:type="dxa"/>
            <w:vAlign w:val="bottom"/>
          </w:tcPr>
          <w:p>
            <w:pPr>
              <w:spacing w:after="0"/>
              <w:rPr>
                <w:sz w:val="24"/>
                <w:szCs w:val="24"/>
                <w:color w:val="auto"/>
              </w:rPr>
            </w:pPr>
          </w:p>
        </w:tc>
      </w:tr>
      <w:tr>
        <w:trPr>
          <w:trHeight w:val="154"/>
        </w:trPr>
        <w:tc>
          <w:tcPr>
            <w:tcW w:w="5900" w:type="dxa"/>
            <w:vAlign w:val="bottom"/>
            <w:gridSpan w:val="2"/>
          </w:tcPr>
          <w:p>
            <w:pPr>
              <w:jc w:val="center"/>
              <w:ind w:left="453"/>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tc>
        <w:tc>
          <w:tcPr>
            <w:tcW w:w="5560" w:type="dxa"/>
            <w:vAlign w:val="bottom"/>
          </w:tcPr>
          <w:p>
            <w:pPr>
              <w:spacing w:after="0"/>
              <w:rPr>
                <w:sz w:val="13"/>
                <w:szCs w:val="13"/>
                <w:color w:val="auto"/>
              </w:rPr>
            </w:pPr>
          </w:p>
        </w:tc>
      </w:tr>
      <w:tr>
        <w:trPr>
          <w:trHeight w:val="154"/>
        </w:trPr>
        <w:tc>
          <w:tcPr>
            <w:tcW w:w="5900" w:type="dxa"/>
            <w:vAlign w:val="bottom"/>
            <w:gridSpan w:val="2"/>
          </w:tcPr>
          <w:p>
            <w:pPr>
              <w:jc w:val="center"/>
              <w:ind w:left="453"/>
              <w:spacing w:after="0"/>
              <w:rPr>
                <w:sz w:val="20"/>
                <w:szCs w:val="20"/>
                <w:color w:val="auto"/>
              </w:rPr>
            </w:pPr>
            <w:r>
              <w:rPr>
                <w:rFonts w:ascii="Courier New" w:cs="Courier New" w:eastAsia="Courier New" w:hAnsi="Courier New"/>
                <w:sz w:val="13"/>
                <w:szCs w:val="13"/>
                <w:b w:val="1"/>
                <w:bCs w:val="1"/>
                <w:color w:val="auto"/>
              </w:rPr>
              <w:t>December 31, 2002, 2001 and 2000</w:t>
            </w:r>
          </w:p>
        </w:tc>
        <w:tc>
          <w:tcPr>
            <w:tcW w:w="5560" w:type="dxa"/>
            <w:vAlign w:val="bottom"/>
          </w:tcPr>
          <w:p>
            <w:pPr>
              <w:spacing w:after="0"/>
              <w:rPr>
                <w:sz w:val="13"/>
                <w:szCs w:val="13"/>
                <w:color w:val="auto"/>
              </w:rPr>
            </w:pPr>
          </w:p>
        </w:tc>
      </w:tr>
      <w:tr>
        <w:trPr>
          <w:trHeight w:val="154"/>
        </w:trPr>
        <w:tc>
          <w:tcPr>
            <w:tcW w:w="5900" w:type="dxa"/>
            <w:vAlign w:val="bottom"/>
            <w:gridSpan w:val="2"/>
          </w:tcPr>
          <w:p>
            <w:pPr>
              <w:jc w:val="right"/>
              <w:ind w:right="1093"/>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5560" w:type="dxa"/>
            <w:vAlign w:val="bottom"/>
          </w:tcPr>
          <w:p>
            <w:pPr>
              <w:spacing w:after="0"/>
              <w:rPr>
                <w:sz w:val="13"/>
                <w:szCs w:val="13"/>
                <w:color w:val="auto"/>
              </w:rPr>
            </w:pPr>
          </w:p>
        </w:tc>
      </w:tr>
      <w:tr>
        <w:trPr>
          <w:trHeight w:val="617"/>
        </w:trPr>
        <w:tc>
          <w:tcPr>
            <w:tcW w:w="2760" w:type="dxa"/>
            <w:vAlign w:val="bottom"/>
          </w:tcPr>
          <w:p>
            <w:pPr>
              <w:spacing w:after="0"/>
              <w:rPr>
                <w:sz w:val="24"/>
                <w:szCs w:val="24"/>
                <w:color w:val="auto"/>
              </w:rPr>
            </w:pPr>
          </w:p>
        </w:tc>
        <w:tc>
          <w:tcPr>
            <w:tcW w:w="314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(Unaudited)</w:t>
            </w:r>
          </w:p>
        </w:tc>
        <w:tc>
          <w:tcPr>
            <w:tcW w:w="5560" w:type="dxa"/>
            <w:vAlign w:val="bottom"/>
          </w:tcPr>
          <w:p>
            <w:pPr>
              <w:jc w:val="right"/>
              <w:ind w:right="4253"/>
              <w:spacing w:after="0"/>
              <w:rPr>
                <w:sz w:val="20"/>
                <w:szCs w:val="20"/>
                <w:color w:val="auto"/>
              </w:rPr>
            </w:pPr>
            <w:r>
              <w:rPr>
                <w:rFonts w:ascii="Courier New" w:cs="Courier New" w:eastAsia="Courier New" w:hAnsi="Courier New"/>
                <w:sz w:val="13"/>
                <w:szCs w:val="13"/>
                <w:b w:val="1"/>
                <w:bCs w:val="1"/>
                <w:color w:val="auto"/>
              </w:rPr>
              <w:t>(Unaudited)</w:t>
            </w:r>
          </w:p>
        </w:tc>
      </w:tr>
      <w:tr>
        <w:trPr>
          <w:trHeight w:val="154"/>
        </w:trPr>
        <w:tc>
          <w:tcPr>
            <w:tcW w:w="2760" w:type="dxa"/>
            <w:vAlign w:val="bottom"/>
          </w:tcPr>
          <w:p>
            <w:pPr>
              <w:spacing w:after="0"/>
              <w:rPr>
                <w:sz w:val="13"/>
                <w:szCs w:val="13"/>
                <w:color w:val="auto"/>
              </w:rPr>
            </w:pPr>
          </w:p>
        </w:tc>
        <w:tc>
          <w:tcPr>
            <w:tcW w:w="3140" w:type="dxa"/>
            <w:vAlign w:val="bottom"/>
          </w:tcPr>
          <w:p>
            <w:pPr>
              <w:ind w:left="1580"/>
              <w:spacing w:after="0"/>
              <w:rPr>
                <w:sz w:val="20"/>
                <w:szCs w:val="20"/>
                <w:color w:val="auto"/>
              </w:rPr>
            </w:pPr>
            <w:r>
              <w:rPr>
                <w:rFonts w:ascii="Courier New" w:cs="Courier New" w:eastAsia="Courier New" w:hAnsi="Courier New"/>
                <w:sz w:val="13"/>
                <w:szCs w:val="13"/>
                <w:b w:val="1"/>
                <w:bCs w:val="1"/>
                <w:color w:val="auto"/>
              </w:rPr>
              <w:t>December 31, 2001</w:t>
            </w:r>
          </w:p>
        </w:tc>
        <w:tc>
          <w:tcPr>
            <w:tcW w:w="556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December 31, 2000</w:t>
            </w:r>
          </w:p>
        </w:tc>
      </w:tr>
      <w:tr>
        <w:trPr>
          <w:trHeight w:val="154"/>
        </w:trPr>
        <w:tc>
          <w:tcPr>
            <w:tcW w:w="2760" w:type="dxa"/>
            <w:vAlign w:val="bottom"/>
          </w:tcPr>
          <w:p>
            <w:pPr>
              <w:spacing w:after="0"/>
              <w:rPr>
                <w:sz w:val="13"/>
                <w:szCs w:val="13"/>
                <w:color w:val="auto"/>
              </w:rPr>
            </w:pPr>
          </w:p>
        </w:tc>
        <w:tc>
          <w:tcPr>
            <w:tcW w:w="3140" w:type="dxa"/>
            <w:vAlign w:val="bottom"/>
          </w:tcPr>
          <w:p>
            <w:pPr>
              <w:ind w:left="1580"/>
              <w:spacing w:after="0"/>
              <w:rPr>
                <w:sz w:val="20"/>
                <w:szCs w:val="20"/>
                <w:color w:val="auto"/>
              </w:rPr>
            </w:pPr>
            <w:r>
              <w:rPr>
                <w:rFonts w:ascii="Courier New" w:cs="Courier New" w:eastAsia="Courier New" w:hAnsi="Courier New"/>
                <w:sz w:val="13"/>
                <w:szCs w:val="13"/>
                <w:b w:val="1"/>
                <w:bCs w:val="1"/>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2760" w:type="dxa"/>
            <w:vAlign w:val="bottom"/>
          </w:tcPr>
          <w:p>
            <w:pPr>
              <w:ind w:left="560"/>
              <w:spacing w:after="0"/>
              <w:rPr>
                <w:sz w:val="20"/>
                <w:szCs w:val="20"/>
                <w:color w:val="auto"/>
              </w:rPr>
            </w:pPr>
            <w:r>
              <w:rPr>
                <w:rFonts w:ascii="Courier New" w:cs="Courier New" w:eastAsia="Courier New" w:hAnsi="Courier New"/>
                <w:sz w:val="13"/>
                <w:szCs w:val="13"/>
                <w:color w:val="auto"/>
              </w:rPr>
              <w:t>Net sales</w:t>
            </w:r>
          </w:p>
        </w:tc>
        <w:tc>
          <w:tcPr>
            <w:tcW w:w="31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$ 182,700</w:t>
            </w:r>
          </w:p>
        </w:tc>
        <w:tc>
          <w:tcPr>
            <w:tcW w:w="5560" w:type="dxa"/>
            <w:vAlign w:val="bottom"/>
          </w:tcPr>
          <w:p>
            <w:pPr>
              <w:jc w:val="right"/>
              <w:ind w:right="4013"/>
              <w:spacing w:after="0"/>
              <w:rPr>
                <w:sz w:val="20"/>
                <w:szCs w:val="20"/>
                <w:color w:val="auto"/>
              </w:rPr>
            </w:pPr>
            <w:r>
              <w:rPr>
                <w:rFonts w:ascii="Courier New" w:cs="Courier New" w:eastAsia="Courier New" w:hAnsi="Courier New"/>
                <w:sz w:val="13"/>
                <w:szCs w:val="13"/>
                <w:color w:val="auto"/>
              </w:rPr>
              <w:t>$ 200,500</w:t>
            </w:r>
          </w:p>
        </w:tc>
      </w:tr>
      <w:tr>
        <w:trPr>
          <w:trHeight w:val="154"/>
        </w:trPr>
        <w:tc>
          <w:tcPr>
            <w:tcW w:w="2760" w:type="dxa"/>
            <w:vAlign w:val="bottom"/>
          </w:tcPr>
          <w:p>
            <w:pPr>
              <w:ind w:left="560"/>
              <w:spacing w:after="0"/>
              <w:rPr>
                <w:sz w:val="20"/>
                <w:szCs w:val="20"/>
                <w:color w:val="auto"/>
              </w:rPr>
            </w:pPr>
            <w:r>
              <w:rPr>
                <w:rFonts w:ascii="Courier New" w:cs="Courier New" w:eastAsia="Courier New" w:hAnsi="Courier New"/>
                <w:sz w:val="13"/>
                <w:szCs w:val="13"/>
                <w:color w:val="auto"/>
              </w:rPr>
              <w:t>Net income</w:t>
            </w:r>
          </w:p>
        </w:tc>
        <w:tc>
          <w:tcPr>
            <w:tcW w:w="31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4,800</w:t>
            </w:r>
          </w:p>
        </w:tc>
        <w:tc>
          <w:tcPr>
            <w:tcW w:w="5560" w:type="dxa"/>
            <w:vAlign w:val="bottom"/>
          </w:tcPr>
          <w:p>
            <w:pPr>
              <w:jc w:val="right"/>
              <w:ind w:right="4013"/>
              <w:spacing w:after="0"/>
              <w:rPr>
                <w:sz w:val="20"/>
                <w:szCs w:val="20"/>
                <w:color w:val="auto"/>
              </w:rPr>
            </w:pPr>
            <w:r>
              <w:rPr>
                <w:rFonts w:ascii="Courier New" w:cs="Courier New" w:eastAsia="Courier New" w:hAnsi="Courier New"/>
                <w:sz w:val="13"/>
                <w:szCs w:val="13"/>
                <w:color w:val="auto"/>
              </w:rPr>
              <w:t>11,800</w:t>
            </w:r>
          </w:p>
        </w:tc>
      </w:tr>
      <w:tr>
        <w:trPr>
          <w:trHeight w:val="154"/>
        </w:trPr>
        <w:tc>
          <w:tcPr>
            <w:tcW w:w="2760" w:type="dxa"/>
            <w:vAlign w:val="bottom"/>
          </w:tcPr>
          <w:p>
            <w:pPr>
              <w:ind w:left="560"/>
              <w:spacing w:after="0"/>
              <w:rPr>
                <w:sz w:val="20"/>
                <w:szCs w:val="20"/>
                <w:color w:val="auto"/>
              </w:rPr>
            </w:pPr>
            <w:r>
              <w:rPr>
                <w:rFonts w:ascii="Courier New" w:cs="Courier New" w:eastAsia="Courier New" w:hAnsi="Courier New"/>
                <w:sz w:val="13"/>
                <w:szCs w:val="13"/>
                <w:color w:val="auto"/>
              </w:rPr>
              <w:t>Basic earnings per share</w:t>
            </w:r>
          </w:p>
        </w:tc>
        <w:tc>
          <w:tcPr>
            <w:tcW w:w="31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0.31</w:t>
            </w:r>
          </w:p>
        </w:tc>
        <w:tc>
          <w:tcPr>
            <w:tcW w:w="5560" w:type="dxa"/>
            <w:vAlign w:val="bottom"/>
          </w:tcPr>
          <w:p>
            <w:pPr>
              <w:jc w:val="right"/>
              <w:ind w:right="4013"/>
              <w:spacing w:after="0"/>
              <w:rPr>
                <w:sz w:val="20"/>
                <w:szCs w:val="20"/>
                <w:color w:val="auto"/>
              </w:rPr>
            </w:pPr>
            <w:r>
              <w:rPr>
                <w:rFonts w:ascii="Courier New" w:cs="Courier New" w:eastAsia="Courier New" w:hAnsi="Courier New"/>
                <w:sz w:val="13"/>
                <w:szCs w:val="13"/>
                <w:color w:val="auto"/>
              </w:rPr>
              <w:t>0.77</w:t>
            </w:r>
          </w:p>
        </w:tc>
      </w:tr>
      <w:tr>
        <w:trPr>
          <w:trHeight w:val="154"/>
        </w:trPr>
        <w:tc>
          <w:tcPr>
            <w:tcW w:w="2760" w:type="dxa"/>
            <w:vAlign w:val="bottom"/>
          </w:tcPr>
          <w:p>
            <w:pPr>
              <w:ind w:left="560"/>
              <w:spacing w:after="0"/>
              <w:rPr>
                <w:sz w:val="20"/>
                <w:szCs w:val="20"/>
                <w:color w:val="auto"/>
              </w:rPr>
            </w:pPr>
            <w:r>
              <w:rPr>
                <w:rFonts w:ascii="Courier New" w:cs="Courier New" w:eastAsia="Courier New" w:hAnsi="Courier New"/>
                <w:sz w:val="13"/>
                <w:szCs w:val="13"/>
                <w:color w:val="auto"/>
              </w:rPr>
              <w:t>Diluted earnings per share</w:t>
            </w:r>
          </w:p>
        </w:tc>
        <w:tc>
          <w:tcPr>
            <w:tcW w:w="31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0.31</w:t>
            </w:r>
          </w:p>
        </w:tc>
        <w:tc>
          <w:tcPr>
            <w:tcW w:w="5560" w:type="dxa"/>
            <w:vAlign w:val="bottom"/>
          </w:tcPr>
          <w:p>
            <w:pPr>
              <w:jc w:val="right"/>
              <w:ind w:right="4013"/>
              <w:spacing w:after="0"/>
              <w:rPr>
                <w:sz w:val="20"/>
                <w:szCs w:val="20"/>
                <w:color w:val="auto"/>
              </w:rPr>
            </w:pPr>
            <w:r>
              <w:rPr>
                <w:rFonts w:ascii="Courier New" w:cs="Courier New" w:eastAsia="Courier New" w:hAnsi="Courier New"/>
                <w:sz w:val="13"/>
                <w:szCs w:val="13"/>
                <w:color w:val="auto"/>
              </w:rPr>
              <w:t>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-1772920</wp:posOffset>
            </wp:positionV>
            <wp:extent cx="3175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-1772920</wp:posOffset>
            </wp:positionV>
            <wp:extent cx="3175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460"/>
          </w:cols>
          <w:pgMar w:left="220" w:top="141" w:right="219" w:bottom="0" w:gutter="0" w:footer="0" w:header="0"/>
        </w:sectPr>
      </w:pPr>
    </w:p>
    <w:bookmarkStart w:id="31" w:name="page32"/>
    <w:bookmarkEnd w:id="31"/>
    <w:p>
      <w:pPr>
        <w:ind w:left="560" w:hanging="558"/>
        <w:spacing w:after="0"/>
        <w:tabs>
          <w:tab w:leader="none" w:pos="560" w:val="left"/>
        </w:tabs>
        <w:numPr>
          <w:ilvl w:val="0"/>
          <w:numId w:val="11"/>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Restructuring and Impairment Charges</w:t>
      </w:r>
    </w:p>
    <w:p>
      <w:pPr>
        <w:spacing w:after="0" w:line="161" w:lineRule="exact"/>
        <w:rPr>
          <w:rFonts w:ascii="Courier New" w:cs="Courier New" w:eastAsia="Courier New" w:hAnsi="Courier New"/>
          <w:sz w:val="13"/>
          <w:szCs w:val="13"/>
          <w:b w:val="1"/>
          <w:bCs w:val="1"/>
          <w:color w:val="auto"/>
        </w:rPr>
      </w:pPr>
    </w:p>
    <w:p>
      <w:pPr>
        <w:ind w:left="560" w:right="512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 September 2001, the Company announced the closure of its Walterboro, South Carolina ball manufacturing facility as a part of its ongoing strategy to locate manufacturing capacity in closer proximity to its customers. This facility is included in the Company's Domestic Ball and Roller Segment (see Note 12). The closure was substantially completed by December 31, 2001.</w:t>
      </w:r>
    </w:p>
    <w:p>
      <w:pPr>
        <w:spacing w:after="0" w:line="155" w:lineRule="exact"/>
        <w:rPr>
          <w:rFonts w:ascii="Courier New" w:cs="Courier New" w:eastAsia="Courier New" w:hAnsi="Courier New"/>
          <w:sz w:val="13"/>
          <w:szCs w:val="13"/>
          <w:b w:val="1"/>
          <w:bCs w:val="1"/>
          <w:color w:val="auto"/>
        </w:rPr>
      </w:pPr>
    </w:p>
    <w:p>
      <w:pPr>
        <w:ind w:left="56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has recorded restructuring costs of $62 and $750 during the years ended December 31, 2002 and 2001, respectively, for the related severance payments. Additionally, prior to December 31, 2001, the Company decided to sell the Walterboro land, building and certain machinery. The Company incurred an impairment charge of $564 and $1,083 during 2002 and 2001, respectively, to write-down the land and building at the Walterboro facility to its net realizable value of $1,128 at December 31, 2002 and $1,692 at December 31, 2001, which were based upon fair market value appraisals. Additionally, the Company incurred an impairment charge of $635 during 2002 to write down the equipment to its net realizable value of $1,086. The amounts the Company will ultimately realize upon disposition of these assets could differ materially from the amounts assumed in arriving at the 2002 and 2001 impairment losses. The land, building, and equipment assets with a recorded book value of $2,214 are held for sale. The Company is attempting to sell the land, building and machinery during 2003. Approximately $522 and $290 of the severance payments were paid in 2002 and 2001, respectively.</w:t>
      </w:r>
    </w:p>
    <w:p>
      <w:pPr>
        <w:spacing w:after="0" w:line="158" w:lineRule="exact"/>
        <w:rPr>
          <w:rFonts w:ascii="Courier New" w:cs="Courier New" w:eastAsia="Courier New" w:hAnsi="Courier New"/>
          <w:sz w:val="13"/>
          <w:szCs w:val="13"/>
          <w:b w:val="1"/>
          <w:bCs w:val="1"/>
          <w:color w:val="auto"/>
        </w:rPr>
      </w:pPr>
    </w:p>
    <w:p>
      <w:pPr>
        <w:ind w:left="560" w:right="5280"/>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has charged expenses for moving machinery, equipment and inventory to other production facilities and other costs to close the facility, which will benefit future operations, in the period they are incurred.</w:t>
      </w:r>
    </w:p>
    <w:p>
      <w:pPr>
        <w:spacing w:after="0" w:line="152" w:lineRule="exact"/>
        <w:rPr>
          <w:rFonts w:ascii="Courier New" w:cs="Courier New" w:eastAsia="Courier New" w:hAnsi="Courier New"/>
          <w:sz w:val="13"/>
          <w:szCs w:val="13"/>
          <w:b w:val="1"/>
          <w:bCs w:val="1"/>
          <w:color w:val="auto"/>
        </w:rPr>
      </w:pPr>
    </w:p>
    <w:p>
      <w:pPr>
        <w:ind w:left="56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 addition to this restructuring charge, the Company's Euroball subsidiary incurred restructuring charges of $16 and $479 for severance payments as a result of the termination of 15 hourly employees and 3 salaried employees at its Italy production facility during 2002 and 2001, respectively. Approximately $69 and $426 of the severance payments were paid during 2002 and 2001, respectively.</w:t>
      </w:r>
    </w:p>
    <w:p>
      <w:pPr>
        <w:spacing w:after="0" w:line="155" w:lineRule="exact"/>
        <w:rPr>
          <w:rFonts w:ascii="Courier New" w:cs="Courier New" w:eastAsia="Courier New" w:hAnsi="Courier New"/>
          <w:sz w:val="13"/>
          <w:szCs w:val="13"/>
          <w:b w:val="1"/>
          <w:bCs w:val="1"/>
          <w:color w:val="auto"/>
        </w:rPr>
      </w:pPr>
    </w:p>
    <w:p>
      <w:pPr>
        <w:ind w:left="560"/>
        <w:spacing w:after="0"/>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following summarizes the 2002 restructurings: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tcPr>
          <w:p>
            <w:pPr>
              <w:jc w:val="center"/>
              <w:ind w:right="2493"/>
              <w:spacing w:after="0"/>
              <w:rPr>
                <w:sz w:val="20"/>
                <w:szCs w:val="20"/>
                <w:color w:val="auto"/>
              </w:rPr>
            </w:pPr>
            <w:r>
              <w:rPr>
                <w:rFonts w:ascii="Courier New" w:cs="Courier New" w:eastAsia="Courier New" w:hAnsi="Courier New"/>
                <w:sz w:val="13"/>
                <w:szCs w:val="13"/>
                <w:color w:val="auto"/>
              </w:rPr>
              <w:t>Reserve</w:t>
            </w: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Non-Cash</w:t>
            </w:r>
          </w:p>
        </w:tc>
        <w:tc>
          <w:tcPr>
            <w:tcW w:w="2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Courier New" w:cs="Courier New" w:eastAsia="Courier New" w:hAnsi="Courier New"/>
                <w:sz w:val="13"/>
                <w:szCs w:val="13"/>
                <w:color w:val="auto"/>
              </w:rPr>
              <w:t>Paid in</w:t>
            </w:r>
          </w:p>
        </w:tc>
        <w:tc>
          <w:tcPr>
            <w:tcW w:w="80" w:type="dxa"/>
            <w:vAlign w:val="bottom"/>
          </w:tcPr>
          <w:p>
            <w:pPr>
              <w:spacing w:after="0"/>
              <w:rPr>
                <w:sz w:val="13"/>
                <w:szCs w:val="13"/>
                <w:color w:val="auto"/>
              </w:rPr>
            </w:pPr>
          </w:p>
        </w:tc>
        <w:tc>
          <w:tcPr>
            <w:tcW w:w="3440" w:type="dxa"/>
            <w:vAlign w:val="bottom"/>
          </w:tcPr>
          <w:p>
            <w:pPr>
              <w:jc w:val="center"/>
              <w:ind w:right="2493"/>
              <w:spacing w:after="0"/>
              <w:rPr>
                <w:sz w:val="20"/>
                <w:szCs w:val="20"/>
                <w:color w:val="auto"/>
              </w:rPr>
            </w:pPr>
            <w:r>
              <w:rPr>
                <w:rFonts w:ascii="Courier New" w:cs="Courier New" w:eastAsia="Courier New" w:hAnsi="Courier New"/>
                <w:sz w:val="13"/>
                <w:szCs w:val="13"/>
                <w:color w:val="auto"/>
              </w:rPr>
              <w:t>Balance</w:t>
            </w:r>
          </w:p>
        </w:tc>
      </w:tr>
      <w:tr>
        <w:trPr>
          <w:trHeight w:val="154"/>
        </w:trPr>
        <w:tc>
          <w:tcPr>
            <w:tcW w:w="3540" w:type="dxa"/>
            <w:vAlign w:val="bottom"/>
          </w:tcPr>
          <w:p>
            <w:pPr>
              <w:spacing w:after="0"/>
              <w:rPr>
                <w:sz w:val="13"/>
                <w:szCs w:val="13"/>
                <w:color w:val="auto"/>
              </w:rPr>
            </w:pPr>
          </w:p>
        </w:tc>
        <w:tc>
          <w:tcPr>
            <w:tcW w:w="120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Charges</w:t>
            </w:r>
          </w:p>
        </w:tc>
        <w:tc>
          <w:tcPr>
            <w:tcW w:w="480" w:type="dxa"/>
            <w:vAlign w:val="bottom"/>
          </w:tcPr>
          <w:p>
            <w:pPr>
              <w:spacing w:after="0"/>
              <w:rPr>
                <w:sz w:val="13"/>
                <w:szCs w:val="13"/>
                <w:color w:val="auto"/>
              </w:rPr>
            </w:pPr>
          </w:p>
        </w:tc>
        <w:tc>
          <w:tcPr>
            <w:tcW w:w="1280" w:type="dxa"/>
            <w:vAlign w:val="bottom"/>
          </w:tcPr>
          <w:p>
            <w:pPr>
              <w:jc w:val="right"/>
              <w:ind w:right="413"/>
              <w:spacing w:after="0"/>
              <w:rPr>
                <w:sz w:val="20"/>
                <w:szCs w:val="20"/>
                <w:color w:val="auto"/>
              </w:rPr>
            </w:pPr>
            <w:r>
              <w:rPr>
                <w:rFonts w:ascii="Courier New" w:cs="Courier New" w:eastAsia="Courier New" w:hAnsi="Courier New"/>
                <w:sz w:val="13"/>
                <w:szCs w:val="13"/>
                <w:color w:val="auto"/>
                <w:w w:val="99"/>
              </w:rPr>
              <w:t>Writedowns</w:t>
            </w:r>
          </w:p>
        </w:tc>
        <w:tc>
          <w:tcPr>
            <w:tcW w:w="240" w:type="dxa"/>
            <w:vAlign w:val="bottom"/>
          </w:tcPr>
          <w:p>
            <w:pPr>
              <w:spacing w:after="0"/>
              <w:rPr>
                <w:sz w:val="13"/>
                <w:szCs w:val="13"/>
                <w:color w:val="auto"/>
              </w:rPr>
            </w:pPr>
          </w:p>
        </w:tc>
        <w:tc>
          <w:tcPr>
            <w:tcW w:w="120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2002</w:t>
            </w:r>
          </w:p>
        </w:tc>
        <w:tc>
          <w:tcPr>
            <w:tcW w:w="80" w:type="dxa"/>
            <w:vAlign w:val="bottom"/>
          </w:tcPr>
          <w:p>
            <w:pPr>
              <w:spacing w:after="0"/>
              <w:rPr>
                <w:sz w:val="13"/>
                <w:szCs w:val="13"/>
                <w:color w:val="auto"/>
              </w:rPr>
            </w:pPr>
          </w:p>
        </w:tc>
        <w:tc>
          <w:tcPr>
            <w:tcW w:w="3440" w:type="dxa"/>
            <w:vAlign w:val="bottom"/>
          </w:tcPr>
          <w:p>
            <w:pPr>
              <w:jc w:val="center"/>
              <w:ind w:right="2493"/>
              <w:spacing w:after="0"/>
              <w:rPr>
                <w:sz w:val="20"/>
                <w:szCs w:val="20"/>
                <w:color w:val="auto"/>
              </w:rPr>
            </w:pPr>
            <w:r>
              <w:rPr>
                <w:rFonts w:ascii="Courier New" w:cs="Courier New" w:eastAsia="Courier New" w:hAnsi="Courier New"/>
                <w:sz w:val="13"/>
                <w:szCs w:val="13"/>
                <w:color w:val="auto"/>
              </w:rPr>
              <w:t>at 12/31/02</w:t>
            </w:r>
          </w:p>
        </w:tc>
      </w:tr>
      <w:tr>
        <w:trPr>
          <w:trHeight w:val="154"/>
        </w:trPr>
        <w:tc>
          <w:tcPr>
            <w:tcW w:w="354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3520" w:type="dxa"/>
            <w:vAlign w:val="bottom"/>
            <w:gridSpan w:val="2"/>
          </w:tcPr>
          <w:p>
            <w:pPr>
              <w:jc w:val="right"/>
              <w:ind w:right="2333"/>
              <w:spacing w:after="0"/>
              <w:rPr>
                <w:sz w:val="20"/>
                <w:szCs w:val="20"/>
                <w:color w:val="auto"/>
              </w:rPr>
            </w:pPr>
            <w:r>
              <w:rPr>
                <w:rFonts w:ascii="Courier New" w:cs="Courier New" w:eastAsia="Courier New" w:hAnsi="Courier New"/>
                <w:sz w:val="13"/>
                <w:szCs w:val="13"/>
                <w:color w:val="auto"/>
              </w:rPr>
              <w:t>--------------</w:t>
            </w:r>
          </w:p>
        </w:tc>
      </w:tr>
      <w:tr>
        <w:trPr>
          <w:trHeight w:val="308"/>
        </w:trPr>
        <w:tc>
          <w:tcPr>
            <w:tcW w:w="3540" w:type="dxa"/>
            <w:vAlign w:val="bottom"/>
          </w:tcPr>
          <w:p>
            <w:pPr>
              <w:ind w:left="480"/>
              <w:spacing w:after="0"/>
              <w:rPr>
                <w:sz w:val="20"/>
                <w:szCs w:val="20"/>
                <w:color w:val="auto"/>
              </w:rPr>
            </w:pPr>
            <w:r>
              <w:rPr>
                <w:rFonts w:ascii="Courier New" w:cs="Courier New" w:eastAsia="Courier New" w:hAnsi="Courier New"/>
                <w:sz w:val="13"/>
                <w:szCs w:val="13"/>
                <w:color w:val="auto"/>
              </w:rPr>
              <w:t>Asset impairments</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1,199</w:t>
            </w:r>
          </w:p>
        </w:tc>
        <w:tc>
          <w:tcPr>
            <w:tcW w:w="480" w:type="dxa"/>
            <w:vAlign w:val="bottom"/>
          </w:tcPr>
          <w:p>
            <w:pPr>
              <w:spacing w:after="0"/>
              <w:rPr>
                <w:sz w:val="24"/>
                <w:szCs w:val="24"/>
                <w:color w:val="auto"/>
              </w:rPr>
            </w:pPr>
          </w:p>
        </w:tc>
        <w:tc>
          <w:tcPr>
            <w:tcW w:w="12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$1,199</w:t>
            </w:r>
          </w:p>
        </w:tc>
        <w:tc>
          <w:tcPr>
            <w:tcW w:w="2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  --</w:t>
            </w:r>
          </w:p>
        </w:tc>
        <w:tc>
          <w:tcPr>
            <w:tcW w:w="80" w:type="dxa"/>
            <w:vAlign w:val="bottom"/>
          </w:tcPr>
          <w:p>
            <w:pPr>
              <w:spacing w:after="0"/>
              <w:rPr>
                <w:sz w:val="24"/>
                <w:szCs w:val="24"/>
                <w:color w:val="auto"/>
              </w:rPr>
            </w:pPr>
          </w:p>
        </w:tc>
        <w:tc>
          <w:tcPr>
            <w:tcW w:w="3440" w:type="dxa"/>
            <w:vAlign w:val="bottom"/>
          </w:tcPr>
          <w:p>
            <w:pPr>
              <w:jc w:val="right"/>
              <w:ind w:right="2413"/>
              <w:spacing w:after="0"/>
              <w:rPr>
                <w:sz w:val="20"/>
                <w:szCs w:val="20"/>
                <w:color w:val="auto"/>
              </w:rPr>
            </w:pPr>
            <w:r>
              <w:rPr>
                <w:rFonts w:ascii="Courier New" w:cs="Courier New" w:eastAsia="Courier New" w:hAnsi="Courier New"/>
                <w:sz w:val="13"/>
                <w:szCs w:val="13"/>
                <w:color w:val="auto"/>
              </w:rPr>
              <w:t>$ --</w:t>
            </w:r>
          </w:p>
        </w:tc>
      </w:tr>
      <w:tr>
        <w:trPr>
          <w:trHeight w:val="154"/>
        </w:trPr>
        <w:tc>
          <w:tcPr>
            <w:tcW w:w="3540" w:type="dxa"/>
            <w:vAlign w:val="bottom"/>
          </w:tcPr>
          <w:p>
            <w:pPr>
              <w:ind w:left="480"/>
              <w:spacing w:after="0"/>
              <w:rPr>
                <w:sz w:val="20"/>
                <w:szCs w:val="20"/>
                <w:color w:val="auto"/>
              </w:rPr>
            </w:pPr>
            <w:r>
              <w:rPr>
                <w:rFonts w:ascii="Courier New" w:cs="Courier New" w:eastAsia="Courier New" w:hAnsi="Courier New"/>
                <w:sz w:val="13"/>
                <w:szCs w:val="13"/>
                <w:color w:val="auto"/>
              </w:rPr>
              <w:t>Severance and other employee costs</w:t>
            </w:r>
          </w:p>
        </w:tc>
        <w:tc>
          <w:tcPr>
            <w:tcW w:w="440" w:type="dxa"/>
            <w:vAlign w:val="bottom"/>
          </w:tcPr>
          <w:p>
            <w:pPr>
              <w:spacing w:after="0"/>
              <w:rPr>
                <w:sz w:val="13"/>
                <w:szCs w:val="13"/>
                <w:color w:val="auto"/>
              </w:rPr>
            </w:pP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78</w:t>
            </w:r>
          </w:p>
        </w:tc>
        <w:tc>
          <w:tcPr>
            <w:tcW w:w="48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1200" w:type="dxa"/>
            <w:vAlign w:val="bottom"/>
          </w:tcPr>
          <w:p>
            <w:pPr>
              <w:ind w:left="480"/>
              <w:spacing w:after="0"/>
              <w:rPr>
                <w:sz w:val="20"/>
                <w:szCs w:val="20"/>
                <w:color w:val="auto"/>
              </w:rPr>
            </w:pPr>
            <w:r>
              <w:rPr>
                <w:rFonts w:ascii="Courier New" w:cs="Courier New" w:eastAsia="Courier New" w:hAnsi="Courier New"/>
                <w:sz w:val="13"/>
                <w:szCs w:val="13"/>
                <w:color w:val="auto"/>
              </w:rPr>
              <w:t>591</w:t>
            </w:r>
          </w:p>
        </w:tc>
        <w:tc>
          <w:tcPr>
            <w:tcW w:w="80" w:type="dxa"/>
            <w:vAlign w:val="bottom"/>
          </w:tcPr>
          <w:p>
            <w:pPr>
              <w:spacing w:after="0"/>
              <w:rPr>
                <w:sz w:val="13"/>
                <w:szCs w:val="13"/>
                <w:color w:val="auto"/>
              </w:rPr>
            </w:pPr>
          </w:p>
        </w:tc>
        <w:tc>
          <w:tcPr>
            <w:tcW w:w="3440" w:type="dxa"/>
            <w:vAlign w:val="bottom"/>
          </w:tcPr>
          <w:p>
            <w:pPr>
              <w:jc w:val="right"/>
              <w:ind w:right="2413"/>
              <w:spacing w:after="0"/>
              <w:rPr>
                <w:sz w:val="20"/>
                <w:szCs w:val="20"/>
                <w:color w:val="auto"/>
              </w:rPr>
            </w:pPr>
            <w:r>
              <w:rPr>
                <w:rFonts w:ascii="Courier New" w:cs="Courier New" w:eastAsia="Courier New" w:hAnsi="Courier New"/>
                <w:sz w:val="13"/>
                <w:szCs w:val="13"/>
                <w:color w:val="auto"/>
              </w:rPr>
              <w:t>--</w:t>
            </w:r>
          </w:p>
        </w:tc>
      </w:tr>
      <w:tr>
        <w:trPr>
          <w:trHeight w:val="154"/>
        </w:trPr>
        <w:tc>
          <w:tcPr>
            <w:tcW w:w="354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3520" w:type="dxa"/>
            <w:vAlign w:val="bottom"/>
            <w:gridSpan w:val="2"/>
          </w:tcPr>
          <w:p>
            <w:pPr>
              <w:jc w:val="right"/>
              <w:ind w:right="2333"/>
              <w:spacing w:after="0"/>
              <w:rPr>
                <w:sz w:val="20"/>
                <w:szCs w:val="20"/>
                <w:color w:val="auto"/>
              </w:rPr>
            </w:pPr>
            <w:r>
              <w:rPr>
                <w:rFonts w:ascii="Courier New" w:cs="Courier New" w:eastAsia="Courier New" w:hAnsi="Courier New"/>
                <w:sz w:val="13"/>
                <w:szCs w:val="13"/>
                <w:color w:val="auto"/>
              </w:rPr>
              <w:t>--------------</w:t>
            </w:r>
          </w:p>
        </w:tc>
      </w:tr>
      <w:tr>
        <w:trPr>
          <w:trHeight w:val="154"/>
        </w:trPr>
        <w:tc>
          <w:tcPr>
            <w:tcW w:w="3540" w:type="dxa"/>
            <w:vAlign w:val="bottom"/>
          </w:tcPr>
          <w:p>
            <w:pPr>
              <w:ind w:left="480"/>
              <w:spacing w:after="0"/>
              <w:rPr>
                <w:sz w:val="20"/>
                <w:szCs w:val="20"/>
                <w:color w:val="auto"/>
              </w:rPr>
            </w:pPr>
            <w:r>
              <w:rPr>
                <w:rFonts w:ascii="Courier New" w:cs="Courier New" w:eastAsia="Courier New" w:hAnsi="Courier New"/>
                <w:sz w:val="13"/>
                <w:szCs w:val="13"/>
                <w:color w:val="auto"/>
              </w:rPr>
              <w:t>Total</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1,277</w:t>
            </w:r>
          </w:p>
        </w:tc>
        <w:tc>
          <w:tcPr>
            <w:tcW w:w="48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$1,199</w:t>
            </w:r>
          </w:p>
        </w:tc>
        <w:tc>
          <w:tcPr>
            <w:tcW w:w="240" w:type="dxa"/>
            <w:vAlign w:val="bottom"/>
          </w:tcPr>
          <w:p>
            <w:pPr>
              <w:spacing w:after="0"/>
              <w:rPr>
                <w:sz w:val="13"/>
                <w:szCs w:val="13"/>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3"/>
                <w:szCs w:val="13"/>
                <w:color w:val="auto"/>
              </w:rPr>
              <w:t>$ 591</w:t>
            </w:r>
          </w:p>
        </w:tc>
        <w:tc>
          <w:tcPr>
            <w:tcW w:w="80" w:type="dxa"/>
            <w:vAlign w:val="bottom"/>
          </w:tcPr>
          <w:p>
            <w:pPr>
              <w:spacing w:after="0"/>
              <w:rPr>
                <w:sz w:val="13"/>
                <w:szCs w:val="13"/>
                <w:color w:val="auto"/>
              </w:rPr>
            </w:pPr>
          </w:p>
        </w:tc>
        <w:tc>
          <w:tcPr>
            <w:tcW w:w="3440" w:type="dxa"/>
            <w:vAlign w:val="bottom"/>
          </w:tcPr>
          <w:p>
            <w:pPr>
              <w:jc w:val="right"/>
              <w:ind w:right="2413"/>
              <w:spacing w:after="0"/>
              <w:rPr>
                <w:sz w:val="20"/>
                <w:szCs w:val="20"/>
                <w:color w:val="auto"/>
              </w:rPr>
            </w:pPr>
            <w:r>
              <w:rPr>
                <w:rFonts w:ascii="Courier New" w:cs="Courier New" w:eastAsia="Courier New" w:hAnsi="Courier New"/>
                <w:sz w:val="13"/>
                <w:szCs w:val="13"/>
                <w:color w:val="auto"/>
              </w:rPr>
              <w:t>$ --</w:t>
            </w:r>
          </w:p>
        </w:tc>
      </w:tr>
      <w:tr>
        <w:trPr>
          <w:trHeight w:val="154"/>
        </w:trPr>
        <w:tc>
          <w:tcPr>
            <w:tcW w:w="354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3520" w:type="dxa"/>
            <w:vAlign w:val="bottom"/>
            <w:gridSpan w:val="2"/>
          </w:tcPr>
          <w:p>
            <w:pPr>
              <w:jc w:val="right"/>
              <w:ind w:right="2333"/>
              <w:spacing w:after="0"/>
              <w:rPr>
                <w:sz w:val="20"/>
                <w:szCs w:val="20"/>
                <w:color w:val="auto"/>
              </w:rPr>
            </w:pPr>
            <w:r>
              <w:rPr>
                <w:rFonts w:ascii="Courier New" w:cs="Courier New" w:eastAsia="Courier New" w:hAnsi="Courier New"/>
                <w:sz w:val="13"/>
                <w:szCs w:val="13"/>
                <w:color w:val="auto"/>
              </w:rPr>
              <w:t>==============</w:t>
            </w:r>
          </w:p>
        </w:tc>
      </w:tr>
      <w:tr>
        <w:trPr>
          <w:trHeight w:val="463"/>
        </w:trPr>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Continued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08"/>
        </w:trPr>
        <w:tc>
          <w:tcPr>
            <w:tcW w:w="3540" w:type="dxa"/>
            <w:vAlign w:val="bottom"/>
          </w:tcPr>
          <w:p>
            <w:pPr>
              <w:jc w:val="center"/>
              <w:ind w:left="2813"/>
              <w:spacing w:after="0"/>
              <w:rPr>
                <w:sz w:val="20"/>
                <w:szCs w:val="20"/>
                <w:color w:val="auto"/>
              </w:rPr>
            </w:pPr>
            <w:r>
              <w:rPr>
                <w:rFonts w:ascii="Courier New" w:cs="Courier New" w:eastAsia="Courier New" w:hAnsi="Courier New"/>
                <w:sz w:val="13"/>
                <w:szCs w:val="13"/>
                <w:color w:val="auto"/>
              </w:rPr>
              <w:t>43</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2"/>
        </w:trPr>
        <w:tc>
          <w:tcPr>
            <w:tcW w:w="3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r>
        <w:trPr>
          <w:trHeight w:val="439"/>
        </w:trPr>
        <w:tc>
          <w:tcPr>
            <w:tcW w:w="3540" w:type="dxa"/>
            <w:vAlign w:val="bottom"/>
          </w:tcPr>
          <w:p>
            <w:pPr>
              <w:jc w:val="center"/>
              <w:ind w:left="2813"/>
              <w:spacing w:after="0"/>
              <w:rPr>
                <w:sz w:val="20"/>
                <w:szCs w:val="20"/>
                <w:color w:val="auto"/>
              </w:rPr>
            </w:pPr>
            <w:r>
              <w:rPr>
                <w:rFonts w:ascii="Courier New" w:cs="Courier New" w:eastAsia="Courier New" w:hAnsi="Courier New"/>
                <w:sz w:val="13"/>
                <w:szCs w:val="13"/>
                <w:b w:val="1"/>
                <w:bCs w:val="1"/>
                <w:color w:val="auto"/>
              </w:rPr>
              <w:t>NN, Inc.</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54"/>
        </w:trPr>
        <w:tc>
          <w:tcPr>
            <w:tcW w:w="5220" w:type="dxa"/>
            <w:vAlign w:val="bottom"/>
            <w:gridSpan w:val="4"/>
          </w:tcPr>
          <w:p>
            <w:pPr>
              <w:jc w:val="center"/>
              <w:ind w:left="1133"/>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54"/>
        </w:trPr>
        <w:tc>
          <w:tcPr>
            <w:tcW w:w="4740" w:type="dxa"/>
            <w:vAlign w:val="bottom"/>
            <w:gridSpan w:val="3"/>
          </w:tcPr>
          <w:p>
            <w:pPr>
              <w:jc w:val="center"/>
              <w:ind w:left="1613"/>
              <w:spacing w:after="0"/>
              <w:rPr>
                <w:sz w:val="20"/>
                <w:szCs w:val="20"/>
                <w:color w:val="auto"/>
              </w:rPr>
            </w:pPr>
            <w:r>
              <w:rPr>
                <w:rFonts w:ascii="Courier New" w:cs="Courier New" w:eastAsia="Courier New" w:hAnsi="Courier New"/>
                <w:sz w:val="13"/>
                <w:szCs w:val="13"/>
                <w:b w:val="1"/>
                <w:bCs w:val="1"/>
                <w:color w:val="auto"/>
              </w:rPr>
              <w:t>December 31, 2002, 2001 and 2000</w:t>
            </w: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54"/>
        </w:trPr>
        <w:tc>
          <w:tcPr>
            <w:tcW w:w="4740" w:type="dxa"/>
            <w:vAlign w:val="bottom"/>
            <w:gridSpan w:val="3"/>
          </w:tcPr>
          <w:p>
            <w:pPr>
              <w:jc w:val="right"/>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308"/>
        </w:trPr>
        <w:tc>
          <w:tcPr>
            <w:tcW w:w="474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The following summarizes the 2001 restructurings: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tcPr>
          <w:p>
            <w:pPr>
              <w:jc w:val="center"/>
              <w:ind w:right="1533"/>
              <w:spacing w:after="0"/>
              <w:rPr>
                <w:sz w:val="20"/>
                <w:szCs w:val="20"/>
                <w:color w:val="auto"/>
              </w:rPr>
            </w:pPr>
            <w:r>
              <w:rPr>
                <w:rFonts w:ascii="Courier New" w:cs="Courier New" w:eastAsia="Courier New" w:hAnsi="Courier New"/>
                <w:sz w:val="13"/>
                <w:szCs w:val="13"/>
                <w:color w:val="auto"/>
              </w:rPr>
              <w:t>Reserve</w:t>
            </w: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Non-Cash</w:t>
            </w:r>
          </w:p>
        </w:tc>
        <w:tc>
          <w:tcPr>
            <w:tcW w:w="240" w:type="dxa"/>
            <w:vAlign w:val="bottom"/>
          </w:tcPr>
          <w:p>
            <w:pPr>
              <w:spacing w:after="0"/>
              <w:rPr>
                <w:sz w:val="13"/>
                <w:szCs w:val="13"/>
                <w:color w:val="auto"/>
              </w:rPr>
            </w:pPr>
          </w:p>
        </w:tc>
        <w:tc>
          <w:tcPr>
            <w:tcW w:w="1200" w:type="dxa"/>
            <w:vAlign w:val="bottom"/>
          </w:tcPr>
          <w:p>
            <w:pPr>
              <w:ind w:left="480"/>
              <w:spacing w:after="0"/>
              <w:rPr>
                <w:sz w:val="20"/>
                <w:szCs w:val="20"/>
                <w:color w:val="auto"/>
              </w:rPr>
            </w:pPr>
            <w:r>
              <w:rPr>
                <w:rFonts w:ascii="Courier New" w:cs="Courier New" w:eastAsia="Courier New" w:hAnsi="Courier New"/>
                <w:sz w:val="13"/>
                <w:szCs w:val="13"/>
                <w:color w:val="auto"/>
              </w:rPr>
              <w:t>Paid in</w:t>
            </w:r>
          </w:p>
        </w:tc>
        <w:tc>
          <w:tcPr>
            <w:tcW w:w="80" w:type="dxa"/>
            <w:vAlign w:val="bottom"/>
          </w:tcPr>
          <w:p>
            <w:pPr>
              <w:spacing w:after="0"/>
              <w:rPr>
                <w:sz w:val="13"/>
                <w:szCs w:val="13"/>
                <w:color w:val="auto"/>
              </w:rPr>
            </w:pPr>
          </w:p>
        </w:tc>
        <w:tc>
          <w:tcPr>
            <w:tcW w:w="3440" w:type="dxa"/>
            <w:vAlign w:val="bottom"/>
          </w:tcPr>
          <w:p>
            <w:pPr>
              <w:jc w:val="center"/>
              <w:ind w:right="1533"/>
              <w:spacing w:after="0"/>
              <w:rPr>
                <w:sz w:val="20"/>
                <w:szCs w:val="20"/>
                <w:color w:val="auto"/>
              </w:rPr>
            </w:pPr>
            <w:r>
              <w:rPr>
                <w:rFonts w:ascii="Courier New" w:cs="Courier New" w:eastAsia="Courier New" w:hAnsi="Courier New"/>
                <w:sz w:val="13"/>
                <w:szCs w:val="13"/>
                <w:color w:val="auto"/>
              </w:rPr>
              <w:t>Balance</w:t>
            </w: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Charges</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Writedowns</w:t>
            </w:r>
          </w:p>
        </w:tc>
        <w:tc>
          <w:tcPr>
            <w:tcW w:w="240" w:type="dxa"/>
            <w:vAlign w:val="bottom"/>
          </w:tcPr>
          <w:p>
            <w:pPr>
              <w:spacing w:after="0"/>
              <w:rPr>
                <w:sz w:val="13"/>
                <w:szCs w:val="13"/>
                <w:color w:val="auto"/>
              </w:rPr>
            </w:pPr>
          </w:p>
        </w:tc>
        <w:tc>
          <w:tcPr>
            <w:tcW w:w="12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2001</w:t>
            </w:r>
          </w:p>
        </w:tc>
        <w:tc>
          <w:tcPr>
            <w:tcW w:w="80" w:type="dxa"/>
            <w:vAlign w:val="bottom"/>
          </w:tcPr>
          <w:p>
            <w:pPr>
              <w:spacing w:after="0"/>
              <w:rPr>
                <w:sz w:val="13"/>
                <w:szCs w:val="13"/>
                <w:color w:val="auto"/>
              </w:rPr>
            </w:pPr>
          </w:p>
        </w:tc>
        <w:tc>
          <w:tcPr>
            <w:tcW w:w="3440" w:type="dxa"/>
            <w:vAlign w:val="bottom"/>
          </w:tcPr>
          <w:p>
            <w:pPr>
              <w:jc w:val="center"/>
              <w:ind w:right="1533"/>
              <w:spacing w:after="0"/>
              <w:rPr>
                <w:sz w:val="20"/>
                <w:szCs w:val="20"/>
                <w:color w:val="auto"/>
              </w:rPr>
            </w:pPr>
            <w:r>
              <w:rPr>
                <w:rFonts w:ascii="Courier New" w:cs="Courier New" w:eastAsia="Courier New" w:hAnsi="Courier New"/>
                <w:sz w:val="13"/>
                <w:szCs w:val="13"/>
                <w:color w:val="auto"/>
              </w:rPr>
              <w:t>at 12/31/01</w:t>
            </w: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w:t>
            </w:r>
          </w:p>
        </w:tc>
        <w:tc>
          <w:tcPr>
            <w:tcW w:w="3440" w:type="dxa"/>
            <w:vAlign w:val="bottom"/>
          </w:tcPr>
          <w:p>
            <w:pPr>
              <w:jc w:val="right"/>
              <w:ind w:right="1853"/>
              <w:spacing w:after="0"/>
              <w:rPr>
                <w:sz w:val="20"/>
                <w:szCs w:val="20"/>
                <w:color w:val="auto"/>
              </w:rPr>
            </w:pPr>
            <w:r>
              <w:rPr>
                <w:rFonts w:ascii="Courier New" w:cs="Courier New" w:eastAsia="Courier New" w:hAnsi="Courier New"/>
                <w:sz w:val="13"/>
                <w:szCs w:val="13"/>
                <w:color w:val="auto"/>
              </w:rPr>
              <w:t>--------------</w:t>
            </w:r>
          </w:p>
        </w:tc>
      </w:tr>
      <w:tr>
        <w:trPr>
          <w:trHeight w:val="308"/>
        </w:trPr>
        <w:tc>
          <w:tcPr>
            <w:tcW w:w="3540" w:type="dxa"/>
            <w:vAlign w:val="bottom"/>
          </w:tcPr>
          <w:p>
            <w:pPr>
              <w:ind w:left="480"/>
              <w:spacing w:after="0"/>
              <w:rPr>
                <w:sz w:val="20"/>
                <w:szCs w:val="20"/>
                <w:color w:val="auto"/>
              </w:rPr>
            </w:pPr>
            <w:r>
              <w:rPr>
                <w:rFonts w:ascii="Courier New" w:cs="Courier New" w:eastAsia="Courier New" w:hAnsi="Courier New"/>
                <w:sz w:val="13"/>
                <w:szCs w:val="13"/>
                <w:color w:val="auto"/>
              </w:rPr>
              <w:t>Asset impairments</w:t>
            </w:r>
          </w:p>
        </w:tc>
        <w:tc>
          <w:tcPr>
            <w:tcW w:w="440" w:type="dxa"/>
            <w:vAlign w:val="bottom"/>
          </w:tcPr>
          <w:p>
            <w:pPr>
              <w:spacing w:after="0"/>
              <w:rPr>
                <w:sz w:val="24"/>
                <w:szCs w:val="24"/>
                <w:color w:val="auto"/>
              </w:rPr>
            </w:pPr>
          </w:p>
        </w:tc>
        <w:tc>
          <w:tcPr>
            <w:tcW w:w="76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1,083</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$1,083</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  --</w:t>
            </w:r>
          </w:p>
        </w:tc>
        <w:tc>
          <w:tcPr>
            <w:tcW w:w="80" w:type="dxa"/>
            <w:vAlign w:val="bottom"/>
          </w:tcPr>
          <w:p>
            <w:pPr>
              <w:spacing w:after="0"/>
              <w:rPr>
                <w:sz w:val="24"/>
                <w:szCs w:val="24"/>
                <w:color w:val="auto"/>
              </w:rPr>
            </w:pPr>
          </w:p>
        </w:tc>
        <w:tc>
          <w:tcPr>
            <w:tcW w:w="344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  --</w:t>
            </w:r>
          </w:p>
        </w:tc>
      </w:tr>
      <w:tr>
        <w:trPr>
          <w:trHeight w:val="154"/>
        </w:trPr>
        <w:tc>
          <w:tcPr>
            <w:tcW w:w="3540" w:type="dxa"/>
            <w:vAlign w:val="bottom"/>
          </w:tcPr>
          <w:p>
            <w:pPr>
              <w:ind w:left="480"/>
              <w:spacing w:after="0"/>
              <w:rPr>
                <w:sz w:val="20"/>
                <w:szCs w:val="20"/>
                <w:color w:val="auto"/>
              </w:rPr>
            </w:pPr>
            <w:r>
              <w:rPr>
                <w:rFonts w:ascii="Courier New" w:cs="Courier New" w:eastAsia="Courier New" w:hAnsi="Courier New"/>
                <w:sz w:val="13"/>
                <w:szCs w:val="13"/>
                <w:color w:val="auto"/>
              </w:rPr>
              <w:t>Severance and other employee costs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1,229</w:t>
            </w:r>
          </w:p>
        </w:tc>
        <w:tc>
          <w:tcPr>
            <w:tcW w:w="1280" w:type="dxa"/>
            <w:vAlign w:val="bottom"/>
          </w:tcPr>
          <w:p>
            <w:pPr>
              <w:spacing w:after="0"/>
              <w:rPr>
                <w:sz w:val="13"/>
                <w:szCs w:val="13"/>
                <w:color w:val="auto"/>
              </w:rPr>
            </w:pPr>
          </w:p>
        </w:tc>
        <w:tc>
          <w:tcPr>
            <w:tcW w:w="240" w:type="dxa"/>
            <w:vAlign w:val="bottom"/>
          </w:tcPr>
          <w:p>
            <w:pPr>
              <w:jc w:val="right"/>
              <w:ind w:right="13"/>
              <w:spacing w:after="0"/>
              <w:rPr>
                <w:sz w:val="20"/>
                <w:szCs w:val="20"/>
                <w:color w:val="auto"/>
              </w:rPr>
            </w:pPr>
            <w:r>
              <w:rPr>
                <w:rFonts w:ascii="Courier New" w:cs="Courier New" w:eastAsia="Courier New" w:hAnsi="Courier New"/>
                <w:sz w:val="13"/>
                <w:szCs w:val="13"/>
                <w:color w:val="auto"/>
                <w:w w:val="89"/>
              </w:rPr>
              <w:t>--</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716</w:t>
            </w:r>
          </w:p>
        </w:tc>
        <w:tc>
          <w:tcPr>
            <w:tcW w:w="80" w:type="dxa"/>
            <w:vAlign w:val="bottom"/>
          </w:tcPr>
          <w:p>
            <w:pPr>
              <w:spacing w:after="0"/>
              <w:rPr>
                <w:sz w:val="13"/>
                <w:szCs w:val="13"/>
                <w:color w:val="auto"/>
              </w:rPr>
            </w:pPr>
          </w:p>
        </w:tc>
        <w:tc>
          <w:tcPr>
            <w:tcW w:w="344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513</w:t>
            </w: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w:t>
            </w:r>
          </w:p>
        </w:tc>
        <w:tc>
          <w:tcPr>
            <w:tcW w:w="3440" w:type="dxa"/>
            <w:vAlign w:val="bottom"/>
          </w:tcPr>
          <w:p>
            <w:pPr>
              <w:jc w:val="right"/>
              <w:ind w:right="1853"/>
              <w:spacing w:after="0"/>
              <w:rPr>
                <w:sz w:val="20"/>
                <w:szCs w:val="20"/>
                <w:color w:val="auto"/>
              </w:rPr>
            </w:pPr>
            <w:r>
              <w:rPr>
                <w:rFonts w:ascii="Courier New" w:cs="Courier New" w:eastAsia="Courier New" w:hAnsi="Courier New"/>
                <w:sz w:val="13"/>
                <w:szCs w:val="13"/>
                <w:color w:val="auto"/>
              </w:rPr>
              <w:t>--------------</w:t>
            </w:r>
          </w:p>
        </w:tc>
      </w:tr>
      <w:tr>
        <w:trPr>
          <w:trHeight w:val="154"/>
        </w:trPr>
        <w:tc>
          <w:tcPr>
            <w:tcW w:w="3540" w:type="dxa"/>
            <w:vAlign w:val="bottom"/>
          </w:tcPr>
          <w:p>
            <w:pPr>
              <w:ind w:left="480"/>
              <w:spacing w:after="0"/>
              <w:rPr>
                <w:sz w:val="20"/>
                <w:szCs w:val="20"/>
                <w:color w:val="auto"/>
              </w:rPr>
            </w:pPr>
            <w:r>
              <w:rPr>
                <w:rFonts w:ascii="Courier New" w:cs="Courier New" w:eastAsia="Courier New" w:hAnsi="Courier New"/>
                <w:sz w:val="13"/>
                <w:szCs w:val="13"/>
                <w:color w:val="auto"/>
              </w:rPr>
              <w:t>Total</w:t>
            </w:r>
          </w:p>
        </w:tc>
        <w:tc>
          <w:tcPr>
            <w:tcW w:w="440" w:type="dxa"/>
            <w:vAlign w:val="bottom"/>
          </w:tcPr>
          <w:p>
            <w:pPr>
              <w:spacing w:after="0"/>
              <w:rPr>
                <w:sz w:val="13"/>
                <w:szCs w:val="13"/>
                <w:color w:val="auto"/>
              </w:rPr>
            </w:pPr>
          </w:p>
        </w:tc>
        <w:tc>
          <w:tcPr>
            <w:tcW w:w="76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7"/>
              </w:rPr>
              <w:t>2,312</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$1,083</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$ 716</w:t>
            </w:r>
          </w:p>
        </w:tc>
        <w:tc>
          <w:tcPr>
            <w:tcW w:w="80" w:type="dxa"/>
            <w:vAlign w:val="bottom"/>
          </w:tcPr>
          <w:p>
            <w:pPr>
              <w:spacing w:after="0"/>
              <w:rPr>
                <w:sz w:val="13"/>
                <w:szCs w:val="13"/>
                <w:color w:val="auto"/>
              </w:rPr>
            </w:pPr>
          </w:p>
        </w:tc>
        <w:tc>
          <w:tcPr>
            <w:tcW w:w="3440" w:type="dxa"/>
            <w:vAlign w:val="bottom"/>
          </w:tcPr>
          <w:p>
            <w:pPr>
              <w:jc w:val="right"/>
              <w:ind w:right="1933"/>
              <w:spacing w:after="0"/>
              <w:rPr>
                <w:sz w:val="20"/>
                <w:szCs w:val="20"/>
                <w:color w:val="auto"/>
              </w:rPr>
            </w:pPr>
            <w:r>
              <w:rPr>
                <w:rFonts w:ascii="Courier New" w:cs="Courier New" w:eastAsia="Courier New" w:hAnsi="Courier New"/>
                <w:sz w:val="13"/>
                <w:szCs w:val="13"/>
                <w:color w:val="auto"/>
              </w:rPr>
              <w:t>$ 513</w:t>
            </w:r>
          </w:p>
        </w:tc>
      </w:tr>
      <w:tr>
        <w:trPr>
          <w:trHeight w:val="154"/>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3"/>
                <w:szCs w:val="13"/>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w:t>
            </w:r>
          </w:p>
        </w:tc>
        <w:tc>
          <w:tcPr>
            <w:tcW w:w="3440" w:type="dxa"/>
            <w:vAlign w:val="bottom"/>
          </w:tcPr>
          <w:p>
            <w:pPr>
              <w:jc w:val="right"/>
              <w:ind w:right="1853"/>
              <w:spacing w:after="0"/>
              <w:rPr>
                <w:sz w:val="20"/>
                <w:szCs w:val="20"/>
                <w:color w:val="auto"/>
              </w:rPr>
            </w:pPr>
            <w:r>
              <w:rPr>
                <w:rFonts w:ascii="Courier New" w:cs="Courier New" w:eastAsia="Courier New" w:hAnsi="Courier New"/>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-1772920</wp:posOffset>
            </wp:positionV>
            <wp:extent cx="3175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-1772920</wp:posOffset>
            </wp:positionV>
            <wp:extent cx="3175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ind w:left="560" w:hanging="558"/>
        <w:spacing w:after="0"/>
        <w:tabs>
          <w:tab w:leader="none" w:pos="560" w:val="left"/>
        </w:tabs>
        <w:numPr>
          <w:ilvl w:val="0"/>
          <w:numId w:val="12"/>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Investments in Affiliated Companies</w:t>
      </w:r>
    </w:p>
    <w:p>
      <w:pPr>
        <w:spacing w:after="0" w:line="161" w:lineRule="exact"/>
        <w:rPr>
          <w:rFonts w:ascii="Courier New" w:cs="Courier New" w:eastAsia="Courier New" w:hAnsi="Courier New"/>
          <w:sz w:val="13"/>
          <w:szCs w:val="13"/>
          <w:b w:val="1"/>
          <w:bCs w:val="1"/>
          <w:color w:val="auto"/>
        </w:rPr>
      </w:pPr>
    </w:p>
    <w:p>
      <w:pPr>
        <w:jc w:val="both"/>
        <w:ind w:left="560" w:right="5120"/>
        <w:spacing w:after="0" w:line="253"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Investments in affiliated companies at December 31, 2000 consists of 50% of the member interest of NN General, LLC and 33% of the member interest of NNA, LLC.</w:t>
      </w:r>
    </w:p>
    <w:p>
      <w:pPr>
        <w:spacing w:after="0" w:line="151" w:lineRule="exact"/>
        <w:rPr>
          <w:rFonts w:ascii="Courier New" w:cs="Courier New" w:eastAsia="Courier New" w:hAnsi="Courier New"/>
          <w:sz w:val="13"/>
          <w:szCs w:val="13"/>
          <w:b w:val="1"/>
          <w:bCs w:val="1"/>
          <w:color w:val="auto"/>
        </w:rPr>
      </w:pPr>
    </w:p>
    <w:p>
      <w:pPr>
        <w:ind w:left="560" w:right="50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 2020. Accrued interest income on this note is $159 at December 31, 2000 and is included in other current assets in the accompanying consolidated balance sheet.</w:t>
      </w:r>
    </w:p>
    <w:p>
      <w:pPr>
        <w:spacing w:after="0" w:line="156" w:lineRule="exact"/>
        <w:rPr>
          <w:sz w:val="20"/>
          <w:szCs w:val="20"/>
          <w:color w:val="auto"/>
        </w:rPr>
      </w:pPr>
    </w:p>
    <w:p>
      <w:pPr>
        <w:ind w:left="560" w:right="5040"/>
        <w:spacing w:after="0" w:line="251" w:lineRule="auto"/>
        <w:rPr>
          <w:sz w:val="20"/>
          <w:szCs w:val="20"/>
          <w:color w:val="auto"/>
        </w:rPr>
      </w:pPr>
      <w:r>
        <w:rPr>
          <w:rFonts w:ascii="Courier New" w:cs="Courier New" w:eastAsia="Courier New" w:hAnsi="Courier New"/>
          <w:sz w:val="13"/>
          <w:szCs w:val="13"/>
          <w:color w:val="auto"/>
        </w:rPr>
        <w:t>Effective December 21, 2001, the Company sold its 50% ownership in NN General, LLC to its partner, General Bearing Corporation for cash of $622 and notes of $3,300. The notes are due in annual installments of $200 with the balance due on December 21, 2006. The notes bear interest at an average LIBOR (1.38% at December 31, 2002) plus 1.5%. In 2001, the Company recorded a non-cash loss on the sale of its investment in this joint venture of $144. Interest income on this note of $109 was recorded</w:t>
      </w:r>
    </w:p>
    <w:p>
      <w:pPr>
        <w:sectPr>
          <w:pgSz w:w="11900" w:h="16838" w:orient="portrait"/>
          <w:cols w:equalWidth="0" w:num="1">
            <w:col w:w="11460"/>
          </w:cols>
          <w:pgMar w:left="220" w:top="295" w:right="219" w:bottom="0" w:gutter="0" w:footer="0" w:header="0"/>
        </w:sectPr>
      </w:pPr>
    </w:p>
    <w:bookmarkStart w:id="32" w:name="page33"/>
    <w:bookmarkEnd w:id="32"/>
    <w:p>
      <w:pPr>
        <w:ind w:left="560" w:right="3979"/>
        <w:spacing w:after="0" w:line="252" w:lineRule="auto"/>
        <w:rPr>
          <w:sz w:val="20"/>
          <w:szCs w:val="20"/>
          <w:color w:val="auto"/>
        </w:rPr>
      </w:pPr>
      <w:r>
        <w:rPr>
          <w:rFonts w:ascii="Courier New" w:cs="Courier New" w:eastAsia="Courier New" w:hAnsi="Courier New"/>
          <w:sz w:val="13"/>
          <w:szCs w:val="13"/>
          <w:color w:val="auto"/>
        </w:rPr>
        <w:t>during 2002 and has been included as a component of other income in the accompanying consolidated statement of income. Payments totaling $309 were received during 2002 which include $200 of principal and $109 of interest payments. At December 31, 2002, the note receivable balance is $3,100 and is included as a component of other non-current assets.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Courier New" w:cs="Courier New" w:eastAsia="Courier New" w:hAnsi="Courier New"/>
                <w:sz w:val="13"/>
                <w:szCs w:val="13"/>
                <w:b w:val="1"/>
                <w:bCs w:val="1"/>
                <w:color w:val="auto"/>
              </w:rPr>
              <w:t>6)</w:t>
            </w:r>
          </w:p>
        </w:tc>
        <w:tc>
          <w:tcPr>
            <w:tcW w:w="2680" w:type="dxa"/>
            <w:vAlign w:val="bottom"/>
          </w:tcPr>
          <w:p>
            <w:pPr>
              <w:ind w:left="80"/>
              <w:spacing w:after="0"/>
              <w:rPr>
                <w:sz w:val="20"/>
                <w:szCs w:val="20"/>
                <w:color w:val="auto"/>
              </w:rPr>
            </w:pPr>
            <w:r>
              <w:rPr>
                <w:rFonts w:ascii="Courier New" w:cs="Courier New" w:eastAsia="Courier New" w:hAnsi="Courier New"/>
                <w:sz w:val="13"/>
                <w:szCs w:val="13"/>
                <w:b w:val="1"/>
                <w:bCs w:val="1"/>
                <w:color w:val="auto"/>
              </w:rPr>
              <w:t>Accounts Receivable</w:t>
            </w: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308"/>
        </w:trPr>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December 31,</w:t>
            </w:r>
          </w:p>
        </w:tc>
        <w:tc>
          <w:tcPr>
            <w:tcW w:w="600" w:type="dxa"/>
            <w:vAlign w:val="bottom"/>
          </w:tcPr>
          <w:p>
            <w:pPr>
              <w:spacing w:after="0"/>
              <w:rPr>
                <w:sz w:val="24"/>
                <w:szCs w:val="24"/>
                <w:color w:val="auto"/>
              </w:rPr>
            </w:pPr>
          </w:p>
        </w:tc>
      </w:tr>
      <w:tr>
        <w:trPr>
          <w:trHeight w:val="154"/>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00" w:type="dxa"/>
            <w:vAlign w:val="bottom"/>
          </w:tcPr>
          <w:p>
            <w:pPr>
              <w:jc w:val="center"/>
              <w:ind w:left="153"/>
              <w:spacing w:after="0"/>
              <w:rPr>
                <w:sz w:val="20"/>
                <w:szCs w:val="20"/>
                <w:color w:val="auto"/>
              </w:rPr>
            </w:pPr>
            <w:r>
              <w:rPr>
                <w:rFonts w:ascii="Courier New" w:cs="Courier New" w:eastAsia="Courier New" w:hAnsi="Courier New"/>
                <w:sz w:val="13"/>
                <w:szCs w:val="13"/>
                <w:b w:val="1"/>
                <w:bCs w:val="1"/>
                <w:color w:val="auto"/>
              </w:rPr>
              <w:t>2002</w:t>
            </w:r>
          </w:p>
        </w:tc>
        <w:tc>
          <w:tcPr>
            <w:tcW w:w="100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2001</w:t>
            </w: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00" w:type="dxa"/>
            <w:vAlign w:val="bottom"/>
          </w:tcPr>
          <w:p>
            <w:pPr>
              <w:jc w:val="center"/>
              <w:ind w:left="153"/>
              <w:spacing w:after="0"/>
              <w:rPr>
                <w:sz w:val="20"/>
                <w:szCs w:val="20"/>
                <w:color w:val="auto"/>
              </w:rPr>
            </w:pPr>
            <w:r>
              <w:rPr>
                <w:rFonts w:ascii="Courier New" w:cs="Courier New" w:eastAsia="Courier New" w:hAnsi="Courier New"/>
                <w:sz w:val="13"/>
                <w:szCs w:val="13"/>
                <w:b w:val="1"/>
                <w:bCs w:val="1"/>
                <w:color w:val="auto"/>
              </w:rPr>
              <w:t>----</w:t>
            </w:r>
          </w:p>
        </w:tc>
        <w:tc>
          <w:tcPr>
            <w:tcW w:w="100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w:t>
            </w: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480" w:type="dxa"/>
            <w:vAlign w:val="bottom"/>
          </w:tcPr>
          <w:p>
            <w:pPr>
              <w:spacing w:after="0"/>
              <w:rPr>
                <w:sz w:val="20"/>
                <w:szCs w:val="20"/>
                <w:color w:val="auto"/>
              </w:rPr>
            </w:pPr>
            <w:r>
              <w:rPr>
                <w:rFonts w:ascii="Courier New" w:cs="Courier New" w:eastAsia="Courier New" w:hAnsi="Courier New"/>
                <w:sz w:val="13"/>
                <w:szCs w:val="13"/>
                <w:color w:val="auto"/>
              </w:rPr>
              <w:t>Trade</w:t>
            </w:r>
          </w:p>
        </w:tc>
        <w:tc>
          <w:tcPr>
            <w:tcW w:w="2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$30,631</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$26,613</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$29,028</w:t>
            </w:r>
          </w:p>
        </w:tc>
      </w:tr>
      <w:tr>
        <w:trPr>
          <w:trHeight w:val="154"/>
        </w:trPr>
        <w:tc>
          <w:tcPr>
            <w:tcW w:w="480" w:type="dxa"/>
            <w:vAlign w:val="bottom"/>
          </w:tcPr>
          <w:p>
            <w:pPr>
              <w:spacing w:after="0"/>
              <w:rPr>
                <w:sz w:val="20"/>
                <w:szCs w:val="20"/>
                <w:color w:val="auto"/>
              </w:rPr>
            </w:pPr>
            <w:r>
              <w:rPr>
                <w:rFonts w:ascii="Courier New" w:cs="Courier New" w:eastAsia="Courier New" w:hAnsi="Courier New"/>
                <w:sz w:val="13"/>
                <w:szCs w:val="13"/>
                <w:color w:val="auto"/>
              </w:rPr>
              <w:t>Other</w:t>
            </w:r>
          </w:p>
        </w:tc>
        <w:tc>
          <w:tcPr>
            <w:tcW w:w="2680" w:type="dxa"/>
            <w:vAlign w:val="bottom"/>
          </w:tcPr>
          <w:p>
            <w:pPr>
              <w:spacing w:after="0"/>
              <w:rPr>
                <w:sz w:val="13"/>
                <w:szCs w:val="13"/>
                <w:color w:val="auto"/>
              </w:rPr>
            </w:pPr>
          </w:p>
        </w:tc>
        <w:tc>
          <w:tcPr>
            <w:tcW w:w="700" w:type="dxa"/>
            <w:vAlign w:val="bottom"/>
          </w:tcPr>
          <w:p>
            <w:pPr>
              <w:jc w:val="center"/>
              <w:ind w:left="153"/>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10</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1,297</w:t>
            </w:r>
          </w:p>
        </w:tc>
      </w:tr>
      <w:tr>
        <w:trPr>
          <w:trHeight w:val="154"/>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30,631</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26,623</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30,325</w:t>
            </w:r>
          </w:p>
        </w:tc>
      </w:tr>
      <w:tr>
        <w:trPr>
          <w:trHeight w:val="154"/>
        </w:trPr>
        <w:tc>
          <w:tcPr>
            <w:tcW w:w="3160" w:type="dxa"/>
            <w:vAlign w:val="bottom"/>
            <w:gridSpan w:val="2"/>
          </w:tcPr>
          <w:p>
            <w:pPr>
              <w:spacing w:after="0"/>
              <w:rPr>
                <w:sz w:val="20"/>
                <w:szCs w:val="20"/>
                <w:color w:val="auto"/>
              </w:rPr>
            </w:pPr>
            <w:r>
              <w:rPr>
                <w:rFonts w:ascii="Courier New" w:cs="Courier New" w:eastAsia="Courier New" w:hAnsi="Courier New"/>
                <w:sz w:val="13"/>
                <w:szCs w:val="13"/>
                <w:color w:val="auto"/>
              </w:rPr>
              <w:t>Less - Allowance for doubtful accounts</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1,666</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1,791</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776</w:t>
            </w:r>
          </w:p>
        </w:tc>
      </w:tr>
      <w:tr>
        <w:trPr>
          <w:trHeight w:val="154"/>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$28,965</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$24,832</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$29,549</w:t>
            </w:r>
          </w:p>
        </w:tc>
      </w:tr>
      <w:tr>
        <w:trPr>
          <w:trHeight w:val="154"/>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Allowance for doubtful accounts is as follows:</w:t>
      </w:r>
    </w:p>
    <w:p>
      <w:pPr>
        <w:sectPr>
          <w:pgSz w:w="11900" w:h="16838" w:orient="portrait"/>
          <w:cols w:equalWidth="0" w:num="1">
            <w:col w:w="10239"/>
          </w:cols>
          <w:pgMar w:left="220" w:top="141" w:right="1440" w:bottom="0" w:gutter="0" w:footer="0" w:header="0"/>
        </w:sectPr>
      </w:pPr>
    </w:p>
    <w:p>
      <w:pPr>
        <w:spacing w:after="0" w:line="161" w:lineRule="exact"/>
        <w:rPr>
          <w:sz w:val="20"/>
          <w:szCs w:val="20"/>
          <w:color w:val="auto"/>
        </w:rPr>
      </w:pPr>
    </w:p>
    <w:p>
      <w:pPr>
        <w:ind w:left="1040"/>
        <w:spacing w:after="0"/>
        <w:rPr>
          <w:sz w:val="20"/>
          <w:szCs w:val="20"/>
          <w:color w:val="auto"/>
        </w:rPr>
      </w:pPr>
      <w:r>
        <w:rPr>
          <w:rFonts w:ascii="Courier New" w:cs="Courier New" w:eastAsia="Courier New" w:hAnsi="Courier New"/>
          <w:sz w:val="13"/>
          <w:szCs w:val="13"/>
          <w:b w:val="1"/>
          <w:bCs w:val="1"/>
          <w:color w:val="auto"/>
        </w:rPr>
        <w:t>Description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firstLine="241"/>
        <w:spacing w:after="0" w:line="253" w:lineRule="auto"/>
        <w:rPr>
          <w:sz w:val="20"/>
          <w:szCs w:val="20"/>
          <w:color w:val="auto"/>
        </w:rPr>
      </w:pPr>
      <w:r>
        <w:rPr>
          <w:rFonts w:ascii="Courier New" w:cs="Courier New" w:eastAsia="Courier New" w:hAnsi="Courier New"/>
          <w:sz w:val="13"/>
          <w:szCs w:val="13"/>
          <w:b w:val="1"/>
          <w:bCs w:val="1"/>
          <w:color w:val="auto"/>
        </w:rPr>
        <w:t>Balance at beginning of year ------------------</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firstLine="241"/>
        <w:spacing w:after="0" w:line="254" w:lineRule="auto"/>
        <w:rPr>
          <w:sz w:val="20"/>
          <w:szCs w:val="20"/>
          <w:color w:val="auto"/>
        </w:rPr>
      </w:pPr>
      <w:r>
        <w:rPr>
          <w:rFonts w:ascii="Courier New" w:cs="Courier New" w:eastAsia="Courier New" w:hAnsi="Courier New"/>
          <w:sz w:val="13"/>
          <w:szCs w:val="13"/>
          <w:b w:val="1"/>
          <w:bCs w:val="1"/>
          <w:color w:val="auto"/>
        </w:rPr>
        <w:t>Additions -----------------</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b w:val="1"/>
          <w:bCs w:val="1"/>
          <w:color w:val="auto"/>
        </w:rPr>
        <w:t>Write-offs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Balance at end</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b w:val="1"/>
          <w:bCs w:val="1"/>
          <w:color w:val="auto"/>
        </w:rPr>
        <w:t>of year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b w:val="1"/>
          <w:bCs w:val="1"/>
          <w:color w:val="auto"/>
        </w:rPr>
        <w:t>----------------</w:t>
      </w:r>
    </w:p>
    <w:p>
      <w:pPr>
        <w:spacing w:after="0" w:line="161" w:lineRule="exact"/>
        <w:rPr>
          <w:sz w:val="20"/>
          <w:szCs w:val="20"/>
          <w:color w:val="auto"/>
        </w:rPr>
      </w:pPr>
    </w:p>
    <w:p>
      <w:pPr>
        <w:sectPr>
          <w:pgSz w:w="11900" w:h="16838" w:orient="portrait"/>
          <w:cols w:equalWidth="0" w:num="5">
            <w:col w:w="2080" w:space="720"/>
            <w:col w:w="1460" w:space="160"/>
            <w:col w:w="1360" w:space="160"/>
            <w:col w:w="1200" w:space="80"/>
            <w:col w:w="3019"/>
          </w:cols>
          <w:pgMar w:left="220" w:top="141" w:right="1440" w:bottom="0" w:gutter="0" w:footer="0" w:header="0"/>
          <w:type w:val="continuous"/>
        </w:sectPr>
      </w:pPr>
    </w:p>
    <w:p>
      <w:pPr>
        <w:ind w:left="480"/>
        <w:spacing w:after="0"/>
        <w:rPr>
          <w:sz w:val="20"/>
          <w:szCs w:val="20"/>
          <w:color w:val="auto"/>
        </w:rPr>
      </w:pPr>
      <w:r>
        <w:rPr>
          <w:rFonts w:ascii="Courier New" w:cs="Courier New" w:eastAsia="Courier New" w:hAnsi="Courier New"/>
          <w:sz w:val="13"/>
          <w:szCs w:val="13"/>
          <w:color w:val="auto"/>
        </w:rPr>
        <w:t>December 31, 2000</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Allowance for doubtful</w:t>
      </w:r>
    </w:p>
    <w:p>
      <w:pPr>
        <w:sectPr>
          <w:pgSz w:w="11900" w:h="16838"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accounts</w:t>
      </w:r>
    </w:p>
    <w:p>
      <w:pPr>
        <w:spacing w:after="0" w:line="20" w:lineRule="exact"/>
        <w:rPr>
          <w:sz w:val="20"/>
          <w:szCs w:val="20"/>
          <w:color w:val="auto"/>
        </w:rPr>
      </w:pPr>
      <w:r>
        <w:rPr>
          <w:sz w:val="20"/>
          <w:szCs w:val="20"/>
          <w:color w:val="auto"/>
        </w:rPr>
        <w:br w:type="column"/>
      </w:r>
    </w:p>
    <w:p>
      <w:pPr>
        <w:ind w:left="660"/>
        <w:spacing w:after="0"/>
        <w:tabs>
          <w:tab w:leader="none" w:pos="11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906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firstLine="241"/>
        <w:spacing w:after="0" w:line="254" w:lineRule="auto"/>
        <w:rPr>
          <w:sz w:val="20"/>
          <w:szCs w:val="20"/>
          <w:color w:val="auto"/>
        </w:rPr>
      </w:pPr>
      <w:r>
        <w:rPr>
          <w:rFonts w:ascii="Courier New" w:cs="Courier New" w:eastAsia="Courier New" w:hAnsi="Courier New"/>
          <w:sz w:val="13"/>
          <w:szCs w:val="13"/>
          <w:color w:val="auto"/>
        </w:rPr>
        <w:t>$ -- =================</w:t>
      </w:r>
    </w:p>
    <w:p>
      <w:pPr>
        <w:spacing w:after="0" w:line="20" w:lineRule="exact"/>
        <w:rPr>
          <w:sz w:val="20"/>
          <w:szCs w:val="20"/>
          <w:color w:val="auto"/>
        </w:rPr>
      </w:pPr>
      <w:r>
        <w:rPr>
          <w:sz w:val="20"/>
          <w:szCs w:val="20"/>
          <w:color w:val="auto"/>
        </w:rPr>
        <w:br w:type="column"/>
      </w:r>
    </w:p>
    <w:p>
      <w:pPr>
        <w:ind w:left="560"/>
        <w:spacing w:after="0"/>
        <w:tabs>
          <w:tab w:leader="none" w:pos="860" w:val="left"/>
        </w:tabs>
        <w:rPr>
          <w:sz w:val="20"/>
          <w:szCs w:val="20"/>
          <w:color w:val="auto"/>
        </w:rPr>
      </w:pPr>
      <w:r>
        <w:rPr>
          <w:rFonts w:ascii="Courier New" w:cs="Courier New" w:eastAsia="Courier New" w:hAnsi="Courier New"/>
          <w:sz w:val="13"/>
          <w:szCs w:val="13"/>
          <w:color w:val="auto"/>
        </w:rPr>
        <w:t>$</w:t>
        <w:tab/>
        <w:t>130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480"/>
        <w:spacing w:after="0"/>
        <w:tabs>
          <w:tab w:leader="none" w:pos="9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776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0"/>
          <w:szCs w:val="20"/>
          <w:color w:val="auto"/>
        </w:rPr>
      </w:pPr>
    </w:p>
    <w:p>
      <w:pPr>
        <w:sectPr>
          <w:pgSz w:w="11900" w:h="16838" w:orient="portrait"/>
          <w:cols w:equalWidth="0" w:num="5">
            <w:col w:w="2080" w:space="720"/>
            <w:col w:w="1460" w:space="160"/>
            <w:col w:w="1360" w:space="160"/>
            <w:col w:w="1200" w:space="160"/>
            <w:col w:w="2939"/>
          </w:cols>
          <w:pgMar w:left="220" w:top="141" w:right="1440" w:bottom="0" w:gutter="0" w:footer="0" w:header="0"/>
          <w:type w:val="continuous"/>
        </w:sect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ind w:left="152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b w:val="1"/>
          <w:bCs w:val="1"/>
          <w:color w:val="auto"/>
        </w:rPr>
        <w:t>December 31, 2001</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Allowance for doubtful</w:t>
      </w:r>
    </w:p>
    <w:p>
      <w:pPr>
        <w:sectPr>
          <w:pgSz w:w="11900" w:h="16838"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accounts</w:t>
      </w:r>
    </w:p>
    <w:p>
      <w:pPr>
        <w:spacing w:after="0" w:line="20" w:lineRule="exact"/>
        <w:rPr>
          <w:sz w:val="20"/>
          <w:szCs w:val="20"/>
          <w:color w:val="auto"/>
        </w:rPr>
      </w:pPr>
      <w:r>
        <w:rPr>
          <w:sz w:val="20"/>
          <w:szCs w:val="20"/>
          <w:color w:val="auto"/>
        </w:rPr>
        <w:br w:type="column"/>
      </w:r>
    </w:p>
    <w:p>
      <w:pPr>
        <w:ind w:left="660"/>
        <w:spacing w:after="0"/>
        <w:tabs>
          <w:tab w:leader="none" w:pos="10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776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firstLine="561"/>
        <w:spacing w:after="0" w:line="254" w:lineRule="auto"/>
        <w:rPr>
          <w:sz w:val="20"/>
          <w:szCs w:val="20"/>
          <w:color w:val="auto"/>
        </w:rPr>
      </w:pPr>
      <w:r>
        <w:rPr>
          <w:rFonts w:ascii="Courier New" w:cs="Courier New" w:eastAsia="Courier New" w:hAnsi="Courier New"/>
          <w:sz w:val="13"/>
          <w:szCs w:val="13"/>
          <w:color w:val="auto"/>
        </w:rPr>
        <w:t>$ 1,668 =================</w:t>
      </w:r>
    </w:p>
    <w:p>
      <w:pPr>
        <w:spacing w:after="0" w:line="20" w:lineRule="exact"/>
        <w:rPr>
          <w:sz w:val="20"/>
          <w:szCs w:val="20"/>
          <w:color w:val="auto"/>
        </w:rPr>
      </w:pPr>
      <w:r>
        <w:rPr>
          <w:sz w:val="20"/>
          <w:szCs w:val="20"/>
          <w:color w:val="auto"/>
        </w:rPr>
        <w:br w:type="column"/>
      </w:r>
    </w:p>
    <w:p>
      <w:pPr>
        <w:ind w:left="560"/>
        <w:spacing w:after="0"/>
        <w:tabs>
          <w:tab w:leader="none" w:pos="780" w:val="left"/>
        </w:tabs>
        <w:rPr>
          <w:sz w:val="20"/>
          <w:szCs w:val="20"/>
          <w:color w:val="auto"/>
        </w:rPr>
      </w:pPr>
      <w:r>
        <w:rPr>
          <w:rFonts w:ascii="Courier New" w:cs="Courier New" w:eastAsia="Courier New" w:hAnsi="Courier New"/>
          <w:sz w:val="13"/>
          <w:szCs w:val="13"/>
          <w:color w:val="auto"/>
        </w:rPr>
        <w:t>$</w:t>
        <w:tab/>
        <w:t>653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480"/>
        <w:spacing w:after="0"/>
        <w:tabs>
          <w:tab w:leader="none" w:pos="780" w:val="left"/>
        </w:tabs>
        <w:rPr>
          <w:sz w:val="20"/>
          <w:szCs w:val="20"/>
          <w:color w:val="auto"/>
        </w:rPr>
      </w:pPr>
      <w:r>
        <w:rPr>
          <w:rFonts w:ascii="Courier New" w:cs="Courier New" w:eastAsia="Courier New" w:hAnsi="Courier New"/>
          <w:sz w:val="13"/>
          <w:szCs w:val="13"/>
          <w:color w:val="auto"/>
        </w:rPr>
        <w:t>$</w:t>
        <w:tab/>
        <w:t>1,791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0"/>
          <w:szCs w:val="20"/>
          <w:color w:val="auto"/>
        </w:rPr>
      </w:pPr>
    </w:p>
    <w:p>
      <w:pPr>
        <w:sectPr>
          <w:pgSz w:w="11900" w:h="16838" w:orient="portrait"/>
          <w:cols w:equalWidth="0" w:num="5">
            <w:col w:w="2080" w:space="720"/>
            <w:col w:w="1460" w:space="160"/>
            <w:col w:w="1360" w:space="160"/>
            <w:col w:w="1200" w:space="160"/>
            <w:col w:w="2939"/>
          </w:cols>
          <w:pgMar w:left="220" w:top="141" w:right="1440" w:bottom="0" w:gutter="0" w:footer="0" w:header="0"/>
          <w:type w:val="continuous"/>
        </w:sectPr>
      </w:pPr>
    </w:p>
    <w:p>
      <w:pPr>
        <w:ind w:left="480"/>
        <w:spacing w:after="0"/>
        <w:rPr>
          <w:sz w:val="20"/>
          <w:szCs w:val="20"/>
          <w:color w:val="auto"/>
        </w:rPr>
      </w:pPr>
      <w:r>
        <w:rPr>
          <w:rFonts w:ascii="Courier New" w:cs="Courier New" w:eastAsia="Courier New" w:hAnsi="Courier New"/>
          <w:sz w:val="13"/>
          <w:szCs w:val="13"/>
          <w:b w:val="1"/>
          <w:bCs w:val="1"/>
          <w:color w:val="auto"/>
        </w:rPr>
        <w:t>December 31, 2002</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Allowance for doubtful</w:t>
      </w:r>
    </w:p>
    <w:p>
      <w:pPr>
        <w:sectPr>
          <w:pgSz w:w="11900" w:h="16838"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accounts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3"/>
          <w:szCs w:val="13"/>
          <w:color w:val="auto"/>
        </w:rPr>
        <w:t>$ 1,791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firstLine="561"/>
        <w:spacing w:after="0" w:line="254" w:lineRule="auto"/>
        <w:rPr>
          <w:sz w:val="20"/>
          <w:szCs w:val="20"/>
          <w:color w:val="auto"/>
        </w:rPr>
      </w:pPr>
      <w:r>
        <w:rPr>
          <w:rFonts w:ascii="Courier New" w:cs="Courier New" w:eastAsia="Courier New" w:hAnsi="Courier New"/>
          <w:sz w:val="13"/>
          <w:szCs w:val="13"/>
          <w:color w:val="auto"/>
        </w:rPr>
        <w:t>$ 138 =================</w:t>
      </w:r>
    </w:p>
    <w:p>
      <w:pPr>
        <w:spacing w:after="0" w:line="20" w:lineRule="exact"/>
        <w:rPr>
          <w:sz w:val="20"/>
          <w:szCs w:val="20"/>
          <w:color w:val="auto"/>
        </w:rPr>
      </w:pPr>
      <w:r>
        <w:rPr>
          <w:sz w:val="20"/>
          <w:szCs w:val="20"/>
          <w:color w:val="auto"/>
        </w:rPr>
        <w:br w:type="column"/>
      </w:r>
    </w:p>
    <w:p>
      <w:pPr>
        <w:ind w:left="480"/>
        <w:spacing w:after="0"/>
        <w:tabs>
          <w:tab w:leader="none" w:pos="780" w:val="left"/>
        </w:tabs>
        <w:rPr>
          <w:sz w:val="20"/>
          <w:szCs w:val="20"/>
          <w:color w:val="auto"/>
        </w:rPr>
      </w:pPr>
      <w:r>
        <w:rPr>
          <w:rFonts w:ascii="Courier New" w:cs="Courier New" w:eastAsia="Courier New" w:hAnsi="Courier New"/>
          <w:sz w:val="13"/>
          <w:szCs w:val="13"/>
          <w:color w:val="auto"/>
        </w:rPr>
        <w:t>$</w:t>
        <w:tab/>
        <w:t>263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480"/>
        <w:spacing w:after="0"/>
        <w:tabs>
          <w:tab w:leader="none" w:pos="780" w:val="left"/>
        </w:tabs>
        <w:rPr>
          <w:sz w:val="20"/>
          <w:szCs w:val="20"/>
          <w:color w:val="auto"/>
        </w:rPr>
      </w:pPr>
      <w:r>
        <w:rPr>
          <w:rFonts w:ascii="Courier New" w:cs="Courier New" w:eastAsia="Courier New" w:hAnsi="Courier New"/>
          <w:sz w:val="13"/>
          <w:szCs w:val="13"/>
          <w:color w:val="auto"/>
        </w:rPr>
        <w:t>$</w:t>
        <w:tab/>
        <w:t>1,666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61" w:lineRule="exact"/>
        <w:rPr>
          <w:sz w:val="20"/>
          <w:szCs w:val="20"/>
          <w:color w:val="auto"/>
        </w:rPr>
      </w:pPr>
    </w:p>
    <w:p>
      <w:pPr>
        <w:sectPr>
          <w:pgSz w:w="11900" w:h="16838" w:orient="portrait"/>
          <w:cols w:equalWidth="0" w:num="5">
            <w:col w:w="2080" w:space="720"/>
            <w:col w:w="1460" w:space="160"/>
            <w:col w:w="1360" w:space="160"/>
            <w:col w:w="1200" w:space="160"/>
            <w:col w:w="2939"/>
          </w:cols>
          <w:pgMar w:left="220" w:top="141" w:right="1440" w:bottom="0" w:gutter="0" w:footer="0" w:header="0"/>
          <w:type w:val="continuous"/>
        </w:sectPr>
      </w:pPr>
    </w:p>
    <w:p>
      <w:pPr>
        <w:ind w:left="560" w:right="3819"/>
        <w:spacing w:after="0" w:line="251" w:lineRule="auto"/>
        <w:rPr>
          <w:sz w:val="20"/>
          <w:szCs w:val="20"/>
          <w:color w:val="auto"/>
        </w:rPr>
      </w:pPr>
      <w:r>
        <w:rPr>
          <w:rFonts w:ascii="Courier New" w:cs="Courier New" w:eastAsia="Courier New" w:hAnsi="Courier New"/>
          <w:sz w:val="13"/>
          <w:szCs w:val="13"/>
          <w:color w:val="auto"/>
        </w:rPr>
        <w:t>On November 6, 2001, a customer of IMC filed for voluntary Chapter 7 bankruptcy. As of December 31, 2002 and 2001, the Company had a trade accounts receivable balance of approximately $829 with this customer. For the years ended December 31, 2002 and 2001, the Company recorded sales of approximately $0 and $1,900 to this customer. As of December 31, 2001, the Company increased its allowance for doubtful accounts by approximately $829 as a result of this bankruptcy filing. This receivable is fully reserved as of December 31, 2001.</w:t>
      </w:r>
    </w:p>
    <w:p>
      <w:pPr>
        <w:spacing w:after="0" w:line="156" w:lineRule="exact"/>
        <w:rPr>
          <w:sz w:val="20"/>
          <w:szCs w:val="20"/>
          <w:color w:val="auto"/>
        </w:rPr>
      </w:pPr>
    </w:p>
    <w:p>
      <w:pPr>
        <w:ind w:left="560" w:hanging="558"/>
        <w:spacing w:after="0"/>
        <w:tabs>
          <w:tab w:leader="none" w:pos="560" w:val="left"/>
        </w:tabs>
        <w:numPr>
          <w:ilvl w:val="0"/>
          <w:numId w:val="13"/>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Inventories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December 31,</w:t>
            </w:r>
          </w:p>
        </w:tc>
        <w:tc>
          <w:tcPr>
            <w:tcW w:w="760" w:type="dxa"/>
            <w:vAlign w:val="bottom"/>
          </w:tcPr>
          <w:p>
            <w:pPr>
              <w:spacing w:after="0"/>
              <w:rPr>
                <w:sz w:val="12"/>
                <w:szCs w:val="12"/>
                <w:color w:val="auto"/>
              </w:rPr>
            </w:pPr>
          </w:p>
        </w:tc>
      </w:tr>
      <w:tr>
        <w:trPr>
          <w:trHeight w:val="154"/>
        </w:trPr>
        <w:tc>
          <w:tcPr>
            <w:tcW w:w="1880" w:type="dxa"/>
            <w:vAlign w:val="bottom"/>
          </w:tcPr>
          <w:p>
            <w:pPr>
              <w:spacing w:after="0"/>
              <w:rPr>
                <w:sz w:val="13"/>
                <w:szCs w:val="13"/>
                <w:color w:val="auto"/>
              </w:rPr>
            </w:pPr>
          </w:p>
        </w:tc>
        <w:tc>
          <w:tcPr>
            <w:tcW w:w="92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2002</w:t>
            </w:r>
          </w:p>
        </w:tc>
        <w:tc>
          <w:tcPr>
            <w:tcW w:w="110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2001</w:t>
            </w:r>
          </w:p>
        </w:tc>
        <w:tc>
          <w:tcPr>
            <w:tcW w:w="76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1880" w:type="dxa"/>
            <w:vAlign w:val="bottom"/>
          </w:tcPr>
          <w:p>
            <w:pPr>
              <w:spacing w:after="0"/>
              <w:rPr>
                <w:sz w:val="13"/>
                <w:szCs w:val="13"/>
                <w:color w:val="auto"/>
              </w:rPr>
            </w:pPr>
          </w:p>
        </w:tc>
        <w:tc>
          <w:tcPr>
            <w:tcW w:w="92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w:t>
            </w:r>
          </w:p>
        </w:tc>
        <w:tc>
          <w:tcPr>
            <w:tcW w:w="110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w:t>
            </w:r>
          </w:p>
        </w:tc>
        <w:tc>
          <w:tcPr>
            <w:tcW w:w="76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1880" w:type="dxa"/>
            <w:vAlign w:val="bottom"/>
          </w:tcPr>
          <w:p>
            <w:pPr>
              <w:spacing w:after="0"/>
              <w:rPr>
                <w:sz w:val="20"/>
                <w:szCs w:val="20"/>
                <w:color w:val="auto"/>
              </w:rPr>
            </w:pPr>
            <w:r>
              <w:rPr>
                <w:rFonts w:ascii="Courier New" w:cs="Courier New" w:eastAsia="Courier New" w:hAnsi="Courier New"/>
                <w:sz w:val="13"/>
                <w:szCs w:val="13"/>
                <w:color w:val="auto"/>
              </w:rPr>
              <w:t>Raw materials</w:t>
            </w: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5,400</w:t>
            </w:r>
          </w:p>
        </w:tc>
        <w:tc>
          <w:tcPr>
            <w:tcW w:w="11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5,494</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4,431</w:t>
            </w:r>
          </w:p>
        </w:tc>
      </w:tr>
      <w:tr>
        <w:trPr>
          <w:trHeight w:val="154"/>
        </w:trPr>
        <w:tc>
          <w:tcPr>
            <w:tcW w:w="1880" w:type="dxa"/>
            <w:vAlign w:val="bottom"/>
          </w:tcPr>
          <w:p>
            <w:pPr>
              <w:spacing w:after="0"/>
              <w:rPr>
                <w:sz w:val="20"/>
                <w:szCs w:val="20"/>
                <w:color w:val="auto"/>
              </w:rPr>
            </w:pPr>
            <w:r>
              <w:rPr>
                <w:rFonts w:ascii="Courier New" w:cs="Courier New" w:eastAsia="Courier New" w:hAnsi="Courier New"/>
                <w:sz w:val="13"/>
                <w:szCs w:val="13"/>
                <w:color w:val="auto"/>
              </w:rPr>
              <w:t>Work in process</w:t>
            </w: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5,139</w:t>
            </w:r>
          </w:p>
        </w:tc>
        <w:tc>
          <w:tcPr>
            <w:tcW w:w="11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5,016</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5,265</w:t>
            </w:r>
          </w:p>
        </w:tc>
      </w:tr>
      <w:tr>
        <w:trPr>
          <w:trHeight w:val="154"/>
        </w:trPr>
        <w:tc>
          <w:tcPr>
            <w:tcW w:w="1880" w:type="dxa"/>
            <w:vAlign w:val="bottom"/>
          </w:tcPr>
          <w:p>
            <w:pPr>
              <w:spacing w:after="0"/>
              <w:rPr>
                <w:sz w:val="20"/>
                <w:szCs w:val="20"/>
                <w:color w:val="auto"/>
              </w:rPr>
            </w:pPr>
            <w:r>
              <w:rPr>
                <w:rFonts w:ascii="Courier New" w:cs="Courier New" w:eastAsia="Courier New" w:hAnsi="Courier New"/>
                <w:sz w:val="13"/>
                <w:szCs w:val="13"/>
                <w:color w:val="auto"/>
              </w:rPr>
              <w:t>Finished goods</w:t>
            </w: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13,065</w:t>
            </w:r>
          </w:p>
        </w:tc>
        <w:tc>
          <w:tcPr>
            <w:tcW w:w="11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13,065</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14,106</w:t>
            </w:r>
          </w:p>
        </w:tc>
      </w:tr>
      <w:tr>
        <w:trPr>
          <w:trHeight w:val="154"/>
        </w:trPr>
        <w:tc>
          <w:tcPr>
            <w:tcW w:w="1880" w:type="dxa"/>
            <w:vAlign w:val="bottom"/>
          </w:tcPr>
          <w:p>
            <w:pPr>
              <w:spacing w:after="0"/>
              <w:rPr>
                <w:sz w:val="20"/>
                <w:szCs w:val="20"/>
                <w:color w:val="auto"/>
              </w:rPr>
            </w:pPr>
            <w:r>
              <w:rPr>
                <w:rFonts w:ascii="Courier New" w:cs="Courier New" w:eastAsia="Courier New" w:hAnsi="Courier New"/>
                <w:sz w:val="13"/>
                <w:szCs w:val="13"/>
                <w:color w:val="auto"/>
              </w:rPr>
              <w:t>Less-inventory reserve</w:t>
            </w:r>
          </w:p>
        </w:tc>
        <w:tc>
          <w:tcPr>
            <w:tcW w:w="9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(202)</w:t>
            </w:r>
          </w:p>
        </w:tc>
        <w:tc>
          <w:tcPr>
            <w:tcW w:w="11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(157)</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(60)</w:t>
            </w:r>
          </w:p>
        </w:tc>
      </w:tr>
      <w:tr>
        <w:trPr>
          <w:trHeight w:val="154"/>
        </w:trPr>
        <w:tc>
          <w:tcPr>
            <w:tcW w:w="1880" w:type="dxa"/>
            <w:vAlign w:val="bottom"/>
          </w:tcPr>
          <w:p>
            <w:pPr>
              <w:spacing w:after="0"/>
              <w:rPr>
                <w:sz w:val="13"/>
                <w:szCs w:val="13"/>
                <w:color w:val="auto"/>
              </w:rPr>
            </w:pP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1880" w:type="dxa"/>
            <w:vAlign w:val="bottom"/>
          </w:tcPr>
          <w:p>
            <w:pPr>
              <w:spacing w:after="0"/>
              <w:rPr>
                <w:sz w:val="13"/>
                <w:szCs w:val="13"/>
                <w:color w:val="auto"/>
              </w:rPr>
            </w:pP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$ 23,402</w:t>
            </w:r>
          </w:p>
        </w:tc>
        <w:tc>
          <w:tcPr>
            <w:tcW w:w="11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$ 23,418</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$ 23,742</w:t>
            </w:r>
          </w:p>
        </w:tc>
      </w:tr>
      <w:tr>
        <w:trPr>
          <w:trHeight w:val="154"/>
        </w:trPr>
        <w:tc>
          <w:tcPr>
            <w:tcW w:w="1880" w:type="dxa"/>
            <w:vAlign w:val="bottom"/>
          </w:tcPr>
          <w:p>
            <w:pPr>
              <w:spacing w:after="0"/>
              <w:rPr>
                <w:sz w:val="13"/>
                <w:szCs w:val="13"/>
                <w:color w:val="auto"/>
              </w:rPr>
            </w:pPr>
          </w:p>
        </w:tc>
        <w:tc>
          <w:tcPr>
            <w:tcW w:w="9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4539"/>
        <w:spacing w:after="0" w:line="254" w:lineRule="auto"/>
        <w:rPr>
          <w:sz w:val="20"/>
          <w:szCs w:val="20"/>
          <w:color w:val="auto"/>
        </w:rPr>
      </w:pPr>
      <w:r>
        <w:rPr>
          <w:rFonts w:ascii="Courier New" w:cs="Courier New" w:eastAsia="Courier New" w:hAnsi="Courier New"/>
          <w:sz w:val="13"/>
          <w:szCs w:val="13"/>
          <w:color w:val="auto"/>
        </w:rPr>
        <w:t>Inventory on consignment at December 31, 2002, 2001 and 2000 was approximately $ 3,093, $2,908, and $4,083 respectively.</w:t>
      </w:r>
    </w:p>
    <w:p>
      <w:pPr>
        <w:spacing w:after="0" w:line="151" w:lineRule="exact"/>
        <w:rPr>
          <w:sz w:val="20"/>
          <w:szCs w:val="20"/>
          <w:color w:val="auto"/>
        </w:rPr>
      </w:pPr>
    </w:p>
    <w:p>
      <w:pPr>
        <w:ind w:left="560" w:hanging="558"/>
        <w:spacing w:after="0"/>
        <w:tabs>
          <w:tab w:leader="none" w:pos="560" w:val="left"/>
        </w:tabs>
        <w:numPr>
          <w:ilvl w:val="0"/>
          <w:numId w:val="14"/>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Property, Plant and Equipment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3"/>
                <w:szCs w:val="13"/>
                <w:b w:val="1"/>
                <w:bCs w:val="1"/>
                <w:color w:val="auto"/>
              </w:rPr>
              <w:t>Estimated</w:t>
            </w:r>
          </w:p>
        </w:tc>
        <w:tc>
          <w:tcPr>
            <w:tcW w:w="10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December 31,</w:t>
            </w:r>
          </w:p>
        </w:tc>
        <w:tc>
          <w:tcPr>
            <w:tcW w:w="640" w:type="dxa"/>
            <w:vAlign w:val="bottom"/>
          </w:tcPr>
          <w:p>
            <w:pPr>
              <w:spacing w:after="0"/>
              <w:rPr>
                <w:sz w:val="12"/>
                <w:szCs w:val="12"/>
                <w:color w:val="auto"/>
              </w:rPr>
            </w:pPr>
          </w:p>
        </w:tc>
      </w:tr>
      <w:tr>
        <w:trPr>
          <w:trHeight w:val="154"/>
        </w:trPr>
        <w:tc>
          <w:tcPr>
            <w:tcW w:w="2560" w:type="dxa"/>
            <w:vAlign w:val="bottom"/>
          </w:tcPr>
          <w:p>
            <w:pPr>
              <w:spacing w:after="0"/>
              <w:rPr>
                <w:sz w:val="13"/>
                <w:szCs w:val="13"/>
                <w:color w:val="auto"/>
              </w:rPr>
            </w:pPr>
          </w:p>
        </w:tc>
        <w:tc>
          <w:tcPr>
            <w:tcW w:w="138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Useful Life</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2002</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2001</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2560" w:type="dxa"/>
            <w:vAlign w:val="bottom"/>
          </w:tcPr>
          <w:p>
            <w:pPr>
              <w:spacing w:after="0"/>
              <w:rPr>
                <w:sz w:val="13"/>
                <w:szCs w:val="13"/>
                <w:color w:val="auto"/>
              </w:rPr>
            </w:pPr>
          </w:p>
        </w:tc>
        <w:tc>
          <w:tcPr>
            <w:tcW w:w="138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Land</w:t>
            </w: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2,058</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1,830</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99"/>
              </w:rPr>
              <w:t>$  2,202</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Buildings and improvements</w:t>
            </w:r>
          </w:p>
        </w:tc>
        <w:tc>
          <w:tcPr>
            <w:tcW w:w="1380" w:type="dxa"/>
            <w:vAlign w:val="bottom"/>
          </w:tcPr>
          <w:p>
            <w:pPr>
              <w:ind w:left="160"/>
              <w:spacing w:after="0"/>
              <w:rPr>
                <w:sz w:val="20"/>
                <w:szCs w:val="20"/>
                <w:color w:val="auto"/>
              </w:rPr>
            </w:pPr>
            <w:r>
              <w:rPr>
                <w:rFonts w:ascii="Courier New" w:cs="Courier New" w:eastAsia="Courier New" w:hAnsi="Courier New"/>
                <w:sz w:val="13"/>
                <w:szCs w:val="13"/>
                <w:color w:val="auto"/>
              </w:rPr>
              <w:t>10-25 years</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23,877</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20,286</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26,463</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Machinery and equipment</w:t>
            </w:r>
          </w:p>
        </w:tc>
        <w:tc>
          <w:tcPr>
            <w:tcW w:w="13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3-10 years</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113,197</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103,363</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92,810</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Construction in process</w:t>
            </w: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3,958</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1,577</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6,138</w:t>
            </w:r>
          </w:p>
        </w:tc>
      </w:tr>
      <w:tr>
        <w:trPr>
          <w:trHeight w:val="154"/>
        </w:trPr>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143,090</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127,056</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127,613</w:t>
            </w:r>
          </w:p>
        </w:tc>
      </w:tr>
      <w:tr>
        <w:trPr>
          <w:trHeight w:val="154"/>
        </w:trPr>
        <w:tc>
          <w:tcPr>
            <w:tcW w:w="2560" w:type="dxa"/>
            <w:vAlign w:val="bottom"/>
          </w:tcPr>
          <w:p>
            <w:pPr>
              <w:spacing w:after="0"/>
              <w:rPr>
                <w:sz w:val="20"/>
                <w:szCs w:val="20"/>
                <w:color w:val="auto"/>
              </w:rPr>
            </w:pPr>
            <w:r>
              <w:rPr>
                <w:rFonts w:ascii="Courier New" w:cs="Courier New" w:eastAsia="Courier New" w:hAnsi="Courier New"/>
                <w:sz w:val="13"/>
                <w:szCs w:val="13"/>
                <w:color w:val="auto"/>
              </w:rPr>
              <w:t>Less - accumulated depreciation</w:t>
            </w: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54,891</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44,286</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35,920</w:t>
            </w:r>
          </w:p>
        </w:tc>
      </w:tr>
      <w:tr>
        <w:trPr>
          <w:trHeight w:val="154"/>
        </w:trPr>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54"/>
        </w:trPr>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$ 88,199</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$ 82,770</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99"/>
              </w:rPr>
              <w:t>$ 91,693</w:t>
            </w:r>
          </w:p>
        </w:tc>
      </w:tr>
      <w:tr>
        <w:trPr>
          <w:trHeight w:val="154"/>
        </w:trPr>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r>
    </w:tbl>
    <w:p>
      <w:pPr>
        <w:spacing w:after="0" w:line="159"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On September 11, 2001, the Company announced the closing of its Walterboro, South Carolina ball manufacturing facility effective December 2001. As a result of that closing, land and building was classified as a component of assets held for sale in the accompanying consolidated financial statements with a carrying value of $1,128 and $1,692 as</w:t>
      </w:r>
    </w:p>
    <w:p>
      <w:pPr>
        <w:spacing w:after="0" w:line="1" w:lineRule="exact"/>
        <w:rPr>
          <w:sz w:val="20"/>
          <w:szCs w:val="20"/>
          <w:color w:val="auto"/>
        </w:rPr>
      </w:pPr>
    </w:p>
    <w:p>
      <w:pPr>
        <w:ind w:left="560" w:right="3979"/>
        <w:spacing w:after="0" w:line="254" w:lineRule="auto"/>
        <w:rPr>
          <w:sz w:val="20"/>
          <w:szCs w:val="20"/>
          <w:color w:val="auto"/>
        </w:rPr>
      </w:pPr>
      <w:r>
        <w:rPr>
          <w:rFonts w:ascii="Courier New" w:cs="Courier New" w:eastAsia="Courier New" w:hAnsi="Courier New"/>
          <w:sz w:val="13"/>
          <w:szCs w:val="13"/>
          <w:color w:val="auto"/>
        </w:rPr>
        <w:t>of December 31, 2002 and 2001, respectively. Certain machinery and equipment assets are also held for sale with a carrying value of $1,086</w:t>
      </w:r>
    </w:p>
    <w:p>
      <w:pPr>
        <w:sectPr>
          <w:pgSz w:w="11900" w:h="16838" w:orient="portrait"/>
          <w:cols w:equalWidth="0" w:num="1">
            <w:col w:w="10239"/>
          </w:cols>
          <w:pgMar w:left="220" w:top="141" w:right="1440" w:bottom="0" w:gutter="0" w:footer="0" w:header="0"/>
          <w:type w:val="continuous"/>
        </w:sectPr>
      </w:pPr>
    </w:p>
    <w:bookmarkStart w:id="33" w:name="page34"/>
    <w:bookmarkEnd w:id="33"/>
    <w:p>
      <w:pPr>
        <w:ind w:left="560"/>
        <w:spacing w:after="0"/>
        <w:rPr>
          <w:sz w:val="20"/>
          <w:szCs w:val="20"/>
          <w:color w:val="auto"/>
        </w:rPr>
      </w:pPr>
      <w:r>
        <w:rPr>
          <w:rFonts w:ascii="Courier New" w:cs="Courier New" w:eastAsia="Courier New" w:hAnsi="Courier New"/>
          <w:sz w:val="13"/>
          <w:szCs w:val="13"/>
          <w:color w:val="auto"/>
        </w:rPr>
        <w:t>and $2,656, as of December 31, 2002 and 2001, respectively.</w:t>
      </w:r>
    </w:p>
    <w:p>
      <w:pPr>
        <w:spacing w:after="0" w:line="161"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640" w:hanging="638"/>
        <w:spacing w:after="0"/>
        <w:tabs>
          <w:tab w:leader="none" w:pos="640" w:val="left"/>
        </w:tabs>
        <w:numPr>
          <w:ilvl w:val="0"/>
          <w:numId w:val="1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Debt</w:t>
      </w:r>
    </w:p>
    <w:p>
      <w:pPr>
        <w:spacing w:after="0" w:line="315" w:lineRule="exact"/>
        <w:rPr>
          <w:rFonts w:ascii="Courier New" w:cs="Courier New" w:eastAsia="Courier New" w:hAnsi="Courier New"/>
          <w:sz w:val="13"/>
          <w:szCs w:val="13"/>
          <w:b w:val="1"/>
          <w:bCs w:val="1"/>
          <w:color w:val="auto"/>
        </w:rPr>
      </w:pPr>
    </w:p>
    <w:p>
      <w:pPr>
        <w:ind w:left="800" w:hanging="397"/>
        <w:spacing w:after="0"/>
        <w:tabs>
          <w:tab w:leader="none" w:pos="800" w:val="left"/>
        </w:tabs>
        <w:numPr>
          <w:ilvl w:val="1"/>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Short-term</w:t>
      </w:r>
    </w:p>
    <w:p>
      <w:pPr>
        <w:spacing w:after="0" w:line="315" w:lineRule="exact"/>
        <w:rPr>
          <w:sz w:val="20"/>
          <w:szCs w:val="20"/>
          <w:color w:val="auto"/>
        </w:rPr>
      </w:pPr>
    </w:p>
    <w:p>
      <w:pPr>
        <w:ind w:left="400" w:right="4059"/>
        <w:spacing w:after="0" w:line="253" w:lineRule="auto"/>
        <w:rPr>
          <w:sz w:val="20"/>
          <w:szCs w:val="20"/>
          <w:color w:val="auto"/>
        </w:rPr>
      </w:pPr>
      <w:r>
        <w:rPr>
          <w:rFonts w:ascii="Courier New" w:cs="Courier New" w:eastAsia="Courier New" w:hAnsi="Courier New"/>
          <w:sz w:val="13"/>
          <w:szCs w:val="13"/>
          <w:color w:val="auto"/>
        </w:rPr>
        <w:t>At December 31, 2000, the Company had outstanding $2,000 of unsecured notes, payable to banks bearing interest at 7.29%. The notes were repaid during 2001.</w:t>
      </w:r>
    </w:p>
    <w:p>
      <w:pPr>
        <w:spacing w:after="0" w:line="151" w:lineRule="exact"/>
        <w:rPr>
          <w:sz w:val="20"/>
          <w:szCs w:val="20"/>
          <w:color w:val="auto"/>
        </w:rPr>
      </w:pPr>
    </w:p>
    <w:p>
      <w:pPr>
        <w:ind w:left="800" w:right="4139" w:hanging="397"/>
        <w:spacing w:after="0" w:line="254" w:lineRule="auto"/>
        <w:tabs>
          <w:tab w:leader="none" w:pos="80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Long-term debt at December 31, 2002, 2001 and 2000 consists of the following:</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0" w:type="dxa"/>
            <w:vAlign w:val="bottom"/>
          </w:tcPr>
          <w:p>
            <w:pPr>
              <w:jc w:val="right"/>
              <w:ind w:right="453"/>
              <w:spacing w:after="0"/>
              <w:rPr>
                <w:sz w:val="20"/>
                <w:szCs w:val="20"/>
                <w:color w:val="auto"/>
              </w:rPr>
            </w:pPr>
            <w:r>
              <w:rPr>
                <w:rFonts w:ascii="Courier New" w:cs="Courier New" w:eastAsia="Courier New" w:hAnsi="Courier New"/>
                <w:sz w:val="13"/>
                <w:szCs w:val="13"/>
                <w:b w:val="1"/>
                <w:bCs w:val="1"/>
                <w:color w:val="auto"/>
              </w:rPr>
              <w:t>2002</w:t>
            </w:r>
          </w:p>
        </w:tc>
        <w:tc>
          <w:tcPr>
            <w:tcW w:w="11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2001</w:t>
            </w:r>
          </w:p>
        </w:tc>
        <w:tc>
          <w:tcPr>
            <w:tcW w:w="1040" w:type="dxa"/>
            <w:vAlign w:val="bottom"/>
          </w:tcPr>
          <w:p>
            <w:pPr>
              <w:jc w:val="center"/>
              <w:ind w:left="1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14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w:t>
            </w:r>
          </w:p>
        </w:tc>
        <w:tc>
          <w:tcPr>
            <w:tcW w:w="1040" w:type="dxa"/>
            <w:vAlign w:val="bottom"/>
          </w:tcPr>
          <w:p>
            <w:pPr>
              <w:jc w:val="center"/>
              <w:ind w:left="1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1480" w:type="dxa"/>
            <w:vAlign w:val="bottom"/>
          </w:tcPr>
          <w:p>
            <w:pPr>
              <w:spacing w:after="0"/>
              <w:rPr>
                <w:sz w:val="20"/>
                <w:szCs w:val="20"/>
                <w:color w:val="auto"/>
              </w:rPr>
            </w:pPr>
            <w:r>
              <w:rPr>
                <w:rFonts w:ascii="Courier New" w:cs="Courier New" w:eastAsia="Courier New" w:hAnsi="Courier New"/>
                <w:sz w:val="13"/>
                <w:szCs w:val="13"/>
                <w:color w:val="auto"/>
              </w:rPr>
              <w:t>Borrowings under a</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revolving credit facility bearing interest at variable</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4"/>
        </w:trPr>
        <w:tc>
          <w:tcPr>
            <w:tcW w:w="1480" w:type="dxa"/>
            <w:vAlign w:val="bottom"/>
          </w:tcPr>
          <w:p>
            <w:pPr>
              <w:ind w:left="320"/>
              <w:spacing w:after="0"/>
              <w:rPr>
                <w:sz w:val="20"/>
                <w:szCs w:val="20"/>
                <w:color w:val="auto"/>
              </w:rPr>
            </w:pPr>
            <w:r>
              <w:rPr>
                <w:rFonts w:ascii="Courier New" w:cs="Courier New" w:eastAsia="Courier New" w:hAnsi="Courier New"/>
                <w:sz w:val="13"/>
                <w:szCs w:val="13"/>
                <w:color w:val="auto"/>
              </w:rPr>
              <w:t>rates (2.92% -</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4.25% at December 31, 2002 and 3.24% -</w:t>
            </w: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4"/>
        </w:trPr>
        <w:tc>
          <w:tcPr>
            <w:tcW w:w="59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4.75% at December 31, 2001) due July 25, 2004</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$ 24,270</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$9,805</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308"/>
        </w:trPr>
        <w:tc>
          <w:tcPr>
            <w:tcW w:w="1480" w:type="dxa"/>
            <w:vAlign w:val="bottom"/>
          </w:tcPr>
          <w:p>
            <w:pPr>
              <w:spacing w:after="0"/>
              <w:rPr>
                <w:sz w:val="20"/>
                <w:szCs w:val="20"/>
                <w:color w:val="auto"/>
              </w:rPr>
            </w:pPr>
            <w:r>
              <w:rPr>
                <w:rFonts w:ascii="Courier New" w:cs="Courier New" w:eastAsia="Courier New" w:hAnsi="Courier New"/>
                <w:sz w:val="13"/>
                <w:szCs w:val="13"/>
                <w:color w:val="auto"/>
              </w:rPr>
              <w:t>Borrowings under a</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revolving credit facility bearing interest at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4"/>
        </w:trPr>
        <w:tc>
          <w:tcPr>
            <w:tcW w:w="1480" w:type="dxa"/>
            <w:vAlign w:val="bottom"/>
          </w:tcPr>
          <w:p>
            <w:pPr>
              <w:ind w:left="320"/>
              <w:spacing w:after="0"/>
              <w:rPr>
                <w:sz w:val="20"/>
                <w:szCs w:val="20"/>
                <w:color w:val="auto"/>
              </w:rPr>
            </w:pPr>
            <w:r>
              <w:rPr>
                <w:rFonts w:ascii="Courier New" w:cs="Courier New" w:eastAsia="Courier New" w:hAnsi="Courier New"/>
                <w:sz w:val="13"/>
                <w:szCs w:val="13"/>
                <w:color w:val="auto"/>
              </w:rPr>
              <w:t>variable rates</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(7.29% at December 31, 2000) due July 25, 2003</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$ 24,698</w:t>
            </w:r>
          </w:p>
        </w:tc>
      </w:tr>
      <w:tr>
        <w:trPr>
          <w:trHeight w:val="308"/>
        </w:trPr>
        <w:tc>
          <w:tcPr>
            <w:tcW w:w="5900" w:type="dxa"/>
            <w:vAlign w:val="bottom"/>
            <w:gridSpan w:val="2"/>
          </w:tcPr>
          <w:p>
            <w:pPr>
              <w:spacing w:after="0"/>
              <w:rPr>
                <w:sz w:val="20"/>
                <w:szCs w:val="20"/>
                <w:color w:val="auto"/>
              </w:rPr>
            </w:pPr>
            <w:r>
              <w:rPr>
                <w:rFonts w:ascii="Courier New" w:cs="Courier New" w:eastAsia="Courier New" w:hAnsi="Courier New"/>
                <w:sz w:val="13"/>
                <w:szCs w:val="13"/>
                <w:color w:val="auto"/>
              </w:rPr>
              <w:t>Reducing, revolving credit facility bearing interest at variable rates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4"/>
        </w:trPr>
        <w:tc>
          <w:tcPr>
            <w:tcW w:w="59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(2.92% at December 31, 2002 and 3.24% at December 31, 2001) payable</w:t>
            </w: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4"/>
        </w:trPr>
        <w:tc>
          <w:tcPr>
            <w:tcW w:w="59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in quarterly installments of $1,750 beginning September</w:t>
            </w: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4"/>
        </w:trPr>
        <w:tc>
          <w:tcPr>
            <w:tcW w:w="59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19, 2001 through July 1, 2006</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23,878</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31,500</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308"/>
        </w:trPr>
        <w:tc>
          <w:tcPr>
            <w:tcW w:w="1480" w:type="dxa"/>
            <w:vAlign w:val="bottom"/>
          </w:tcPr>
          <w:p>
            <w:pPr>
              <w:spacing w:after="0"/>
              <w:rPr>
                <w:sz w:val="20"/>
                <w:szCs w:val="20"/>
                <w:color w:val="auto"/>
              </w:rPr>
            </w:pPr>
            <w:r>
              <w:rPr>
                <w:rFonts w:ascii="Courier New" w:cs="Courier New" w:eastAsia="Courier New" w:hAnsi="Courier New"/>
                <w:sz w:val="13"/>
                <w:szCs w:val="13"/>
                <w:color w:val="auto"/>
              </w:rPr>
              <w:t>Borrowings under a</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Euro revolving credit facility bearing interest at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4"/>
        </w:trPr>
        <w:tc>
          <w:tcPr>
            <w:tcW w:w="1480" w:type="dxa"/>
            <w:vAlign w:val="bottom"/>
          </w:tcPr>
          <w:p>
            <w:pPr>
              <w:ind w:left="320"/>
              <w:spacing w:after="0"/>
              <w:rPr>
                <w:sz w:val="20"/>
                <w:szCs w:val="20"/>
                <w:color w:val="auto"/>
              </w:rPr>
            </w:pPr>
            <w:r>
              <w:rPr>
                <w:rFonts w:ascii="Courier New" w:cs="Courier New" w:eastAsia="Courier New" w:hAnsi="Courier New"/>
                <w:sz w:val="13"/>
                <w:szCs w:val="13"/>
                <w:color w:val="auto"/>
              </w:rPr>
              <w:t>variable rates</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(6.63% at December 31, 2000) due July 15, 2006</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942</w:t>
            </w:r>
          </w:p>
        </w:tc>
      </w:tr>
      <w:tr>
        <w:trPr>
          <w:trHeight w:val="308"/>
        </w:trPr>
        <w:tc>
          <w:tcPr>
            <w:tcW w:w="5900" w:type="dxa"/>
            <w:vAlign w:val="bottom"/>
            <w:gridSpan w:val="2"/>
          </w:tcPr>
          <w:p>
            <w:pPr>
              <w:spacing w:after="0"/>
              <w:rPr>
                <w:sz w:val="20"/>
                <w:szCs w:val="20"/>
                <w:color w:val="auto"/>
              </w:rPr>
            </w:pPr>
            <w:r>
              <w:rPr>
                <w:rFonts w:ascii="Courier New" w:cs="Courier New" w:eastAsia="Courier New" w:hAnsi="Courier New"/>
                <w:sz w:val="13"/>
                <w:szCs w:val="13"/>
                <w:color w:val="auto"/>
              </w:rPr>
              <w:t>Euroterm loans bearing interest at variable rates (3.75% at December 31,</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4"/>
        </w:trPr>
        <w:tc>
          <w:tcPr>
            <w:tcW w:w="1480" w:type="dxa"/>
            <w:vAlign w:val="bottom"/>
          </w:tcPr>
          <w:p>
            <w:pPr>
              <w:ind w:left="320"/>
              <w:spacing w:after="0"/>
              <w:rPr>
                <w:sz w:val="20"/>
                <w:szCs w:val="20"/>
                <w:color w:val="auto"/>
              </w:rPr>
            </w:pPr>
            <w:r>
              <w:rPr>
                <w:rFonts w:ascii="Courier New" w:cs="Courier New" w:eastAsia="Courier New" w:hAnsi="Courier New"/>
                <w:sz w:val="13"/>
                <w:szCs w:val="13"/>
                <w:color w:val="auto"/>
              </w:rPr>
              <w:t>2002 ,4.55% at</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December 31, 2001 and 6.63% at December 31, 2000)</w:t>
            </w: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4"/>
        </w:trPr>
        <w:tc>
          <w:tcPr>
            <w:tcW w:w="59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payable in quarterly installments of $2,097</w:t>
            </w: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4"/>
        </w:trPr>
        <w:tc>
          <w:tcPr>
            <w:tcW w:w="590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beginning March 15, 2002 through June 15, 2006</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4,987</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13,356</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24,875</w:t>
            </w:r>
          </w:p>
        </w:tc>
      </w:tr>
      <w:tr>
        <w:trPr>
          <w:trHeight w:val="154"/>
        </w:trPr>
        <w:tc>
          <w:tcPr>
            <w:tcW w:w="14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center"/>
              <w:ind w:left="13"/>
              <w:spacing w:after="0"/>
              <w:rPr>
                <w:sz w:val="20"/>
                <w:szCs w:val="20"/>
                <w:color w:val="auto"/>
              </w:rPr>
            </w:pPr>
            <w:r>
              <w:rPr>
                <w:rFonts w:ascii="Courier New" w:cs="Courier New" w:eastAsia="Courier New" w:hAnsi="Courier New"/>
                <w:sz w:val="13"/>
                <w:szCs w:val="13"/>
                <w:color w:val="auto"/>
              </w:rPr>
              <w:t>------------</w:t>
            </w:r>
          </w:p>
        </w:tc>
      </w:tr>
      <w:tr>
        <w:trPr>
          <w:trHeight w:val="308"/>
        </w:trPr>
        <w:tc>
          <w:tcPr>
            <w:tcW w:w="590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Total long-term debt</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$ 53,135</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$ 54,661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$50,515</w:t>
            </w:r>
          </w:p>
        </w:tc>
      </w:tr>
      <w:tr>
        <w:trPr>
          <w:trHeight w:val="308"/>
        </w:trPr>
        <w:tc>
          <w:tcPr>
            <w:tcW w:w="1480" w:type="dxa"/>
            <w:vAlign w:val="bottom"/>
          </w:tcPr>
          <w:p>
            <w:pPr>
              <w:ind w:left="480"/>
              <w:spacing w:after="0"/>
              <w:rPr>
                <w:sz w:val="20"/>
                <w:szCs w:val="20"/>
                <w:color w:val="auto"/>
              </w:rPr>
            </w:pPr>
            <w:r>
              <w:rPr>
                <w:rFonts w:ascii="Courier New" w:cs="Courier New" w:eastAsia="Courier New" w:hAnsi="Courier New"/>
                <w:sz w:val="13"/>
                <w:szCs w:val="13"/>
                <w:color w:val="auto"/>
              </w:rPr>
              <w:t>Less current</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maturities of long-term debt</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7,000</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7,000</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14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center"/>
              <w:ind w:left="13"/>
              <w:spacing w:after="0"/>
              <w:rPr>
                <w:sz w:val="20"/>
                <w:szCs w:val="20"/>
                <w:color w:val="auto"/>
              </w:rPr>
            </w:pPr>
            <w:r>
              <w:rPr>
                <w:rFonts w:ascii="Courier New" w:cs="Courier New" w:eastAsia="Courier New" w:hAnsi="Courier New"/>
                <w:sz w:val="13"/>
                <w:szCs w:val="13"/>
                <w:color w:val="auto"/>
              </w:rPr>
              <w:t>------------</w:t>
            </w:r>
          </w:p>
        </w:tc>
      </w:tr>
      <w:tr>
        <w:trPr>
          <w:trHeight w:val="308"/>
        </w:trPr>
        <w:tc>
          <w:tcPr>
            <w:tcW w:w="5900" w:type="dxa"/>
            <w:vAlign w:val="bottom"/>
            <w:gridSpan w:val="2"/>
          </w:tcPr>
          <w:p>
            <w:pPr>
              <w:ind w:left="480"/>
              <w:spacing w:after="0"/>
              <w:rPr>
                <w:sz w:val="20"/>
                <w:szCs w:val="20"/>
                <w:color w:val="auto"/>
              </w:rPr>
            </w:pPr>
            <w:r>
              <w:rPr>
                <w:rFonts w:ascii="Courier New" w:cs="Courier New" w:eastAsia="Courier New" w:hAnsi="Courier New"/>
                <w:sz w:val="13"/>
                <w:szCs w:val="13"/>
                <w:color w:val="auto"/>
              </w:rPr>
              <w:t>Long-term debt, excluding current maturities of long-term debt</w:t>
            </w:r>
          </w:p>
        </w:tc>
        <w:tc>
          <w:tcPr>
            <w:tcW w:w="12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$ 46,135</w:t>
            </w:r>
          </w:p>
        </w:tc>
        <w:tc>
          <w:tcPr>
            <w:tcW w:w="11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$ 47,661</w:t>
            </w:r>
          </w:p>
        </w:tc>
        <w:tc>
          <w:tcPr>
            <w:tcW w:w="10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$50,515</w:t>
            </w:r>
          </w:p>
        </w:tc>
      </w:tr>
      <w:tr>
        <w:trPr>
          <w:trHeight w:val="154"/>
        </w:trPr>
        <w:tc>
          <w:tcPr>
            <w:tcW w:w="14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center"/>
              <w:ind w:left="13"/>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On July 20, 2001, the Company entered into a syndicated loan agreement</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with AmSouth Bank ("AmSouth") as the administrative agent for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lenders, for a senior non-secured revolving credit facility of up to</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$25,000, expiring on July 25, 2003 and a senior non-secured term loan for</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$35,000 expiring on July 1, 2006. On July 12, 2002, the Company amended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this credit facility to convert the term loan portion into a reducing</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revolving credit line providing initial availability equivalent to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balance of the term loan prior to the amendment. Amounts available for</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borrowing under this facility will be reduced by $ 7.0 million per annum</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and the facility will expire on July 1, 2006. Additionally, on July 31,</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2002, the Company amended the credit facility again to extend the $25</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million senior non-secured revolving credit facility to July 25, 2004.</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Amounts outstanding under the revolving facility and term loan facility</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bear interest at a floating rate equal to LIBOR (1.38% at December 31,</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2002) plus an applicable margin of 0.75% to 2.00% based upon calculated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financial ratios. The loan agreement contains customary financial and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non-financial covenants. Such covenants specify that the Company must</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maintain a minimum fixed charge coverage ratio, must not exceed a maximum</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funded indebtedness to EBITDA ratio as well as a maximum funded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indebtedness to capitalization ratio and limits the amount of capital</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expenditures we may make in any fiscal year. The loan agreement also</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contains customary restrictions on, among other things, additional</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indebtedness, liens on the Company's assets, sales or transfers of</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assets, investments, restricted payments (including payment of dividends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and</w:t>
      </w:r>
    </w:p>
    <w:p>
      <w:pPr>
        <w:spacing w:after="0" w:line="161" w:lineRule="exact"/>
        <w:rPr>
          <w:sz w:val="20"/>
          <w:szCs w:val="20"/>
          <w:color w:val="auto"/>
        </w:rPr>
      </w:pPr>
    </w:p>
    <w:p>
      <w:pPr>
        <w:ind w:left="570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stock repurchases), issuance of equity securities, and mergers, acquisitions and other fundamental changes in the Company's business. Additionally, the terms of the Company's loan agreement restrict the declaration and payment of dividends in excess of $5.5 million in any fiscal year. The Company's ownership in NN Euroball ApS has been pledged as collateral. The Company was in compliance with all such covenants as of December 31, 2002.</w:t>
      </w:r>
    </w:p>
    <w:p>
      <w:pPr>
        <w:sectPr>
          <w:pgSz w:w="11900" w:h="16838" w:orient="portrait"/>
          <w:cols w:equalWidth="0" w:num="1">
            <w:col w:w="10239"/>
          </w:cols>
          <w:pgMar w:left="220" w:top="141" w:right="1440" w:bottom="0" w:gutter="0" w:footer="0" w:header="0"/>
        </w:sectPr>
      </w:pPr>
    </w:p>
    <w:bookmarkStart w:id="34" w:name="page35"/>
    <w:bookmarkEnd w:id="34"/>
    <w:p>
      <w:pPr>
        <w:ind w:left="560"/>
        <w:spacing w:after="0"/>
        <w:rPr>
          <w:sz w:val="20"/>
          <w:szCs w:val="20"/>
          <w:color w:val="auto"/>
        </w:rPr>
      </w:pPr>
      <w:r>
        <w:rPr>
          <w:rFonts w:ascii="Courier New" w:cs="Courier New" w:eastAsia="Courier New" w:hAnsi="Courier New"/>
          <w:sz w:val="13"/>
          <w:szCs w:val="13"/>
          <w:color w:val="auto"/>
        </w:rPr>
        <w:t>In connection with the Euroball transaction (see Note 3) the Company and</w:t>
      </w:r>
    </w:p>
    <w:p>
      <w:pPr>
        <w:spacing w:after="0" w:line="7" w:lineRule="exact"/>
        <w:rPr>
          <w:sz w:val="20"/>
          <w:szCs w:val="20"/>
          <w:color w:val="auto"/>
        </w:rPr>
      </w:pPr>
    </w:p>
    <w:p>
      <w:pPr>
        <w:ind w:left="560" w:right="3819" w:firstLine="4"/>
        <w:spacing w:after="0" w:line="251" w:lineRule="auto"/>
        <w:tabs>
          <w:tab w:leader="none" w:pos="801"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Euroball ApS, entered into a Facility Agreement with a bank to provide up to Euro 36,000 in Term Loans and Euro 5,000 in revolving credit loans. The Company borrowed Euro 30,500 ($28,755) under the term loan facility and Euro 1,000 ($943) under the revolving credit facility. Amounts outstanding under the Facility Agreement are secured by inventory and accounts receivable and bear interest at EURIBOR (2.87% at December 31, 2002) plus an applicable margin between 0.8%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at December 31, 2002. Amounts outstanding under the Facility Agreement are secured by the stock, inventory and accounts receivable of NN Euroball ApS. At December 31, 2002, Euro 9.8 million was available to Euroball under these facilities.</w:t>
      </w:r>
    </w:p>
    <w:p>
      <w:pPr>
        <w:spacing w:after="0" w:line="31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At December 31, 2000, the Company had a revolving line of credit with AmSouth Bank under which the Company can borrow up to $25,000. Outstanding borrowings bore interest at the rate of LIBOR plus 0.65% or the Federal Funds effective rate plus 1.5%, at the Company's option. The revolving line of credit was unsecured and all outstanding amounts were due July 25, 2003. In February 2001, the Company extended and restated the revolving credit facility to increase the facility to $50,000. The Company borrowed $23,000 under the facility to finance the acquisition of Delta Rubber Company (see note 3). Amounts outstanding under the amended revolving credit facility were unsecured and bore interest at LIBOR plus an applicable margin of between 0.65% and 2.15% based upon financial ratios. The line of credit agreement contained restrictive covenants, which specified, among other things, restrictions on the incurrence of indebtedness and the maintenance of certain working capital requirements.</w:t>
      </w:r>
    </w:p>
    <w:p>
      <w:pPr>
        <w:spacing w:after="0" w:line="157" w:lineRule="exact"/>
        <w:rPr>
          <w:sz w:val="20"/>
          <w:szCs w:val="20"/>
          <w:color w:val="auto"/>
        </w:rPr>
      </w:pPr>
    </w:p>
    <w:p>
      <w:pPr>
        <w:ind w:left="560" w:right="4139"/>
        <w:spacing w:after="0" w:line="254" w:lineRule="auto"/>
        <w:rPr>
          <w:sz w:val="20"/>
          <w:szCs w:val="20"/>
          <w:color w:val="auto"/>
        </w:rPr>
      </w:pPr>
      <w:r>
        <w:rPr>
          <w:rFonts w:ascii="Courier New" w:cs="Courier New" w:eastAsia="Courier New" w:hAnsi="Courier New"/>
          <w:sz w:val="13"/>
          <w:szCs w:val="13"/>
          <w:color w:val="auto"/>
        </w:rPr>
        <w:t>The aggregate maturities of long-term debt for each of the five years subsequent to December 31, 2002 are as follows:</w:t>
      </w:r>
    </w:p>
    <w:p>
      <w:pPr>
        <w:spacing w:after="0" w:line="151" w:lineRule="exact"/>
        <w:rPr>
          <w:sz w:val="20"/>
          <w:szCs w:val="20"/>
          <w:color w:val="auto"/>
        </w:rPr>
      </w:pPr>
    </w:p>
    <w:tbl>
      <w:tblPr>
        <w:tblLayout w:type="fixed"/>
        <w:tblInd w:w="216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2003</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$7,000</w:t>
            </w:r>
          </w:p>
        </w:tc>
      </w:tr>
      <w:tr>
        <w:trPr>
          <w:trHeight w:val="154"/>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2004</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31,270</w:t>
            </w:r>
          </w:p>
        </w:tc>
      </w:tr>
      <w:tr>
        <w:trPr>
          <w:trHeight w:val="154"/>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2005</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7,793</w:t>
            </w:r>
          </w:p>
        </w:tc>
      </w:tr>
      <w:tr>
        <w:trPr>
          <w:trHeight w:val="154"/>
        </w:trPr>
        <w:tc>
          <w:tcPr>
            <w:tcW w:w="960" w:type="dxa"/>
            <w:vAlign w:val="bottom"/>
          </w:tcPr>
          <w:p>
            <w:pPr>
              <w:spacing w:after="0"/>
              <w:rPr>
                <w:sz w:val="20"/>
                <w:szCs w:val="20"/>
                <w:color w:val="auto"/>
              </w:rPr>
            </w:pPr>
            <w:r>
              <w:rPr>
                <w:rFonts w:ascii="Courier New" w:cs="Courier New" w:eastAsia="Courier New" w:hAnsi="Courier New"/>
                <w:sz w:val="13"/>
                <w:szCs w:val="13"/>
                <w:color w:val="auto"/>
              </w:rPr>
              <w:t>2006</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7,072</w:t>
            </w:r>
          </w:p>
        </w:tc>
      </w:tr>
      <w:tr>
        <w:trPr>
          <w:trHeight w:val="154"/>
        </w:trPr>
        <w:tc>
          <w:tcPr>
            <w:tcW w:w="9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96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5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$53,135</w:t>
            </w:r>
          </w:p>
        </w:tc>
      </w:tr>
      <w:tr>
        <w:trPr>
          <w:trHeight w:val="154"/>
        </w:trPr>
        <w:tc>
          <w:tcPr>
            <w:tcW w:w="9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hanging="558"/>
        <w:spacing w:after="0"/>
        <w:tabs>
          <w:tab w:leader="none" w:pos="560" w:val="left"/>
        </w:tabs>
        <w:numPr>
          <w:ilvl w:val="0"/>
          <w:numId w:val="18"/>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Employee Benefit Plans</w:t>
      </w:r>
    </w:p>
    <w:p>
      <w:pPr>
        <w:spacing w:after="0" w:line="161" w:lineRule="exact"/>
        <w:rPr>
          <w:rFonts w:ascii="Courier New" w:cs="Courier New" w:eastAsia="Courier New" w:hAnsi="Courier New"/>
          <w:sz w:val="13"/>
          <w:szCs w:val="13"/>
          <w:b w:val="1"/>
          <w:bCs w:val="1"/>
          <w:color w:val="auto"/>
        </w:rPr>
      </w:pPr>
    </w:p>
    <w:p>
      <w:pPr>
        <w:ind w:left="56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has three defined contribution 401(k) profit sharing plans covering substantially all employees of the Domestic Ball and Roller and Plastics Segments. The plan in place for the Domestic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matching contribution of the higher of $500 or 50% of the first 4% of eligible compensation per participant. The employer matching contribution is fully vested at all times. The contributions by the Company for the Domestic Ball and Roller Segment plan were $126, $152 and $106 in 2002, 2001 and 2000, respectively.</w:t>
      </w:r>
    </w:p>
    <w:p>
      <w:pPr>
        <w:spacing w:after="0" w:line="156" w:lineRule="exact"/>
        <w:rPr>
          <w:rFonts w:ascii="Courier New" w:cs="Courier New" w:eastAsia="Courier New" w:hAnsi="Courier New"/>
          <w:sz w:val="13"/>
          <w:szCs w:val="13"/>
          <w:b w:val="1"/>
          <w:bCs w:val="1"/>
          <w:color w:val="auto"/>
        </w:rPr>
      </w:pPr>
    </w:p>
    <w:p>
      <w:pPr>
        <w:ind w:left="560" w:right="389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plan in place for IMC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25% of the first 6% of each employee's contribution to the plan and provides for a discretionary contribution at the end of each plan year. The contributions by the Company for the IMC plan were $22 in 2002, $58 in 2001,and $70 in 2000. Vesting occurs in equal increments over a period of five years.</w:t>
      </w:r>
    </w:p>
    <w:p>
      <w:pPr>
        <w:spacing w:after="0" w:line="156"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plan in place for Delta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matches 50% of the first 6% of each employee's contribution to the plan. The employee has 100% immediate vesting on all contributions made to his or her account. The contributions by the Company for the Delta plan were $78 in 2002 and $67 since acquisition in February 2001.</w:t>
      </w:r>
    </w:p>
    <w:p>
      <w:pPr>
        <w:spacing w:after="0" w:line="156"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The Company has a defined benefit pension plan covering its Eltmann, Germany facility employees (a Euroball division). The benefits are based on the expected years of service including the rate of compensation increase. The plan is unfunded.</w:t>
      </w:r>
    </w:p>
    <w:p>
      <w:pPr>
        <w:spacing w:after="0" w:line="153" w:lineRule="exact"/>
        <w:rPr>
          <w:sz w:val="20"/>
          <w:szCs w:val="20"/>
          <w:color w:val="auto"/>
        </w:rPr>
      </w:pPr>
    </w:p>
    <w:p>
      <w:pPr>
        <w:ind w:left="560" w:right="3819"/>
        <w:spacing w:after="0" w:line="254" w:lineRule="auto"/>
        <w:rPr>
          <w:sz w:val="20"/>
          <w:szCs w:val="20"/>
          <w:color w:val="auto"/>
        </w:rPr>
      </w:pPr>
      <w:r>
        <w:rPr>
          <w:rFonts w:ascii="Courier New" w:cs="Courier New" w:eastAsia="Courier New" w:hAnsi="Courier New"/>
          <w:sz w:val="13"/>
          <w:szCs w:val="13"/>
          <w:color w:val="auto"/>
        </w:rPr>
        <w:t>Following is a summary of the changes in the projected benefit obligation for the defined benefit pension plan during 2002, 2001 and 2000:</w:t>
      </w:r>
    </w:p>
    <w:p>
      <w:pPr>
        <w:spacing w:after="0" w:line="151" w:lineRule="exact"/>
        <w:rPr>
          <w:sz w:val="20"/>
          <w:szCs w:val="20"/>
          <w:color w:val="auto"/>
        </w:rPr>
      </w:pPr>
    </w:p>
    <w:p>
      <w:pPr>
        <w:jc w:val="center"/>
        <w:ind w:left="4260"/>
        <w:spacing w:after="0"/>
        <w:tabs>
          <w:tab w:leader="none" w:pos="1100" w:val="left"/>
          <w:tab w:leader="none" w:pos="940" w:val="left"/>
        </w:tabs>
        <w:rPr>
          <w:sz w:val="20"/>
          <w:szCs w:val="20"/>
          <w:color w:val="auto"/>
        </w:rPr>
      </w:pPr>
      <w:r>
        <w:rPr>
          <w:rFonts w:ascii="Courier New" w:cs="Courier New" w:eastAsia="Courier New" w:hAnsi="Courier New"/>
          <w:sz w:val="13"/>
          <w:szCs w:val="13"/>
          <w:b w:val="1"/>
          <w:bCs w:val="1"/>
          <w:color w:val="auto"/>
        </w:rPr>
        <w:t>2002</w:t>
      </w:r>
      <w:r>
        <w:rPr>
          <w:sz w:val="20"/>
          <w:szCs w:val="20"/>
          <w:color w:val="auto"/>
        </w:rPr>
        <w:tab/>
      </w:r>
      <w:r>
        <w:rPr>
          <w:rFonts w:ascii="Courier New" w:cs="Courier New" w:eastAsia="Courier New" w:hAnsi="Courier New"/>
          <w:sz w:val="13"/>
          <w:szCs w:val="13"/>
          <w:b w:val="1"/>
          <w:bCs w:val="1"/>
          <w:color w:val="auto"/>
        </w:rPr>
        <w:t>2001</w:t>
      </w:r>
      <w:r>
        <w:rPr>
          <w:sz w:val="20"/>
          <w:szCs w:val="20"/>
          <w:color w:val="auto"/>
        </w:rPr>
        <w:tab/>
      </w:r>
      <w:r>
        <w:rPr>
          <w:rFonts w:ascii="Courier New" w:cs="Courier New" w:eastAsia="Courier New" w:hAnsi="Courier New"/>
          <w:sz w:val="13"/>
          <w:szCs w:val="13"/>
          <w:b w:val="1"/>
          <w:bCs w:val="1"/>
          <w:color w:val="auto"/>
        </w:rPr>
        <w:t>2000</w:t>
      </w:r>
    </w:p>
    <w:p>
      <w:pPr>
        <w:spacing w:after="0" w:line="7" w:lineRule="exact"/>
        <w:rPr>
          <w:sz w:val="20"/>
          <w:szCs w:val="20"/>
          <w:color w:val="auto"/>
        </w:rPr>
      </w:pPr>
    </w:p>
    <w:p>
      <w:pPr>
        <w:jc w:val="center"/>
        <w:ind w:left="4260"/>
        <w:spacing w:after="0"/>
        <w:tabs>
          <w:tab w:leader="none" w:pos="220" w:val="left"/>
          <w:tab w:leader="none" w:pos="140" w:val="left"/>
        </w:tabs>
        <w:rPr>
          <w:sz w:val="20"/>
          <w:szCs w:val="20"/>
          <w:color w:val="auto"/>
        </w:rPr>
      </w:pPr>
      <w:r>
        <w:rPr>
          <w:rFonts w:ascii="Courier New" w:cs="Courier New" w:eastAsia="Courier New" w:hAnsi="Courier New"/>
          <w:sz w:val="13"/>
          <w:szCs w:val="13"/>
          <w:b w:val="1"/>
          <w:bCs w:val="1"/>
          <w:color w:val="auto"/>
        </w:rPr>
        <w:t>----------------</w:t>
        <w:tab/>
        <w:t>--------------</w:t>
        <w:tab/>
        <w:t>-------------</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b w:val="1"/>
          <w:bCs w:val="1"/>
          <w:color w:val="auto"/>
        </w:rPr>
        <w:t>Change in projected benefit obligation:</w:t>
      </w:r>
    </w:p>
    <w:p>
      <w:pPr>
        <w:sectPr>
          <w:pgSz w:w="11900" w:h="16838" w:orient="portrait"/>
          <w:cols w:equalWidth="0" w:num="1">
            <w:col w:w="10239"/>
          </w:cols>
          <w:pgMar w:left="220" w:top="295" w:right="1440" w:bottom="0" w:gutter="0" w:footer="0" w:header="0"/>
        </w:sectPr>
      </w:pPr>
    </w:p>
    <w:bookmarkStart w:id="35" w:name="page36"/>
    <w:bookmarkEnd w:id="35"/>
    <w:tbl>
      <w:tblPr>
        <w:tblLayout w:type="fixed"/>
        <w:tblInd w:w="480" w:type="dxa"/>
        <w:tblCellMar>
          <w:top w:w="0" w:type="dxa"/>
          <w:left w:w="0" w:type="dxa"/>
          <w:bottom w:w="0" w:type="dxa"/>
          <w:right w:w="0" w:type="dxa"/>
        </w:tblCellMar>
      </w:tblPr>
      <w:tr>
        <w:trPr>
          <w:trHeight w:val="149"/>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Benefit obligation at beginning of year</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$2,390</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$2,133</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$1,886</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Service cost</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95</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77</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33</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Interest cost</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161</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116</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62</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Benefits paid</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(6)</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Effect of currency translation</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430</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(196)</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Actuarial loss</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(11)</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265</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152</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ind w:left="400"/>
              <w:spacing w:after="0"/>
              <w:rPr>
                <w:sz w:val="20"/>
                <w:szCs w:val="20"/>
                <w:color w:val="auto"/>
              </w:rPr>
            </w:pPr>
            <w:r>
              <w:rPr>
                <w:rFonts w:ascii="Courier New" w:cs="Courier New" w:eastAsia="Courier New" w:hAnsi="Courier New"/>
                <w:sz w:val="13"/>
                <w:szCs w:val="13"/>
                <w:color w:val="auto"/>
              </w:rPr>
              <w:t>Benefit obligation at December 31</w:t>
            </w: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$3,059</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$2,390</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$2,133</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463"/>
        </w:trPr>
        <w:tc>
          <w:tcPr>
            <w:tcW w:w="5380" w:type="dxa"/>
            <w:vAlign w:val="bottom"/>
          </w:tcPr>
          <w:p>
            <w:pPr>
              <w:spacing w:after="0"/>
              <w:rPr>
                <w:sz w:val="24"/>
                <w:szCs w:val="24"/>
                <w:color w:val="auto"/>
              </w:rPr>
            </w:pPr>
          </w:p>
        </w:tc>
        <w:tc>
          <w:tcPr>
            <w:tcW w:w="148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2002</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2001</w:t>
            </w:r>
          </w:p>
        </w:tc>
        <w:tc>
          <w:tcPr>
            <w:tcW w:w="1320" w:type="dxa"/>
            <w:vAlign w:val="bottom"/>
          </w:tcPr>
          <w:p>
            <w:pPr>
              <w:jc w:val="center"/>
              <w:ind w:left="13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5380" w:type="dxa"/>
            <w:vAlign w:val="bottom"/>
          </w:tcPr>
          <w:p>
            <w:pPr>
              <w:spacing w:after="0"/>
              <w:rPr>
                <w:sz w:val="20"/>
                <w:szCs w:val="20"/>
                <w:color w:val="auto"/>
              </w:rPr>
            </w:pPr>
            <w:r>
              <w:rPr>
                <w:rFonts w:ascii="Courier New" w:cs="Courier New" w:eastAsia="Courier New" w:hAnsi="Courier New"/>
                <w:sz w:val="13"/>
                <w:szCs w:val="13"/>
                <w:b w:val="1"/>
                <w:bCs w:val="1"/>
                <w:color w:val="auto"/>
              </w:rPr>
              <w:t>Weighted-average assumptions as of December 31:</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Discount rate</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5.5%</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5.5%</w:t>
            </w:r>
          </w:p>
        </w:tc>
        <w:tc>
          <w:tcPr>
            <w:tcW w:w="132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6.0%</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Rate of compensation increase</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1.5% - 2.1%</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1.5% - 2.1%</w:t>
            </w:r>
          </w:p>
        </w:tc>
        <w:tc>
          <w:tcPr>
            <w:tcW w:w="132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2.0%</w:t>
            </w:r>
          </w:p>
        </w:tc>
      </w:tr>
      <w:tr>
        <w:trPr>
          <w:trHeight w:val="463"/>
        </w:trPr>
        <w:tc>
          <w:tcPr>
            <w:tcW w:w="5380" w:type="dxa"/>
            <w:vAlign w:val="bottom"/>
          </w:tcPr>
          <w:p>
            <w:pPr>
              <w:spacing w:after="0"/>
              <w:rPr>
                <w:sz w:val="24"/>
                <w:szCs w:val="24"/>
                <w:color w:val="auto"/>
              </w:rPr>
            </w:pPr>
          </w:p>
        </w:tc>
        <w:tc>
          <w:tcPr>
            <w:tcW w:w="148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2002</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b w:val="1"/>
                <w:bCs w:val="1"/>
                <w:color w:val="auto"/>
              </w:rPr>
              <w:t>2001</w:t>
            </w:r>
          </w:p>
        </w:tc>
        <w:tc>
          <w:tcPr>
            <w:tcW w:w="1320" w:type="dxa"/>
            <w:vAlign w:val="bottom"/>
          </w:tcPr>
          <w:p>
            <w:pPr>
              <w:jc w:val="center"/>
              <w:ind w:left="13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5380" w:type="dxa"/>
            <w:vAlign w:val="bottom"/>
          </w:tcPr>
          <w:p>
            <w:pPr>
              <w:spacing w:after="0"/>
              <w:rPr>
                <w:sz w:val="20"/>
                <w:szCs w:val="20"/>
                <w:color w:val="auto"/>
              </w:rPr>
            </w:pPr>
            <w:r>
              <w:rPr>
                <w:rFonts w:ascii="Courier New" w:cs="Courier New" w:eastAsia="Courier New" w:hAnsi="Courier New"/>
                <w:sz w:val="13"/>
                <w:szCs w:val="13"/>
                <w:b w:val="1"/>
                <w:bCs w:val="1"/>
                <w:color w:val="auto"/>
              </w:rPr>
              <w:t>Components of net periodic benefit cost:</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Service cost</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$ 95</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$ 77</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$ 33</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Interest cost on projected benefit obligation</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161</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116</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62</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Amortization of net gain</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26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Net periodic pension cost</w:t>
            </w: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$265</w:t>
            </w:r>
          </w:p>
        </w:tc>
        <w:tc>
          <w:tcPr>
            <w:tcW w:w="13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$ 193</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$ 95</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308"/>
        </w:trPr>
        <w:tc>
          <w:tcPr>
            <w:tcW w:w="5380" w:type="dxa"/>
            <w:vAlign w:val="bottom"/>
          </w:tcPr>
          <w:p>
            <w:pPr>
              <w:ind w:left="80"/>
              <w:spacing w:after="0"/>
              <w:rPr>
                <w:sz w:val="20"/>
                <w:szCs w:val="20"/>
                <w:color w:val="auto"/>
              </w:rPr>
            </w:pPr>
            <w:r>
              <w:rPr>
                <w:rFonts w:ascii="Courier New" w:cs="Courier New" w:eastAsia="Courier New" w:hAnsi="Courier New"/>
                <w:sz w:val="13"/>
                <w:szCs w:val="13"/>
                <w:color w:val="auto"/>
              </w:rPr>
              <w:t>Amounts recognized in the Consolidated Balance Sheets consist of:</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8"/>
        </w:trPr>
        <w:tc>
          <w:tcPr>
            <w:tcW w:w="5380" w:type="dxa"/>
            <w:vAlign w:val="bottom"/>
          </w:tcPr>
          <w:p>
            <w:pPr>
              <w:spacing w:after="0"/>
              <w:rPr>
                <w:sz w:val="24"/>
                <w:szCs w:val="24"/>
                <w:color w:val="auto"/>
              </w:rPr>
            </w:pPr>
          </w:p>
        </w:tc>
        <w:tc>
          <w:tcPr>
            <w:tcW w:w="1480" w:type="dxa"/>
            <w:vAlign w:val="bottom"/>
          </w:tcPr>
          <w:p>
            <w:pPr>
              <w:jc w:val="right"/>
              <w:ind w:right="453"/>
              <w:spacing w:after="0"/>
              <w:rPr>
                <w:sz w:val="20"/>
                <w:szCs w:val="20"/>
                <w:color w:val="auto"/>
              </w:rPr>
            </w:pPr>
            <w:r>
              <w:rPr>
                <w:rFonts w:ascii="Courier New" w:cs="Courier New" w:eastAsia="Courier New" w:hAnsi="Courier New"/>
                <w:sz w:val="13"/>
                <w:szCs w:val="13"/>
                <w:color w:val="auto"/>
              </w:rPr>
              <w:t>2002</w:t>
            </w:r>
          </w:p>
        </w:tc>
        <w:tc>
          <w:tcPr>
            <w:tcW w:w="136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2001</w:t>
            </w:r>
          </w:p>
        </w:tc>
        <w:tc>
          <w:tcPr>
            <w:tcW w:w="13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2000</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center"/>
              <w:ind w:left="13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Accrued benefit liability</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$3,059</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$2,390</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$ 2,133</w:t>
            </w:r>
          </w:p>
        </w:tc>
      </w:tr>
      <w:tr>
        <w:trPr>
          <w:trHeight w:val="154"/>
        </w:trPr>
        <w:tc>
          <w:tcPr>
            <w:tcW w:w="5380" w:type="dxa"/>
            <w:vAlign w:val="bottom"/>
          </w:tcPr>
          <w:p>
            <w:pPr>
              <w:ind w:left="320"/>
              <w:spacing w:after="0"/>
              <w:rPr>
                <w:sz w:val="20"/>
                <w:szCs w:val="20"/>
                <w:color w:val="auto"/>
              </w:rPr>
            </w:pPr>
            <w:r>
              <w:rPr>
                <w:rFonts w:ascii="Courier New" w:cs="Courier New" w:eastAsia="Courier New" w:hAnsi="Courier New"/>
                <w:sz w:val="13"/>
                <w:szCs w:val="13"/>
                <w:color w:val="auto"/>
              </w:rPr>
              <w:t>Accumulated other comprehensive loss, net of tax</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(81)</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(53)</w:t>
            </w:r>
          </w:p>
        </w:tc>
        <w:tc>
          <w:tcPr>
            <w:tcW w:w="132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center"/>
              <w:ind w:left="133"/>
              <w:spacing w:after="0"/>
              <w:rPr>
                <w:sz w:val="20"/>
                <w:szCs w:val="20"/>
                <w:color w:val="auto"/>
              </w:rPr>
            </w:pPr>
            <w:r>
              <w:rPr>
                <w:rFonts w:ascii="Courier New" w:cs="Courier New" w:eastAsia="Courier New" w:hAnsi="Courier New"/>
                <w:sz w:val="13"/>
                <w:szCs w:val="13"/>
                <w:color w:val="auto"/>
              </w:rPr>
              <w:t>--------------</w:t>
            </w:r>
          </w:p>
        </w:tc>
      </w:tr>
      <w:tr>
        <w:trPr>
          <w:trHeight w:val="154"/>
        </w:trPr>
        <w:tc>
          <w:tcPr>
            <w:tcW w:w="5380" w:type="dxa"/>
            <w:vAlign w:val="bottom"/>
          </w:tcPr>
          <w:p>
            <w:pPr>
              <w:ind w:left="480"/>
              <w:spacing w:after="0"/>
              <w:rPr>
                <w:sz w:val="20"/>
                <w:szCs w:val="20"/>
                <w:color w:val="auto"/>
              </w:rPr>
            </w:pPr>
            <w:r>
              <w:rPr>
                <w:rFonts w:ascii="Courier New" w:cs="Courier New" w:eastAsia="Courier New" w:hAnsi="Courier New"/>
                <w:sz w:val="13"/>
                <w:szCs w:val="13"/>
                <w:color w:val="auto"/>
              </w:rPr>
              <w:t>Net amount recognized in other non-current liabilities</w:t>
            </w:r>
          </w:p>
        </w:tc>
        <w:tc>
          <w:tcPr>
            <w:tcW w:w="14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$2,978</w:t>
            </w:r>
          </w:p>
        </w:tc>
        <w:tc>
          <w:tcPr>
            <w:tcW w:w="13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$2,337</w:t>
            </w:r>
          </w:p>
        </w:tc>
        <w:tc>
          <w:tcPr>
            <w:tcW w:w="132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$ 2,133</w:t>
            </w:r>
          </w:p>
        </w:tc>
      </w:tr>
      <w:tr>
        <w:trPr>
          <w:trHeight w:val="154"/>
        </w:trPr>
        <w:tc>
          <w:tcPr>
            <w:tcW w:w="5380" w:type="dxa"/>
            <w:vAlign w:val="bottom"/>
          </w:tcPr>
          <w:p>
            <w:pPr>
              <w:spacing w:after="0"/>
              <w:rPr>
                <w:sz w:val="13"/>
                <w:szCs w:val="13"/>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center"/>
              <w:ind w:left="133"/>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right="4299"/>
        <w:spacing w:after="0" w:line="254" w:lineRule="auto"/>
        <w:rPr>
          <w:sz w:val="20"/>
          <w:szCs w:val="20"/>
          <w:color w:val="auto"/>
        </w:rPr>
      </w:pPr>
      <w:r>
        <w:rPr>
          <w:rFonts w:ascii="Courier New" w:cs="Courier New" w:eastAsia="Courier New" w:hAnsi="Courier New"/>
          <w:sz w:val="13"/>
          <w:szCs w:val="13"/>
          <w:color w:val="auto"/>
        </w:rPr>
        <w:t>Accumulated other comprehensive loss is shown net of tax of $47 and $31 at December 31, 2002 and 2001, respectively.</w:t>
      </w:r>
    </w:p>
    <w:p>
      <w:pPr>
        <w:spacing w:after="0" w:line="305"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640" w:hanging="638"/>
        <w:spacing w:after="0"/>
        <w:tabs>
          <w:tab w:leader="none" w:pos="640" w:val="left"/>
        </w:tabs>
        <w:numPr>
          <w:ilvl w:val="0"/>
          <w:numId w:val="19"/>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Stock Incentive Plan</w:t>
      </w:r>
    </w:p>
    <w:p>
      <w:pPr>
        <w:spacing w:after="0" w:line="315" w:lineRule="exact"/>
        <w:rPr>
          <w:sz w:val="20"/>
          <w:szCs w:val="20"/>
          <w:color w:val="auto"/>
        </w:rPr>
      </w:pPr>
    </w:p>
    <w:p>
      <w:pPr>
        <w:ind w:left="560" w:right="3899"/>
        <w:spacing w:after="0" w:line="251" w:lineRule="auto"/>
        <w:rPr>
          <w:sz w:val="20"/>
          <w:szCs w:val="20"/>
          <w:color w:val="auto"/>
        </w:rPr>
      </w:pPr>
      <w:r>
        <w:rPr>
          <w:rFonts w:ascii="Courier New" w:cs="Courier New" w:eastAsia="Courier New" w:hAnsi="Courier New"/>
          <w:sz w:val="13"/>
          <w:szCs w:val="13"/>
          <w:color w:val="auto"/>
        </w:rPr>
        <w:t>The Company has a Stock Incentive Plan under which 2,450 shares of the Company's Common Stock were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56" w:lineRule="exact"/>
        <w:rPr>
          <w:sz w:val="20"/>
          <w:szCs w:val="20"/>
          <w:color w:val="auto"/>
        </w:rPr>
      </w:pPr>
    </w:p>
    <w:p>
      <w:pPr>
        <w:ind w:left="560" w:right="3979"/>
        <w:spacing w:after="0" w:line="253" w:lineRule="auto"/>
        <w:rPr>
          <w:sz w:val="20"/>
          <w:szCs w:val="20"/>
          <w:color w:val="auto"/>
        </w:rPr>
      </w:pPr>
      <w:r>
        <w:rPr>
          <w:rFonts w:ascii="Courier New" w:cs="Courier New" w:eastAsia="Courier New" w:hAnsi="Courier New"/>
          <w:sz w:val="13"/>
          <w:szCs w:val="13"/>
          <w:color w:val="auto"/>
        </w:rPr>
        <w:t>A summary of the status of the Company's stock option plan as described above as of December 31, 2002, 2001 and 2000, and changes during the years ending on those dates is presented below:</w:t>
      </w:r>
    </w:p>
    <w:p>
      <w:pPr>
        <w:sectPr>
          <w:pgSz w:w="11900" w:h="16838" w:orient="portrait"/>
          <w:cols w:equalWidth="0" w:num="1">
            <w:col w:w="10239"/>
          </w:cols>
          <w:pgMar w:left="220" w:top="141" w:right="1440" w:bottom="0" w:gutter="0" w:footer="0" w:header="0"/>
        </w:sectPr>
      </w:pP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b w:val="1"/>
          <w:bCs w:val="1"/>
          <w:color w:val="auto"/>
        </w:rPr>
        <w:t>2002</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b w:val="1"/>
          <w:bCs w:val="1"/>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3"/>
          <w:szCs w:val="13"/>
          <w:b w:val="1"/>
          <w:bCs w:val="1"/>
          <w:color w:val="auto"/>
        </w:rPr>
        <w:t>Weighted-average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3"/>
          <w:szCs w:val="13"/>
          <w:b w:val="1"/>
          <w:bCs w:val="1"/>
          <w:color w:val="auto"/>
        </w:rPr>
        <w:t>exercise price</w:t>
      </w:r>
    </w:p>
    <w:p>
      <w:pPr>
        <w:spacing w:after="0" w:line="7" w:lineRule="exact"/>
        <w:rPr>
          <w:sz w:val="20"/>
          <w:szCs w:val="20"/>
          <w:color w:val="auto"/>
        </w:rPr>
      </w:pPr>
    </w:p>
    <w:p>
      <w:pPr>
        <w:ind w:left="2720"/>
        <w:spacing w:after="0"/>
        <w:tabs>
          <w:tab w:leader="none" w:pos="3760" w:val="left"/>
        </w:tabs>
        <w:rPr>
          <w:sz w:val="20"/>
          <w:szCs w:val="20"/>
          <w:color w:val="auto"/>
        </w:rPr>
      </w:pPr>
      <w:r>
        <w:rPr>
          <w:rFonts w:ascii="Courier New" w:cs="Courier New" w:eastAsia="Courier New" w:hAnsi="Courier New"/>
          <w:sz w:val="13"/>
          <w:szCs w:val="13"/>
          <w:b w:val="1"/>
          <w:bCs w:val="1"/>
          <w:color w:val="auto"/>
        </w:rPr>
        <w:t>Shares</w:t>
      </w:r>
      <w:r>
        <w:rPr>
          <w:sz w:val="20"/>
          <w:szCs w:val="20"/>
          <w:color w:val="auto"/>
        </w:rPr>
        <w:tab/>
      </w:r>
      <w:r>
        <w:rPr>
          <w:rFonts w:ascii="Courier New" w:cs="Courier New" w:eastAsia="Courier New" w:hAnsi="Courier New"/>
          <w:sz w:val="13"/>
          <w:szCs w:val="13"/>
          <w:b w:val="1"/>
          <w:bCs w:val="1"/>
          <w:color w:val="auto"/>
        </w:rPr>
        <w:t>per share</w:t>
      </w:r>
    </w:p>
    <w:p>
      <w:pPr>
        <w:spacing w:after="0" w:line="7" w:lineRule="exact"/>
        <w:rPr>
          <w:sz w:val="20"/>
          <w:szCs w:val="20"/>
          <w:color w:val="auto"/>
        </w:rPr>
      </w:pPr>
    </w:p>
    <w:p>
      <w:pPr>
        <w:ind w:left="2560"/>
        <w:spacing w:after="0"/>
        <w:tabs>
          <w:tab w:leader="none" w:pos="3600" w:val="left"/>
        </w:tabs>
        <w:rPr>
          <w:sz w:val="20"/>
          <w:szCs w:val="20"/>
          <w:color w:val="auto"/>
        </w:rPr>
      </w:pPr>
      <w:r>
        <w:rPr>
          <w:rFonts w:ascii="Courier New" w:cs="Courier New" w:eastAsia="Courier New" w:hAnsi="Courier New"/>
          <w:sz w:val="13"/>
          <w:szCs w:val="13"/>
          <w:b w:val="1"/>
          <w:bCs w:val="1"/>
          <w:color w:val="auto"/>
        </w:rPr>
        <w:t>-----------</w:t>
        <w:tab/>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880"/>
        <w:spacing w:after="0"/>
        <w:rPr>
          <w:sz w:val="20"/>
          <w:szCs w:val="20"/>
          <w:color w:val="auto"/>
        </w:rPr>
      </w:pPr>
      <w:r>
        <w:rPr>
          <w:rFonts w:ascii="Courier New" w:cs="Courier New" w:eastAsia="Courier New" w:hAnsi="Courier New"/>
          <w:sz w:val="13"/>
          <w:szCs w:val="13"/>
          <w:b w:val="1"/>
          <w:bCs w:val="1"/>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3"/>
          <w:szCs w:val="13"/>
          <w:b w:val="1"/>
          <w:bCs w:val="1"/>
          <w:color w:val="auto"/>
        </w:rPr>
        <w:t>Weighted-average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3"/>
          <w:szCs w:val="13"/>
          <w:b w:val="1"/>
          <w:bCs w:val="1"/>
          <w:color w:val="auto"/>
        </w:rPr>
        <w:t>exercise price</w:t>
      </w:r>
    </w:p>
    <w:p>
      <w:pPr>
        <w:spacing w:after="0" w:line="7" w:lineRule="exact"/>
        <w:rPr>
          <w:sz w:val="20"/>
          <w:szCs w:val="20"/>
          <w:color w:val="auto"/>
        </w:rPr>
      </w:pPr>
    </w:p>
    <w:p>
      <w:pPr>
        <w:ind w:left="160"/>
        <w:spacing w:after="0"/>
        <w:tabs>
          <w:tab w:leader="none" w:pos="1180" w:val="left"/>
        </w:tabs>
        <w:rPr>
          <w:sz w:val="20"/>
          <w:szCs w:val="20"/>
          <w:color w:val="auto"/>
        </w:rPr>
      </w:pPr>
      <w:r>
        <w:rPr>
          <w:rFonts w:ascii="Courier New" w:cs="Courier New" w:eastAsia="Courier New" w:hAnsi="Courier New"/>
          <w:sz w:val="13"/>
          <w:szCs w:val="13"/>
          <w:b w:val="1"/>
          <w:bCs w:val="1"/>
          <w:color w:val="auto"/>
        </w:rPr>
        <w:t>Shares</w:t>
      </w:r>
      <w:r>
        <w:rPr>
          <w:sz w:val="20"/>
          <w:szCs w:val="20"/>
          <w:color w:val="auto"/>
        </w:rPr>
        <w:tab/>
      </w:r>
      <w:r>
        <w:rPr>
          <w:rFonts w:ascii="Courier New" w:cs="Courier New" w:eastAsia="Courier New" w:hAnsi="Courier New"/>
          <w:sz w:val="13"/>
          <w:szCs w:val="13"/>
          <w:b w:val="1"/>
          <w:bCs w:val="1"/>
          <w:color w:val="auto"/>
        </w:rPr>
        <w:t>per share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3"/>
          <w:szCs w:val="13"/>
          <w:b w:val="1"/>
          <w:bCs w:val="1"/>
          <w:color w:val="auto"/>
        </w:rPr>
        <w:t>-----------</w:t>
        <w:tab/>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040"/>
        <w:spacing w:after="0"/>
        <w:rPr>
          <w:sz w:val="20"/>
          <w:szCs w:val="20"/>
          <w:color w:val="auto"/>
        </w:rPr>
      </w:pPr>
      <w:r>
        <w:rPr>
          <w:rFonts w:ascii="Courier New" w:cs="Courier New" w:eastAsia="Courier New" w:hAnsi="Courier New"/>
          <w:sz w:val="13"/>
          <w:szCs w:val="13"/>
          <w:b w:val="1"/>
          <w:bCs w:val="1"/>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b w:val="1"/>
          <w:bCs w:val="1"/>
          <w:color w:val="auto"/>
        </w:rPr>
        <w:t>Weighted-average</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b w:val="1"/>
          <w:bCs w:val="1"/>
          <w:color w:val="auto"/>
        </w:rPr>
        <w:t>exercise price</w:t>
      </w:r>
    </w:p>
    <w:p>
      <w:pPr>
        <w:spacing w:after="0" w:line="7" w:lineRule="exact"/>
        <w:rPr>
          <w:sz w:val="20"/>
          <w:szCs w:val="20"/>
          <w:color w:val="auto"/>
        </w:rPr>
      </w:pPr>
    </w:p>
    <w:p>
      <w:pPr>
        <w:ind w:left="240"/>
        <w:spacing w:after="0"/>
        <w:tabs>
          <w:tab w:leader="none" w:pos="1420" w:val="left"/>
        </w:tabs>
        <w:rPr>
          <w:sz w:val="20"/>
          <w:szCs w:val="20"/>
          <w:color w:val="auto"/>
        </w:rPr>
      </w:pPr>
      <w:r>
        <w:rPr>
          <w:rFonts w:ascii="Courier New" w:cs="Courier New" w:eastAsia="Courier New" w:hAnsi="Courier New"/>
          <w:sz w:val="13"/>
          <w:szCs w:val="13"/>
          <w:b w:val="1"/>
          <w:bCs w:val="1"/>
          <w:color w:val="auto"/>
        </w:rPr>
        <w:t>Shares</w:t>
      </w:r>
      <w:r>
        <w:rPr>
          <w:sz w:val="20"/>
          <w:szCs w:val="20"/>
          <w:color w:val="auto"/>
        </w:rPr>
        <w:tab/>
      </w:r>
      <w:r>
        <w:rPr>
          <w:rFonts w:ascii="Courier New" w:cs="Courier New" w:eastAsia="Courier New" w:hAnsi="Courier New"/>
          <w:sz w:val="13"/>
          <w:szCs w:val="13"/>
          <w:b w:val="1"/>
          <w:bCs w:val="1"/>
          <w:color w:val="auto"/>
        </w:rPr>
        <w:t>per share</w:t>
      </w: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3"/>
          <w:szCs w:val="13"/>
          <w:b w:val="1"/>
          <w:bCs w:val="1"/>
          <w:color w:val="auto"/>
        </w:rPr>
        <w:t>--------------</w:t>
        <w:tab/>
        <w:t>---------------</w:t>
      </w:r>
    </w:p>
    <w:p>
      <w:pPr>
        <w:spacing w:after="0" w:line="161" w:lineRule="exact"/>
        <w:rPr>
          <w:sz w:val="20"/>
          <w:szCs w:val="20"/>
          <w:color w:val="auto"/>
        </w:rPr>
      </w:pPr>
    </w:p>
    <w:p>
      <w:pPr>
        <w:sectPr>
          <w:pgSz w:w="11900" w:h="16838" w:orient="portrait"/>
          <w:cols w:equalWidth="0" w:num="3">
            <w:col w:w="4900" w:space="80"/>
            <w:col w:w="2320" w:space="160"/>
            <w:col w:w="2779"/>
          </w:cols>
          <w:pgMar w:left="220" w:top="141" w:right="1440" w:bottom="0" w:gutter="0" w:footer="0" w:header="0"/>
          <w:type w:val="continuous"/>
        </w:sectPr>
      </w:pPr>
    </w:p>
    <w:p>
      <w:pPr>
        <w:ind w:left="480"/>
        <w:spacing w:after="0"/>
        <w:rPr>
          <w:sz w:val="20"/>
          <w:szCs w:val="20"/>
          <w:color w:val="auto"/>
        </w:rPr>
      </w:pPr>
      <w:r>
        <w:rPr>
          <w:rFonts w:ascii="Courier New" w:cs="Courier New" w:eastAsia="Courier New" w:hAnsi="Courier New"/>
          <w:sz w:val="13"/>
          <w:szCs w:val="13"/>
          <w:color w:val="auto"/>
        </w:rPr>
        <w:t>Outstanding at beginning</w:t>
      </w:r>
    </w:p>
    <w:p>
      <w:pPr>
        <w:sectPr>
          <w:pgSz w:w="11900" w:h="16838"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of year</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Granted</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Exercised</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Forfeited</w:t>
      </w:r>
    </w:p>
    <w:p>
      <w:pPr>
        <w:spacing w:after="0" w:line="20" w:lineRule="exact"/>
        <w:rPr>
          <w:sz w:val="20"/>
          <w:szCs w:val="20"/>
          <w:color w:val="auto"/>
        </w:rPr>
      </w:pPr>
      <w:r>
        <w:rPr>
          <w:sz w:val="20"/>
          <w:szCs w:val="20"/>
          <w:color w:val="auto"/>
        </w:rPr>
        <w:br w:type="column"/>
      </w:r>
    </w:p>
    <w:p>
      <w:pPr>
        <w:ind w:left="320"/>
        <w:spacing w:after="0"/>
        <w:tabs>
          <w:tab w:leader="none" w:pos="1360" w:val="left"/>
          <w:tab w:leader="none" w:pos="1680" w:val="left"/>
          <w:tab w:leader="none" w:pos="2720" w:val="left"/>
          <w:tab w:leader="none" w:pos="3760" w:val="left"/>
          <w:tab w:leader="none" w:pos="4080" w:val="left"/>
          <w:tab w:leader="none" w:pos="5520" w:val="left"/>
          <w:tab w:leader="none" w:pos="6880" w:val="left"/>
        </w:tabs>
        <w:rPr>
          <w:sz w:val="20"/>
          <w:szCs w:val="20"/>
          <w:color w:val="auto"/>
        </w:rPr>
      </w:pPr>
      <w:r>
        <w:rPr>
          <w:rFonts w:ascii="Courier New" w:cs="Courier New" w:eastAsia="Courier New" w:hAnsi="Courier New"/>
          <w:sz w:val="13"/>
          <w:szCs w:val="13"/>
          <w:color w:val="auto"/>
        </w:rPr>
        <w:t>1,373</w:t>
      </w:r>
      <w:r>
        <w:rPr>
          <w:sz w:val="20"/>
          <w:szCs w:val="20"/>
          <w:color w:val="auto"/>
        </w:rPr>
        <w:tab/>
      </w:r>
      <w:r>
        <w:rPr>
          <w:rFonts w:ascii="Courier New" w:cs="Courier New" w:eastAsia="Courier New" w:hAnsi="Courier New"/>
          <w:sz w:val="13"/>
          <w:szCs w:val="13"/>
          <w:color w:val="auto"/>
        </w:rPr>
        <w:t>$</w:t>
        <w:tab/>
        <w:t>7.25</w:t>
      </w:r>
      <w:r>
        <w:rPr>
          <w:sz w:val="20"/>
          <w:szCs w:val="20"/>
          <w:color w:val="auto"/>
        </w:rPr>
        <w:tab/>
      </w:r>
      <w:r>
        <w:rPr>
          <w:rFonts w:ascii="Courier New" w:cs="Courier New" w:eastAsia="Courier New" w:hAnsi="Courier New"/>
          <w:sz w:val="13"/>
          <w:szCs w:val="13"/>
          <w:color w:val="auto"/>
        </w:rPr>
        <w:t>1,091</w:t>
      </w:r>
      <w:r>
        <w:rPr>
          <w:sz w:val="20"/>
          <w:szCs w:val="20"/>
          <w:color w:val="auto"/>
        </w:rPr>
        <w:tab/>
      </w:r>
      <w:r>
        <w:rPr>
          <w:rFonts w:ascii="Courier New" w:cs="Courier New" w:eastAsia="Courier New" w:hAnsi="Courier New"/>
          <w:sz w:val="13"/>
          <w:szCs w:val="13"/>
          <w:color w:val="auto"/>
        </w:rPr>
        <w:t>$</w:t>
        <w:tab/>
        <w:t>6.87</w:t>
      </w:r>
      <w:r>
        <w:rPr>
          <w:sz w:val="20"/>
          <w:szCs w:val="20"/>
          <w:color w:val="auto"/>
        </w:rPr>
        <w:tab/>
      </w:r>
      <w:r>
        <w:rPr>
          <w:rFonts w:ascii="Courier New" w:cs="Courier New" w:eastAsia="Courier New" w:hAnsi="Courier New"/>
          <w:sz w:val="13"/>
          <w:szCs w:val="13"/>
          <w:color w:val="auto"/>
        </w:rPr>
        <w:t>1,049</w:t>
      </w:r>
      <w:r>
        <w:rPr>
          <w:sz w:val="20"/>
          <w:szCs w:val="20"/>
          <w:color w:val="auto"/>
        </w:rPr>
        <w:tab/>
      </w:r>
      <w:r>
        <w:rPr>
          <w:rFonts w:ascii="Courier New" w:cs="Courier New" w:eastAsia="Courier New" w:hAnsi="Courier New"/>
          <w:sz w:val="13"/>
          <w:szCs w:val="13"/>
          <w:color w:val="auto"/>
        </w:rPr>
        <w:t>$8.53</w:t>
      </w:r>
    </w:p>
    <w:p>
      <w:pPr>
        <w:spacing w:after="0" w:line="161" w:lineRule="exact"/>
        <w:rPr>
          <w:sz w:val="20"/>
          <w:szCs w:val="20"/>
          <w:color w:val="auto"/>
        </w:rPr>
      </w:pPr>
    </w:p>
    <w:p>
      <w:pPr>
        <w:ind w:left="560"/>
        <w:spacing w:after="0"/>
        <w:tabs>
          <w:tab w:leader="none" w:pos="1680" w:val="left"/>
          <w:tab w:leader="none" w:pos="2880" w:val="left"/>
          <w:tab w:leader="none" w:pos="4080" w:val="left"/>
          <w:tab w:leader="none" w:pos="5680" w:val="left"/>
          <w:tab w:leader="none" w:pos="6960" w:val="left"/>
        </w:tabs>
        <w:rPr>
          <w:sz w:val="20"/>
          <w:szCs w:val="20"/>
          <w:color w:val="auto"/>
        </w:rPr>
      </w:pPr>
      <w:r>
        <w:rPr>
          <w:rFonts w:ascii="Courier New" w:cs="Courier New" w:eastAsia="Courier New" w:hAnsi="Courier New"/>
          <w:sz w:val="13"/>
          <w:szCs w:val="13"/>
          <w:color w:val="auto"/>
        </w:rPr>
        <w:t>37</w:t>
      </w:r>
      <w:r>
        <w:rPr>
          <w:sz w:val="20"/>
          <w:szCs w:val="20"/>
          <w:color w:val="auto"/>
        </w:rPr>
        <w:tab/>
      </w:r>
      <w:r>
        <w:rPr>
          <w:rFonts w:ascii="Courier New" w:cs="Courier New" w:eastAsia="Courier New" w:hAnsi="Courier New"/>
          <w:sz w:val="13"/>
          <w:szCs w:val="13"/>
          <w:color w:val="auto"/>
        </w:rPr>
        <w:t>9.39</w:t>
      </w:r>
      <w:r>
        <w:rPr>
          <w:sz w:val="20"/>
          <w:szCs w:val="20"/>
          <w:color w:val="auto"/>
        </w:rPr>
        <w:tab/>
      </w:r>
      <w:r>
        <w:rPr>
          <w:rFonts w:ascii="Courier New" w:cs="Courier New" w:eastAsia="Courier New" w:hAnsi="Courier New"/>
          <w:sz w:val="13"/>
          <w:szCs w:val="13"/>
          <w:color w:val="auto"/>
        </w:rPr>
        <w:t>396</w:t>
      </w:r>
      <w:r>
        <w:rPr>
          <w:sz w:val="20"/>
          <w:szCs w:val="20"/>
          <w:color w:val="auto"/>
        </w:rPr>
        <w:tab/>
      </w:r>
      <w:r>
        <w:rPr>
          <w:rFonts w:ascii="Courier New" w:cs="Courier New" w:eastAsia="Courier New" w:hAnsi="Courier New"/>
          <w:sz w:val="13"/>
          <w:szCs w:val="13"/>
          <w:color w:val="auto"/>
        </w:rPr>
        <w:t>8.09</w:t>
      </w:r>
      <w:r>
        <w:rPr>
          <w:sz w:val="20"/>
          <w:szCs w:val="20"/>
          <w:color w:val="auto"/>
        </w:rPr>
        <w:tab/>
      </w:r>
      <w:r>
        <w:rPr>
          <w:rFonts w:ascii="Courier New" w:cs="Courier New" w:eastAsia="Courier New" w:hAnsi="Courier New"/>
          <w:sz w:val="13"/>
          <w:szCs w:val="13"/>
          <w:color w:val="auto"/>
        </w:rPr>
        <w:t>555</w:t>
      </w:r>
      <w:r>
        <w:rPr>
          <w:sz w:val="20"/>
          <w:szCs w:val="20"/>
          <w:color w:val="auto"/>
        </w:rPr>
        <w:tab/>
      </w:r>
      <w:r>
        <w:rPr>
          <w:rFonts w:ascii="Courier New" w:cs="Courier New" w:eastAsia="Courier New" w:hAnsi="Courier New"/>
          <w:sz w:val="13"/>
          <w:szCs w:val="13"/>
          <w:color w:val="auto"/>
        </w:rPr>
        <w:t>7.63</w:t>
      </w:r>
    </w:p>
    <w:p>
      <w:pPr>
        <w:spacing w:after="0" w:line="161" w:lineRule="exact"/>
        <w:rPr>
          <w:sz w:val="20"/>
          <w:szCs w:val="20"/>
          <w:color w:val="auto"/>
        </w:rPr>
      </w:pPr>
    </w:p>
    <w:p>
      <w:pPr>
        <w:ind w:left="480"/>
        <w:spacing w:after="0"/>
        <w:tabs>
          <w:tab w:leader="none" w:pos="1680" w:val="left"/>
          <w:tab w:leader="none" w:pos="2880" w:val="left"/>
          <w:tab w:leader="none" w:pos="4080" w:val="left"/>
          <w:tab w:leader="none" w:pos="5680" w:val="left"/>
          <w:tab w:leader="none" w:pos="6960" w:val="left"/>
        </w:tabs>
        <w:rPr>
          <w:sz w:val="20"/>
          <w:szCs w:val="20"/>
          <w:color w:val="auto"/>
        </w:rPr>
      </w:pPr>
      <w:r>
        <w:rPr>
          <w:rFonts w:ascii="Courier New" w:cs="Courier New" w:eastAsia="Courier New" w:hAnsi="Courier New"/>
          <w:sz w:val="13"/>
          <w:szCs w:val="13"/>
          <w:color w:val="auto"/>
        </w:rPr>
        <w:t>(53)</w:t>
      </w:r>
      <w:r>
        <w:rPr>
          <w:sz w:val="20"/>
          <w:szCs w:val="20"/>
          <w:color w:val="auto"/>
        </w:rPr>
        <w:tab/>
      </w:r>
      <w:r>
        <w:rPr>
          <w:rFonts w:ascii="Courier New" w:cs="Courier New" w:eastAsia="Courier New" w:hAnsi="Courier New"/>
          <w:sz w:val="13"/>
          <w:szCs w:val="13"/>
          <w:color w:val="auto"/>
        </w:rPr>
        <w:t>6.61</w:t>
      </w:r>
      <w:r>
        <w:rPr>
          <w:sz w:val="20"/>
          <w:szCs w:val="20"/>
          <w:color w:val="auto"/>
        </w:rPr>
        <w:tab/>
      </w:r>
      <w:r>
        <w:rPr>
          <w:rFonts w:ascii="Courier New" w:cs="Courier New" w:eastAsia="Courier New" w:hAnsi="Courier New"/>
          <w:sz w:val="13"/>
          <w:szCs w:val="13"/>
          <w:color w:val="auto"/>
        </w:rPr>
        <w:t>(70)</w:t>
      </w:r>
      <w:r>
        <w:rPr>
          <w:sz w:val="20"/>
          <w:szCs w:val="20"/>
          <w:color w:val="auto"/>
        </w:rPr>
        <w:tab/>
      </w:r>
      <w:r>
        <w:rPr>
          <w:rFonts w:ascii="Courier New" w:cs="Courier New" w:eastAsia="Courier New" w:hAnsi="Courier New"/>
          <w:sz w:val="13"/>
          <w:szCs w:val="13"/>
          <w:color w:val="auto"/>
        </w:rPr>
        <w:t>6.09</w:t>
      </w:r>
      <w:r>
        <w:rPr>
          <w:sz w:val="20"/>
          <w:szCs w:val="20"/>
          <w:color w:val="auto"/>
        </w:rPr>
        <w:tab/>
      </w:r>
      <w:r>
        <w:rPr>
          <w:rFonts w:ascii="Courier New" w:cs="Courier New" w:eastAsia="Courier New" w:hAnsi="Courier New"/>
          <w:sz w:val="13"/>
          <w:szCs w:val="13"/>
          <w:color w:val="auto"/>
        </w:rPr>
        <w:t>(2)</w:t>
      </w:r>
      <w:r>
        <w:rPr>
          <w:sz w:val="20"/>
          <w:szCs w:val="20"/>
          <w:color w:val="auto"/>
        </w:rPr>
        <w:tab/>
      </w:r>
      <w:r>
        <w:rPr>
          <w:rFonts w:ascii="Courier New" w:cs="Courier New" w:eastAsia="Courier New" w:hAnsi="Courier New"/>
          <w:sz w:val="13"/>
          <w:szCs w:val="13"/>
          <w:color w:val="auto"/>
        </w:rPr>
        <w:t>5.87</w:t>
      </w:r>
    </w:p>
    <w:p>
      <w:pPr>
        <w:spacing w:after="0" w:line="161" w:lineRule="exact"/>
        <w:rPr>
          <w:sz w:val="20"/>
          <w:szCs w:val="20"/>
          <w:color w:val="auto"/>
        </w:rPr>
      </w:pPr>
    </w:p>
    <w:p>
      <w:pPr>
        <w:ind w:left="480"/>
        <w:spacing w:after="0"/>
        <w:tabs>
          <w:tab w:leader="none" w:pos="1680" w:val="left"/>
          <w:tab w:leader="none" w:pos="2880" w:val="left"/>
          <w:tab w:leader="none" w:pos="4080" w:val="left"/>
          <w:tab w:leader="none" w:pos="5520" w:val="left"/>
          <w:tab w:leader="none" w:pos="6880" w:val="left"/>
        </w:tabs>
        <w:rPr>
          <w:sz w:val="20"/>
          <w:szCs w:val="20"/>
          <w:color w:val="auto"/>
        </w:rPr>
      </w:pPr>
      <w:r>
        <w:rPr>
          <w:rFonts w:ascii="Courier New" w:cs="Courier New" w:eastAsia="Courier New" w:hAnsi="Courier New"/>
          <w:sz w:val="13"/>
          <w:szCs w:val="13"/>
          <w:color w:val="auto"/>
        </w:rPr>
        <w:t>(39)</w:t>
      </w:r>
      <w:r>
        <w:rPr>
          <w:sz w:val="20"/>
          <w:szCs w:val="20"/>
          <w:color w:val="auto"/>
        </w:rPr>
        <w:tab/>
      </w:r>
      <w:r>
        <w:rPr>
          <w:rFonts w:ascii="Courier New" w:cs="Courier New" w:eastAsia="Courier New" w:hAnsi="Courier New"/>
          <w:sz w:val="13"/>
          <w:szCs w:val="13"/>
          <w:color w:val="auto"/>
        </w:rPr>
        <w:t>7.65</w:t>
      </w:r>
      <w:r>
        <w:rPr>
          <w:sz w:val="20"/>
          <w:szCs w:val="20"/>
          <w:color w:val="auto"/>
        </w:rPr>
        <w:tab/>
      </w:r>
      <w:r>
        <w:rPr>
          <w:rFonts w:ascii="Courier New" w:cs="Courier New" w:eastAsia="Courier New" w:hAnsi="Courier New"/>
          <w:sz w:val="13"/>
          <w:szCs w:val="13"/>
          <w:color w:val="auto"/>
        </w:rPr>
        <w:t>(44)</w:t>
      </w:r>
      <w:r>
        <w:rPr>
          <w:sz w:val="20"/>
          <w:szCs w:val="20"/>
          <w:color w:val="auto"/>
        </w:rPr>
        <w:tab/>
      </w:r>
      <w:r>
        <w:rPr>
          <w:rFonts w:ascii="Courier New" w:cs="Courier New" w:eastAsia="Courier New" w:hAnsi="Courier New"/>
          <w:sz w:val="13"/>
          <w:szCs w:val="13"/>
          <w:color w:val="auto"/>
        </w:rPr>
        <w:t>6.78</w:t>
      </w:r>
      <w:r>
        <w:rPr>
          <w:sz w:val="20"/>
          <w:szCs w:val="20"/>
          <w:color w:val="auto"/>
        </w:rPr>
        <w:tab/>
      </w:r>
      <w:r>
        <w:rPr>
          <w:rFonts w:ascii="Courier New" w:cs="Courier New" w:eastAsia="Courier New" w:hAnsi="Courier New"/>
          <w:sz w:val="13"/>
          <w:szCs w:val="13"/>
          <w:color w:val="auto"/>
        </w:rPr>
        <w:t>(511)</w:t>
      </w:r>
      <w:r>
        <w:rPr>
          <w:sz w:val="20"/>
          <w:szCs w:val="20"/>
          <w:color w:val="auto"/>
        </w:rPr>
        <w:tab/>
      </w:r>
      <w:r>
        <w:rPr>
          <w:rFonts w:ascii="Courier New" w:cs="Courier New" w:eastAsia="Courier New" w:hAnsi="Courier New"/>
          <w:sz w:val="13"/>
          <w:szCs w:val="13"/>
          <w:color w:val="auto"/>
        </w:rPr>
        <w:t>10.95</w:t>
      </w:r>
    </w:p>
    <w:p>
      <w:pPr>
        <w:spacing w:after="0" w:line="7" w:lineRule="exact"/>
        <w:rPr>
          <w:sz w:val="20"/>
          <w:szCs w:val="20"/>
          <w:color w:val="auto"/>
        </w:rPr>
      </w:pPr>
    </w:p>
    <w:p>
      <w:pPr>
        <w:spacing w:after="0"/>
        <w:tabs>
          <w:tab w:leader="none" w:pos="2400" w:val="left"/>
          <w:tab w:leader="none" w:pos="488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161" w:lineRule="exact"/>
        <w:rPr>
          <w:sz w:val="20"/>
          <w:szCs w:val="20"/>
          <w:color w:val="auto"/>
        </w:rPr>
      </w:pPr>
    </w:p>
    <w:p>
      <w:pPr>
        <w:sectPr>
          <w:pgSz w:w="11900" w:h="16838" w:orient="portrait"/>
          <w:cols w:equalWidth="0" w:num="2">
            <w:col w:w="1840" w:space="720"/>
            <w:col w:w="7679"/>
          </w:cols>
          <w:pgMar w:left="220" w:top="141" w:right="1440" w:bottom="0" w:gutter="0" w:footer="0" w:header="0"/>
          <w:type w:val="continuous"/>
        </w:sectPr>
      </w:pPr>
    </w:p>
    <w:p>
      <w:pPr>
        <w:ind w:left="480"/>
        <w:spacing w:after="0"/>
        <w:rPr>
          <w:sz w:val="20"/>
          <w:szCs w:val="20"/>
          <w:color w:val="auto"/>
        </w:rPr>
      </w:pPr>
      <w:r>
        <w:rPr>
          <w:rFonts w:ascii="Courier New" w:cs="Courier New" w:eastAsia="Courier New" w:hAnsi="Courier New"/>
          <w:sz w:val="13"/>
          <w:szCs w:val="13"/>
          <w:color w:val="auto"/>
        </w:rPr>
        <w:t>Outstanding at end of</w:t>
      </w:r>
    </w:p>
    <w:p>
      <w:pPr>
        <w:sectPr>
          <w:pgSz w:w="11900" w:h="16838"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year</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3"/>
          <w:szCs w:val="13"/>
          <w:color w:val="auto"/>
        </w:rPr>
        <w:t>1,318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right="80" w:hanging="721"/>
        <w:spacing w:after="0" w:line="254" w:lineRule="auto"/>
        <w:rPr>
          <w:sz w:val="20"/>
          <w:szCs w:val="20"/>
          <w:color w:val="auto"/>
        </w:rPr>
      </w:pPr>
      <w:r>
        <w:rPr>
          <w:rFonts w:ascii="Courier New" w:cs="Courier New" w:eastAsia="Courier New" w:hAnsi="Courier New"/>
          <w:sz w:val="13"/>
          <w:szCs w:val="13"/>
          <w:color w:val="auto"/>
        </w:rPr>
        <w:t>7.33</w:t>
      </w:r>
      <w:r>
        <w:rPr>
          <w:sz w:val="20"/>
          <w:szCs w:val="20"/>
          <w:color w:val="auto"/>
        </w:rPr>
        <w:t xml:space="preserve"> </w:t>
      </w:r>
      <w:r>
        <w:rPr>
          <w:rFonts w:ascii="Courier New" w:cs="Courier New" w:eastAsia="Courier New" w:hAnsi="Courier New"/>
          <w:sz w:val="13"/>
          <w:szCs w:val="13"/>
          <w:color w:val="auto"/>
        </w:rPr>
        <w:t>1,373 ===========</w:t>
      </w:r>
    </w:p>
    <w:p>
      <w:pPr>
        <w:spacing w:after="0" w:line="20" w:lineRule="exact"/>
        <w:rPr>
          <w:sz w:val="20"/>
          <w:szCs w:val="20"/>
          <w:color w:val="auto"/>
        </w:rPr>
      </w:pPr>
      <w:r>
        <w:rPr>
          <w:sz w:val="20"/>
          <w:szCs w:val="20"/>
          <w:color w:val="auto"/>
        </w:rPr>
        <w:br w:type="column"/>
      </w:r>
    </w:p>
    <w:p>
      <w:pPr>
        <w:spacing w:after="0"/>
        <w:tabs>
          <w:tab w:leader="none" w:pos="1420" w:val="left"/>
        </w:tabs>
        <w:rPr>
          <w:sz w:val="20"/>
          <w:szCs w:val="20"/>
          <w:color w:val="auto"/>
        </w:rPr>
      </w:pPr>
      <w:r>
        <w:rPr>
          <w:rFonts w:ascii="Courier New" w:cs="Courier New" w:eastAsia="Courier New" w:hAnsi="Courier New"/>
          <w:sz w:val="13"/>
          <w:szCs w:val="13"/>
          <w:color w:val="auto"/>
        </w:rPr>
        <w:t>7.25</w:t>
      </w:r>
      <w:r>
        <w:rPr>
          <w:sz w:val="20"/>
          <w:szCs w:val="20"/>
          <w:color w:val="auto"/>
        </w:rPr>
        <w:tab/>
      </w:r>
      <w:r>
        <w:rPr>
          <w:rFonts w:ascii="Courier New" w:cs="Courier New" w:eastAsia="Courier New" w:hAnsi="Courier New"/>
          <w:sz w:val="13"/>
          <w:szCs w:val="13"/>
          <w:color w:val="auto"/>
        </w:rPr>
        <w:t>1,091</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6.87</w:t>
      </w:r>
    </w:p>
    <w:p>
      <w:pPr>
        <w:spacing w:after="0" w:line="315" w:lineRule="exact"/>
        <w:rPr>
          <w:sz w:val="20"/>
          <w:szCs w:val="20"/>
          <w:color w:val="auto"/>
        </w:rPr>
      </w:pPr>
    </w:p>
    <w:p>
      <w:pPr>
        <w:sectPr>
          <w:pgSz w:w="11900" w:h="16838" w:orient="portrait"/>
          <w:cols w:equalWidth="0" w:num="5">
            <w:col w:w="1840" w:space="720"/>
            <w:col w:w="1700" w:space="720"/>
            <w:col w:w="960" w:space="720"/>
            <w:col w:w="2160" w:space="720"/>
            <w:col w:w="699"/>
          </w:cols>
          <w:pgMar w:left="220" w:top="141" w:right="1440" w:bottom="0" w:gutter="0" w:footer="0" w:header="0"/>
          <w:type w:val="continuous"/>
        </w:sectPr>
      </w:pPr>
    </w:p>
    <w:p>
      <w:pPr>
        <w:ind w:left="480"/>
        <w:spacing w:after="0"/>
        <w:rPr>
          <w:sz w:val="20"/>
          <w:szCs w:val="20"/>
          <w:color w:val="auto"/>
        </w:rPr>
      </w:pPr>
      <w:r>
        <w:rPr>
          <w:rFonts w:ascii="Courier New" w:cs="Courier New" w:eastAsia="Courier New" w:hAnsi="Courier New"/>
          <w:sz w:val="13"/>
          <w:szCs w:val="13"/>
          <w:color w:val="auto"/>
        </w:rPr>
        <w:t>Options exercisable at</w:t>
      </w:r>
    </w:p>
    <w:p>
      <w:pPr>
        <w:sectPr>
          <w:pgSz w:w="11900" w:h="16838"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year-end</w:t>
      </w:r>
    </w:p>
    <w:p>
      <w:pPr>
        <w:spacing w:after="0" w:line="20" w:lineRule="exact"/>
        <w:rPr>
          <w:sz w:val="20"/>
          <w:szCs w:val="20"/>
          <w:color w:val="auto"/>
        </w:rPr>
      </w:pPr>
      <w:r>
        <w:rPr>
          <w:sz w:val="20"/>
          <w:szCs w:val="20"/>
          <w:color w:val="auto"/>
        </w:rPr>
        <w:br w:type="column"/>
      </w:r>
    </w:p>
    <w:p>
      <w:pPr>
        <w:spacing w:after="0"/>
        <w:tabs>
          <w:tab w:leader="none" w:pos="880" w:val="left"/>
          <w:tab w:leader="none" w:pos="1200" w:val="left"/>
        </w:tabs>
        <w:rPr>
          <w:sz w:val="20"/>
          <w:szCs w:val="20"/>
          <w:color w:val="auto"/>
        </w:rPr>
      </w:pPr>
      <w:r>
        <w:rPr>
          <w:rFonts w:ascii="Courier New" w:cs="Courier New" w:eastAsia="Courier New" w:hAnsi="Courier New"/>
          <w:sz w:val="13"/>
          <w:szCs w:val="13"/>
          <w:color w:val="auto"/>
        </w:rPr>
        <w:t>887</w:t>
      </w:r>
      <w:r>
        <w:rPr>
          <w:sz w:val="20"/>
          <w:szCs w:val="20"/>
          <w:color w:val="auto"/>
        </w:rPr>
        <w:tab/>
      </w:r>
      <w:r>
        <w:rPr>
          <w:rFonts w:ascii="Courier New" w:cs="Courier New" w:eastAsia="Courier New" w:hAnsi="Courier New"/>
          <w:sz w:val="13"/>
          <w:szCs w:val="13"/>
          <w:color w:val="auto"/>
        </w:rPr>
        <w:t>$</w:t>
        <w:tab/>
        <w:t>7.01</w:t>
      </w:r>
    </w:p>
    <w:p>
      <w:pPr>
        <w:spacing w:after="0" w:line="20" w:lineRule="exact"/>
        <w:rPr>
          <w:sz w:val="20"/>
          <w:szCs w:val="20"/>
          <w:color w:val="auto"/>
        </w:rPr>
      </w:pPr>
      <w:r>
        <w:rPr>
          <w:sz w:val="20"/>
          <w:szCs w:val="20"/>
          <w:color w:val="auto"/>
        </w:rPr>
        <w:br w:type="column"/>
      </w:r>
    </w:p>
    <w:p>
      <w:pPr>
        <w:spacing w:after="0"/>
        <w:tabs>
          <w:tab w:leader="none" w:pos="860" w:val="left"/>
          <w:tab w:leader="none" w:pos="1180" w:val="left"/>
        </w:tabs>
        <w:rPr>
          <w:sz w:val="20"/>
          <w:szCs w:val="20"/>
          <w:color w:val="auto"/>
        </w:rPr>
      </w:pPr>
      <w:r>
        <w:rPr>
          <w:rFonts w:ascii="Courier New" w:cs="Courier New" w:eastAsia="Courier New" w:hAnsi="Courier New"/>
          <w:sz w:val="13"/>
          <w:szCs w:val="13"/>
          <w:color w:val="auto"/>
        </w:rPr>
        <w:t>528</w:t>
      </w:r>
      <w:r>
        <w:rPr>
          <w:sz w:val="20"/>
          <w:szCs w:val="20"/>
          <w:color w:val="auto"/>
        </w:rPr>
        <w:tab/>
      </w:r>
      <w:r>
        <w:rPr>
          <w:rFonts w:ascii="Courier New" w:cs="Courier New" w:eastAsia="Courier New" w:hAnsi="Courier New"/>
          <w:sz w:val="13"/>
          <w:szCs w:val="13"/>
          <w:color w:val="auto"/>
        </w:rPr>
        <w:t>$</w:t>
        <w:tab/>
        <w:t>6.59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$6.09</w:t>
      </w:r>
    </w:p>
    <w:p>
      <w:pPr>
        <w:spacing w:after="0" w:line="161" w:lineRule="exact"/>
        <w:rPr>
          <w:sz w:val="20"/>
          <w:szCs w:val="20"/>
          <w:color w:val="auto"/>
        </w:rPr>
      </w:pPr>
    </w:p>
    <w:p>
      <w:pPr>
        <w:sectPr>
          <w:pgSz w:w="11900" w:h="16838" w:orient="portrait"/>
          <w:cols w:equalWidth="0" w:num="5">
            <w:col w:w="2320" w:space="720"/>
            <w:col w:w="1700" w:space="720"/>
            <w:col w:w="2080" w:space="720"/>
            <w:col w:w="480" w:space="720"/>
            <w:col w:w="779"/>
          </w:cols>
          <w:pgMar w:left="220" w:top="141" w:right="1440" w:bottom="0" w:gutter="0" w:footer="0" w:header="0"/>
          <w:type w:val="continuous"/>
        </w:sectPr>
      </w:pPr>
    </w:p>
    <w:p>
      <w:pPr>
        <w:ind w:right="4699" w:firstLine="561"/>
        <w:spacing w:after="0" w:line="254" w:lineRule="auto"/>
        <w:rPr>
          <w:sz w:val="20"/>
          <w:szCs w:val="20"/>
          <w:color w:val="auto"/>
        </w:rPr>
      </w:pPr>
      <w:r>
        <w:rPr>
          <w:rFonts w:ascii="Courier New" w:cs="Courier New" w:eastAsia="Courier New" w:hAnsi="Courier New"/>
          <w:sz w:val="13"/>
          <w:szCs w:val="13"/>
          <w:color w:val="auto"/>
        </w:rPr>
        <w:t>The following table summarizes information about stock options outstanding at December 31, 2002:</w:t>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line="254" w:lineRule="auto"/>
        <w:rPr>
          <w:sz w:val="20"/>
          <w:szCs w:val="20"/>
          <w:color w:val="auto"/>
        </w:rPr>
      </w:pPr>
      <w:r>
        <w:rPr>
          <w:rFonts w:ascii="Courier New" w:cs="Courier New" w:eastAsia="Courier New" w:hAnsi="Courier New"/>
          <w:sz w:val="13"/>
          <w:szCs w:val="13"/>
          <w:b w:val="1"/>
          <w:bCs w:val="1"/>
          <w:color w:val="auto"/>
        </w:rPr>
        <w:t>Range of exercise prices per share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380"/>
        <w:spacing w:after="0"/>
        <w:rPr>
          <w:sz w:val="20"/>
          <w:szCs w:val="20"/>
          <w:color w:val="auto"/>
        </w:rPr>
      </w:pPr>
      <w:r>
        <w:rPr>
          <w:rFonts w:ascii="Courier New" w:cs="Courier New" w:eastAsia="Courier New" w:hAnsi="Courier New"/>
          <w:sz w:val="13"/>
          <w:szCs w:val="13"/>
          <w:b w:val="1"/>
          <w:bCs w:val="1"/>
          <w:color w:val="auto"/>
        </w:rPr>
        <w:t>Options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b w:val="1"/>
          <w:bCs w:val="1"/>
          <w:color w:val="auto"/>
        </w:rPr>
        <w:t>Weighted-</w:t>
      </w:r>
    </w:p>
    <w:p>
      <w:pPr>
        <w:spacing w:after="0" w:line="7" w:lineRule="exact"/>
        <w:rPr>
          <w:sz w:val="20"/>
          <w:szCs w:val="20"/>
          <w:color w:val="auto"/>
        </w:rPr>
      </w:pPr>
    </w:p>
    <w:p>
      <w:pPr>
        <w:ind w:left="1860"/>
        <w:spacing w:after="0"/>
        <w:tabs>
          <w:tab w:leader="none" w:pos="3200" w:val="left"/>
        </w:tabs>
        <w:rPr>
          <w:sz w:val="20"/>
          <w:szCs w:val="20"/>
          <w:color w:val="auto"/>
        </w:rPr>
      </w:pPr>
      <w:r>
        <w:rPr>
          <w:rFonts w:ascii="Courier New" w:cs="Courier New" w:eastAsia="Courier New" w:hAnsi="Courier New"/>
          <w:sz w:val="13"/>
          <w:szCs w:val="13"/>
          <w:b w:val="1"/>
          <w:bCs w:val="1"/>
          <w:color w:val="auto"/>
        </w:rPr>
        <w:t>average</w:t>
      </w:r>
      <w:r>
        <w:rPr>
          <w:sz w:val="20"/>
          <w:szCs w:val="20"/>
          <w:color w:val="auto"/>
        </w:rPr>
        <w:tab/>
      </w:r>
      <w:r>
        <w:rPr>
          <w:rFonts w:ascii="Courier New" w:cs="Courier New" w:eastAsia="Courier New" w:hAnsi="Courier New"/>
          <w:sz w:val="13"/>
          <w:szCs w:val="13"/>
          <w:b w:val="1"/>
          <w:bCs w:val="1"/>
          <w:color w:val="auto"/>
        </w:rPr>
        <w:t>Weighted-</w:t>
      </w:r>
    </w:p>
    <w:p>
      <w:pPr>
        <w:spacing w:after="0" w:line="7" w:lineRule="exact"/>
        <w:rPr>
          <w:sz w:val="20"/>
          <w:szCs w:val="20"/>
          <w:color w:val="auto"/>
        </w:rPr>
      </w:pPr>
    </w:p>
    <w:p>
      <w:pPr>
        <w:ind w:left="400"/>
        <w:spacing w:after="0"/>
        <w:tabs>
          <w:tab w:leader="none" w:pos="1760" w:val="left"/>
          <w:tab w:leader="none" w:pos="3280" w:val="left"/>
        </w:tabs>
        <w:rPr>
          <w:sz w:val="20"/>
          <w:szCs w:val="20"/>
          <w:color w:val="auto"/>
        </w:rPr>
      </w:pPr>
      <w:r>
        <w:rPr>
          <w:rFonts w:ascii="Courier New" w:cs="Courier New" w:eastAsia="Courier New" w:hAnsi="Courier New"/>
          <w:sz w:val="13"/>
          <w:szCs w:val="13"/>
          <w:b w:val="1"/>
          <w:bCs w:val="1"/>
          <w:color w:val="auto"/>
        </w:rPr>
        <w:t>Number</w:t>
      </w:r>
      <w:r>
        <w:rPr>
          <w:sz w:val="20"/>
          <w:szCs w:val="20"/>
          <w:color w:val="auto"/>
        </w:rPr>
        <w:tab/>
      </w:r>
      <w:r>
        <w:rPr>
          <w:rFonts w:ascii="Courier New" w:cs="Courier New" w:eastAsia="Courier New" w:hAnsi="Courier New"/>
          <w:sz w:val="13"/>
          <w:szCs w:val="13"/>
          <w:b w:val="1"/>
          <w:bCs w:val="1"/>
          <w:color w:val="auto"/>
        </w:rPr>
        <w:t>remaining</w:t>
      </w:r>
      <w:r>
        <w:rPr>
          <w:sz w:val="20"/>
          <w:szCs w:val="20"/>
          <w:color w:val="auto"/>
        </w:rPr>
        <w:tab/>
      </w:r>
      <w:r>
        <w:rPr>
          <w:rFonts w:ascii="Courier New" w:cs="Courier New" w:eastAsia="Courier New" w:hAnsi="Courier New"/>
          <w:sz w:val="13"/>
          <w:szCs w:val="13"/>
          <w:b w:val="1"/>
          <w:bCs w:val="1"/>
          <w:color w:val="auto"/>
        </w:rPr>
        <w:t>average</w:t>
      </w:r>
    </w:p>
    <w:p>
      <w:pPr>
        <w:spacing w:after="0" w:line="7" w:lineRule="exact"/>
        <w:rPr>
          <w:sz w:val="20"/>
          <w:szCs w:val="20"/>
          <w:color w:val="auto"/>
        </w:rPr>
      </w:pPr>
    </w:p>
    <w:p>
      <w:pPr>
        <w:ind w:left="80"/>
        <w:spacing w:after="0"/>
        <w:tabs>
          <w:tab w:leader="none" w:pos="1680" w:val="left"/>
          <w:tab w:leader="none" w:pos="3040" w:val="left"/>
        </w:tabs>
        <w:rPr>
          <w:sz w:val="20"/>
          <w:szCs w:val="20"/>
          <w:color w:val="auto"/>
        </w:rPr>
      </w:pPr>
      <w:r>
        <w:rPr>
          <w:rFonts w:ascii="Courier New" w:cs="Courier New" w:eastAsia="Courier New" w:hAnsi="Courier New"/>
          <w:sz w:val="13"/>
          <w:szCs w:val="13"/>
          <w:b w:val="1"/>
          <w:bCs w:val="1"/>
          <w:color w:val="auto"/>
        </w:rPr>
        <w:t>outstanding at</w:t>
      </w:r>
      <w:r>
        <w:rPr>
          <w:sz w:val="20"/>
          <w:szCs w:val="20"/>
          <w:color w:val="auto"/>
        </w:rPr>
        <w:tab/>
      </w:r>
      <w:r>
        <w:rPr>
          <w:rFonts w:ascii="Courier New" w:cs="Courier New" w:eastAsia="Courier New" w:hAnsi="Courier New"/>
          <w:sz w:val="13"/>
          <w:szCs w:val="13"/>
          <w:b w:val="1"/>
          <w:bCs w:val="1"/>
          <w:color w:val="auto"/>
        </w:rPr>
        <w:t>contractual</w:t>
      </w:r>
      <w:r>
        <w:rPr>
          <w:sz w:val="20"/>
          <w:szCs w:val="20"/>
          <w:color w:val="auto"/>
        </w:rPr>
        <w:tab/>
      </w:r>
      <w:r>
        <w:rPr>
          <w:rFonts w:ascii="Courier New" w:cs="Courier New" w:eastAsia="Courier New" w:hAnsi="Courier New"/>
          <w:sz w:val="13"/>
          <w:szCs w:val="13"/>
          <w:b w:val="1"/>
          <w:bCs w:val="1"/>
          <w:color w:val="auto"/>
        </w:rPr>
        <w:t>exercise price</w:t>
      </w:r>
    </w:p>
    <w:p>
      <w:pPr>
        <w:spacing w:after="0" w:line="7" w:lineRule="exact"/>
        <w:rPr>
          <w:sz w:val="20"/>
          <w:szCs w:val="20"/>
          <w:color w:val="auto"/>
        </w:rPr>
      </w:pPr>
    </w:p>
    <w:p>
      <w:pPr>
        <w:ind w:left="240"/>
        <w:spacing w:after="0"/>
        <w:tabs>
          <w:tab w:leader="none" w:pos="1920" w:val="left"/>
          <w:tab w:leader="none" w:pos="3200" w:val="left"/>
        </w:tabs>
        <w:rPr>
          <w:sz w:val="20"/>
          <w:szCs w:val="20"/>
          <w:color w:val="auto"/>
        </w:rPr>
      </w:pPr>
      <w:r>
        <w:rPr>
          <w:rFonts w:ascii="Courier New" w:cs="Courier New" w:eastAsia="Courier New" w:hAnsi="Courier New"/>
          <w:sz w:val="13"/>
          <w:szCs w:val="13"/>
          <w:b w:val="1"/>
          <w:bCs w:val="1"/>
          <w:color w:val="auto"/>
        </w:rPr>
        <w:t>12/31/2002</w:t>
      </w:r>
      <w:r>
        <w:rPr>
          <w:sz w:val="20"/>
          <w:szCs w:val="20"/>
          <w:color w:val="auto"/>
        </w:rPr>
        <w:tab/>
      </w:r>
      <w:r>
        <w:rPr>
          <w:rFonts w:ascii="Courier New" w:cs="Courier New" w:eastAsia="Courier New" w:hAnsi="Courier New"/>
          <w:sz w:val="13"/>
          <w:szCs w:val="13"/>
          <w:b w:val="1"/>
          <w:bCs w:val="1"/>
          <w:color w:val="auto"/>
        </w:rPr>
        <w:t>life</w:t>
      </w:r>
      <w:r>
        <w:rPr>
          <w:sz w:val="20"/>
          <w:szCs w:val="20"/>
          <w:color w:val="auto"/>
        </w:rPr>
        <w:tab/>
      </w:r>
      <w:r>
        <w:rPr>
          <w:rFonts w:ascii="Courier New" w:cs="Courier New" w:eastAsia="Courier New" w:hAnsi="Courier New"/>
          <w:sz w:val="13"/>
          <w:szCs w:val="13"/>
          <w:b w:val="1"/>
          <w:bCs w:val="1"/>
          <w:color w:val="auto"/>
        </w:rPr>
        <w:t>per share</w:t>
      </w:r>
    </w:p>
    <w:p>
      <w:pPr>
        <w:spacing w:after="0" w:line="7" w:lineRule="exact"/>
        <w:rPr>
          <w:sz w:val="20"/>
          <w:szCs w:val="20"/>
          <w:color w:val="auto"/>
        </w:rPr>
      </w:pPr>
    </w:p>
    <w:p>
      <w:pPr>
        <w:spacing w:after="0"/>
        <w:tabs>
          <w:tab w:leader="none" w:pos="1520" w:val="left"/>
          <w:tab w:leader="none" w:pos="2960" w:val="left"/>
        </w:tabs>
        <w:rPr>
          <w:sz w:val="20"/>
          <w:szCs w:val="20"/>
          <w:color w:val="auto"/>
        </w:rPr>
      </w:pPr>
      <w:r>
        <w:rPr>
          <w:rFonts w:ascii="Courier New" w:cs="Courier New" w:eastAsia="Courier New" w:hAnsi="Courier New"/>
          <w:sz w:val="13"/>
          <w:szCs w:val="13"/>
          <w:b w:val="1"/>
          <w:bCs w:val="1"/>
          <w:color w:val="auto"/>
        </w:rPr>
        <w:t>-----------------</w:t>
        <w:tab/>
        <w:t>----------------</w:t>
        <w:tab/>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b w:val="1"/>
          <w:bCs w:val="1"/>
          <w:color w:val="auto"/>
        </w:rPr>
        <w:t>Options 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w:t>
      </w:r>
    </w:p>
    <w:p>
      <w:pPr>
        <w:spacing w:after="0" w:line="161" w:lineRule="exact"/>
        <w:rPr>
          <w:sz w:val="20"/>
          <w:szCs w:val="20"/>
          <w:color w:val="auto"/>
        </w:rPr>
      </w:pPr>
    </w:p>
    <w:p>
      <w:pPr>
        <w:ind w:left="1680"/>
        <w:spacing w:after="0"/>
        <w:rPr>
          <w:sz w:val="20"/>
          <w:szCs w:val="20"/>
          <w:color w:val="auto"/>
        </w:rPr>
      </w:pPr>
      <w:r>
        <w:rPr>
          <w:rFonts w:ascii="Courier New" w:cs="Courier New" w:eastAsia="Courier New" w:hAnsi="Courier New"/>
          <w:sz w:val="13"/>
          <w:szCs w:val="13"/>
          <w:b w:val="1"/>
          <w:bCs w:val="1"/>
          <w:color w:val="auto"/>
        </w:rPr>
        <w:t>Weighted-</w:t>
      </w:r>
    </w:p>
    <w:p>
      <w:pPr>
        <w:spacing w:after="0" w:line="7" w:lineRule="exact"/>
        <w:rPr>
          <w:sz w:val="20"/>
          <w:szCs w:val="20"/>
          <w:color w:val="auto"/>
        </w:rPr>
      </w:pPr>
    </w:p>
    <w:p>
      <w:pPr>
        <w:ind w:left="240"/>
        <w:spacing w:after="0"/>
        <w:tabs>
          <w:tab w:leader="none" w:pos="1340" w:val="left"/>
        </w:tabs>
        <w:rPr>
          <w:sz w:val="20"/>
          <w:szCs w:val="20"/>
          <w:color w:val="auto"/>
        </w:rPr>
      </w:pPr>
      <w:r>
        <w:rPr>
          <w:rFonts w:ascii="Courier New" w:cs="Courier New" w:eastAsia="Courier New" w:hAnsi="Courier New"/>
          <w:sz w:val="13"/>
          <w:szCs w:val="13"/>
          <w:b w:val="1"/>
          <w:bCs w:val="1"/>
          <w:color w:val="auto"/>
        </w:rPr>
        <w:t>Number</w:t>
      </w:r>
      <w:r>
        <w:rPr>
          <w:sz w:val="20"/>
          <w:szCs w:val="20"/>
          <w:color w:val="auto"/>
        </w:rPr>
        <w:tab/>
      </w:r>
      <w:r>
        <w:rPr>
          <w:rFonts w:ascii="Courier New" w:cs="Courier New" w:eastAsia="Courier New" w:hAnsi="Courier New"/>
          <w:sz w:val="13"/>
          <w:szCs w:val="13"/>
          <w:b w:val="1"/>
          <w:bCs w:val="1"/>
          <w:color w:val="auto"/>
        </w:rPr>
        <w:t>average exercise</w:t>
      </w:r>
    </w:p>
    <w:p>
      <w:pPr>
        <w:spacing w:after="0" w:line="7" w:lineRule="exact"/>
        <w:rPr>
          <w:sz w:val="20"/>
          <w:szCs w:val="20"/>
          <w:color w:val="auto"/>
        </w:rPr>
      </w:pPr>
    </w:p>
    <w:p>
      <w:pPr>
        <w:ind w:left="80"/>
        <w:spacing w:after="0"/>
        <w:tabs>
          <w:tab w:leader="none" w:pos="1820" w:val="left"/>
        </w:tabs>
        <w:rPr>
          <w:sz w:val="20"/>
          <w:szCs w:val="20"/>
          <w:color w:val="auto"/>
        </w:rPr>
      </w:pPr>
      <w:r>
        <w:rPr>
          <w:rFonts w:ascii="Courier New" w:cs="Courier New" w:eastAsia="Courier New" w:hAnsi="Courier New"/>
          <w:sz w:val="13"/>
          <w:szCs w:val="13"/>
          <w:b w:val="1"/>
          <w:bCs w:val="1"/>
          <w:color w:val="auto"/>
        </w:rPr>
        <w:t>exercisable</w:t>
      </w:r>
      <w:r>
        <w:rPr>
          <w:sz w:val="20"/>
          <w:szCs w:val="20"/>
          <w:color w:val="auto"/>
        </w:rPr>
        <w:tab/>
      </w:r>
      <w:r>
        <w:rPr>
          <w:rFonts w:ascii="Courier New" w:cs="Courier New" w:eastAsia="Courier New" w:hAnsi="Courier New"/>
          <w:sz w:val="13"/>
          <w:szCs w:val="13"/>
          <w:b w:val="1"/>
          <w:bCs w:val="1"/>
          <w:color w:val="auto"/>
        </w:rPr>
        <w:t>price</w:t>
      </w:r>
    </w:p>
    <w:p>
      <w:pPr>
        <w:spacing w:after="0" w:line="7"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3"/>
          <w:szCs w:val="13"/>
          <w:b w:val="1"/>
          <w:bCs w:val="1"/>
          <w:color w:val="auto"/>
        </w:rPr>
        <w:t>at 12/31/2002</w:t>
      </w:r>
      <w:r>
        <w:rPr>
          <w:sz w:val="20"/>
          <w:szCs w:val="20"/>
          <w:color w:val="auto"/>
        </w:rPr>
        <w:tab/>
      </w:r>
      <w:r>
        <w:rPr>
          <w:rFonts w:ascii="Courier New" w:cs="Courier New" w:eastAsia="Courier New" w:hAnsi="Courier New"/>
          <w:sz w:val="13"/>
          <w:szCs w:val="13"/>
          <w:b w:val="1"/>
          <w:bCs w:val="1"/>
          <w:color w:val="auto"/>
        </w:rPr>
        <w:t>per share</w:t>
      </w:r>
    </w:p>
    <w:p>
      <w:pPr>
        <w:spacing w:after="0" w:line="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3"/>
          <w:szCs w:val="13"/>
          <w:b w:val="1"/>
          <w:bCs w:val="1"/>
          <w:color w:val="auto"/>
        </w:rPr>
        <w:t>---------------</w:t>
        <w:tab/>
        <w:t>------------------</w:t>
      </w:r>
    </w:p>
    <w:p>
      <w:pPr>
        <w:sectPr>
          <w:pgSz w:w="11900" w:h="16838" w:orient="portrait"/>
          <w:cols w:equalWidth="0" w:num="3">
            <w:col w:w="2000" w:space="480"/>
            <w:col w:w="4340" w:space="240"/>
            <w:col w:w="3179"/>
          </w:cols>
          <w:pgMar w:left="220" w:top="141" w:right="1440" w:bottom="0" w:gutter="0" w:footer="0" w:header="0"/>
          <w:type w:val="continuous"/>
        </w:sectPr>
      </w:pPr>
    </w:p>
    <w:bookmarkStart w:id="36" w:name="page37"/>
    <w:bookmarkEnd w:id="36"/>
    <w:tbl>
      <w:tblPr>
        <w:tblLayout w:type="fixed"/>
        <w:tblInd w:w="480" w:type="dxa"/>
        <w:tblCellMar>
          <w:top w:w="0" w:type="dxa"/>
          <w:left w:w="0" w:type="dxa"/>
          <w:bottom w:w="0" w:type="dxa"/>
          <w:right w:w="0" w:type="dxa"/>
        </w:tblCellMar>
      </w:tblPr>
      <w:tr>
        <w:trPr>
          <w:trHeight w:val="149"/>
        </w:trPr>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$5.63</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3"/>
                <w:szCs w:val="13"/>
                <w:color w:val="auto"/>
              </w:rPr>
              <w:t>$6.50</w:t>
            </w:r>
          </w:p>
        </w:tc>
        <w:tc>
          <w:tcPr>
            <w:tcW w:w="1660" w:type="dxa"/>
            <w:vAlign w:val="bottom"/>
          </w:tcPr>
          <w:p>
            <w:pPr>
              <w:jc w:val="right"/>
              <w:ind w:right="653"/>
              <w:spacing w:after="0"/>
              <w:rPr>
                <w:sz w:val="20"/>
                <w:szCs w:val="20"/>
                <w:color w:val="auto"/>
              </w:rPr>
            </w:pPr>
            <w:r>
              <w:rPr>
                <w:rFonts w:ascii="Courier New" w:cs="Courier New" w:eastAsia="Courier New" w:hAnsi="Courier New"/>
                <w:sz w:val="13"/>
                <w:szCs w:val="13"/>
                <w:color w:val="auto"/>
              </w:rPr>
              <w:t>382</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6.5</w:t>
            </w:r>
          </w:p>
        </w:tc>
        <w:tc>
          <w:tcPr>
            <w:tcW w:w="680" w:type="dxa"/>
            <w:vAlign w:val="bottom"/>
          </w:tcPr>
          <w:p>
            <w:pPr>
              <w:ind w:left="40"/>
              <w:spacing w:after="0"/>
              <w:rPr>
                <w:sz w:val="20"/>
                <w:szCs w:val="20"/>
                <w:color w:val="auto"/>
              </w:rPr>
            </w:pPr>
            <w:r>
              <w:rPr>
                <w:rFonts w:ascii="Courier New" w:cs="Courier New" w:eastAsia="Courier New" w:hAnsi="Courier New"/>
                <w:sz w:val="13"/>
                <w:szCs w:val="13"/>
                <w:color w:val="auto"/>
              </w:rPr>
              <w:t>years</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5.98</w:t>
            </w:r>
          </w:p>
        </w:tc>
        <w:tc>
          <w:tcPr>
            <w:tcW w:w="1320" w:type="dxa"/>
            <w:vAlign w:val="bottom"/>
          </w:tcPr>
          <w:p>
            <w:pPr>
              <w:jc w:val="right"/>
              <w:ind w:right="453"/>
              <w:spacing w:after="0"/>
              <w:rPr>
                <w:sz w:val="20"/>
                <w:szCs w:val="20"/>
                <w:color w:val="auto"/>
              </w:rPr>
            </w:pPr>
            <w:r>
              <w:rPr>
                <w:rFonts w:ascii="Courier New" w:cs="Courier New" w:eastAsia="Courier New" w:hAnsi="Courier New"/>
                <w:sz w:val="13"/>
                <w:szCs w:val="13"/>
                <w:color w:val="auto"/>
              </w:rPr>
              <w:t>377</w:t>
            </w:r>
          </w:p>
        </w:tc>
        <w:tc>
          <w:tcPr>
            <w:tcW w:w="6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5.98</w:t>
            </w:r>
          </w:p>
        </w:tc>
      </w:tr>
      <w:tr>
        <w:trPr>
          <w:trHeight w:val="308"/>
        </w:trPr>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$7.63</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3"/>
                <w:szCs w:val="13"/>
                <w:color w:val="auto"/>
              </w:rPr>
              <w:t>$10.26</w:t>
            </w:r>
          </w:p>
        </w:tc>
        <w:tc>
          <w:tcPr>
            <w:tcW w:w="1660" w:type="dxa"/>
            <w:vAlign w:val="bottom"/>
          </w:tcPr>
          <w:p>
            <w:pPr>
              <w:jc w:val="right"/>
              <w:ind w:right="653"/>
              <w:spacing w:after="0"/>
              <w:rPr>
                <w:sz w:val="20"/>
                <w:szCs w:val="20"/>
                <w:color w:val="auto"/>
              </w:rPr>
            </w:pPr>
            <w:r>
              <w:rPr>
                <w:rFonts w:ascii="Courier New" w:cs="Courier New" w:eastAsia="Courier New" w:hAnsi="Courier New"/>
                <w:sz w:val="13"/>
                <w:szCs w:val="13"/>
                <w:color w:val="auto"/>
              </w:rPr>
              <w:t>936</w:t>
            </w: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8.3</w:t>
            </w:r>
          </w:p>
        </w:tc>
        <w:tc>
          <w:tcPr>
            <w:tcW w:w="680" w:type="dxa"/>
            <w:vAlign w:val="bottom"/>
          </w:tcPr>
          <w:p>
            <w:pPr>
              <w:ind w:left="40"/>
              <w:spacing w:after="0"/>
              <w:rPr>
                <w:sz w:val="20"/>
                <w:szCs w:val="20"/>
                <w:color w:val="auto"/>
              </w:rPr>
            </w:pPr>
            <w:r>
              <w:rPr>
                <w:rFonts w:ascii="Courier New" w:cs="Courier New" w:eastAsia="Courier New" w:hAnsi="Courier New"/>
                <w:sz w:val="13"/>
                <w:szCs w:val="13"/>
                <w:color w:val="auto"/>
              </w:rPr>
              <w:t>years</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7.79</w:t>
            </w:r>
          </w:p>
        </w:tc>
        <w:tc>
          <w:tcPr>
            <w:tcW w:w="1320" w:type="dxa"/>
            <w:vAlign w:val="bottom"/>
          </w:tcPr>
          <w:p>
            <w:pPr>
              <w:jc w:val="right"/>
              <w:ind w:right="453"/>
              <w:spacing w:after="0"/>
              <w:rPr>
                <w:sz w:val="20"/>
                <w:szCs w:val="20"/>
                <w:color w:val="auto"/>
              </w:rPr>
            </w:pPr>
            <w:r>
              <w:rPr>
                <w:rFonts w:ascii="Courier New" w:cs="Courier New" w:eastAsia="Courier New" w:hAnsi="Courier New"/>
                <w:sz w:val="13"/>
                <w:szCs w:val="13"/>
                <w:color w:val="auto"/>
              </w:rPr>
              <w:t>510</w:t>
            </w:r>
          </w:p>
        </w:tc>
        <w:tc>
          <w:tcPr>
            <w:tcW w:w="68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7.79</w:t>
            </w:r>
          </w:p>
        </w:tc>
      </w:tr>
    </w:tbl>
    <w:p>
      <w:pPr>
        <w:spacing w:after="0" w:line="159" w:lineRule="exact"/>
        <w:rPr>
          <w:sz w:val="20"/>
          <w:szCs w:val="20"/>
          <w:color w:val="auto"/>
        </w:rPr>
      </w:pPr>
    </w:p>
    <w:p>
      <w:pPr>
        <w:ind w:left="560" w:right="3840"/>
        <w:spacing w:after="0" w:line="251" w:lineRule="auto"/>
        <w:rPr>
          <w:sz w:val="20"/>
          <w:szCs w:val="20"/>
          <w:color w:val="auto"/>
        </w:rPr>
      </w:pPr>
      <w:r>
        <w:rPr>
          <w:rFonts w:ascii="Courier New" w:cs="Courier New" w:eastAsia="Courier New" w:hAnsi="Courier New"/>
          <w:sz w:val="13"/>
          <w:szCs w:val="13"/>
          <w:color w:val="auto"/>
        </w:rPr>
        <w:t>All options granted in the period January 1, 1999 through December 31, 2002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vest 20% - 33%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w:t>
      </w:r>
    </w:p>
    <w:p>
      <w:pPr>
        <w:spacing w:after="0" w:line="156" w:lineRule="exact"/>
        <w:rPr>
          <w:sz w:val="20"/>
          <w:szCs w:val="20"/>
          <w:color w:val="auto"/>
        </w:rPr>
      </w:pPr>
    </w:p>
    <w:p>
      <w:pPr>
        <w:jc w:val="right"/>
        <w:ind w:right="384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560" w:right="4080"/>
        <w:spacing w:after="0" w:line="251" w:lineRule="auto"/>
        <w:rPr>
          <w:sz w:val="20"/>
          <w:szCs w:val="20"/>
          <w:color w:val="auto"/>
        </w:rPr>
      </w:pPr>
      <w:r>
        <w:rPr>
          <w:rFonts w:ascii="Courier New" w:cs="Courier New" w:eastAsia="Courier New" w:hAnsi="Courier New"/>
          <w:sz w:val="13"/>
          <w:szCs w:val="13"/>
          <w:color w:val="auto"/>
        </w:rPr>
        <w:t>requirements. These options, which were fully vested as of the effective date of FASB Interpretation No. 44, are treated under variable accounting. Accordingly, compensation expense will be recognized, to the extent the market price of the Company's stock exceeds $10.50. The Company recognized a reduction of compensation expense of $108 during 2002 and an increase to compensation expense of $108 during 2001 related to these options.</w:t>
      </w:r>
    </w:p>
    <w:p>
      <w:pPr>
        <w:spacing w:after="0" w:line="156" w:lineRule="exact"/>
        <w:rPr>
          <w:sz w:val="20"/>
          <w:szCs w:val="20"/>
          <w:color w:val="auto"/>
        </w:rPr>
      </w:pPr>
    </w:p>
    <w:p>
      <w:pPr>
        <w:ind w:left="560" w:right="3840"/>
        <w:spacing w:after="0" w:line="251" w:lineRule="auto"/>
        <w:rPr>
          <w:sz w:val="20"/>
          <w:szCs w:val="20"/>
          <w:color w:val="auto"/>
        </w:rPr>
      </w:pPr>
      <w:r>
        <w:rPr>
          <w:rFonts w:ascii="Courier New" w:cs="Courier New" w:eastAsia="Courier New" w:hAnsi="Courier New"/>
          <w:sz w:val="13"/>
          <w:szCs w:val="13"/>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2002.</w:t>
      </w:r>
    </w:p>
    <w:p>
      <w:pPr>
        <w:spacing w:after="0" w:line="310" w:lineRule="exact"/>
        <w:rPr>
          <w:sz w:val="20"/>
          <w:szCs w:val="20"/>
          <w:color w:val="auto"/>
        </w:rPr>
      </w:pPr>
    </w:p>
    <w:p>
      <w:pPr>
        <w:ind w:left="560" w:hanging="558"/>
        <w:spacing w:after="0"/>
        <w:tabs>
          <w:tab w:leader="none" w:pos="560" w:val="left"/>
        </w:tabs>
        <w:numPr>
          <w:ilvl w:val="0"/>
          <w:numId w:val="20"/>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Segment Information (Restated)</w:t>
      </w:r>
    </w:p>
    <w:p>
      <w:pPr>
        <w:spacing w:after="0" w:line="315" w:lineRule="exact"/>
        <w:rPr>
          <w:rFonts w:ascii="Courier New" w:cs="Courier New" w:eastAsia="Courier New" w:hAnsi="Courier New"/>
          <w:sz w:val="13"/>
          <w:szCs w:val="13"/>
          <w:b w:val="1"/>
          <w:bCs w:val="1"/>
          <w:color w:val="auto"/>
        </w:rPr>
      </w:pPr>
    </w:p>
    <w:p>
      <w:pPr>
        <w:ind w:left="560" w:right="384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Company determined its reportable segments under the provisions of SFAS No. 131, "Disclosures about Segments of an Enterprise and Related Information".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acquired in July 2000,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 is comprised of five facilities: two located in Lubbock, Texas, which represents the IMC business acquired in July 1999; two facilities located in Danielson, Connecticut, which represents the Delta business acquired in February 2001, and one facility located in Guadalajara, Mexico, which represents the NN-Arte business.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312" w:lineRule="exact"/>
        <w:rPr>
          <w:rFonts w:ascii="Courier New" w:cs="Courier New" w:eastAsia="Courier New" w:hAnsi="Courier New"/>
          <w:sz w:val="13"/>
          <w:szCs w:val="13"/>
          <w:b w:val="1"/>
          <w:bCs w:val="1"/>
          <w:color w:val="auto"/>
        </w:rPr>
      </w:pPr>
    </w:p>
    <w:p>
      <w:pPr>
        <w:ind w:left="560" w:right="3920"/>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accounting policies of the segments are the same as those described in the summary of significant accounting policies. The Company evaluates segment performance based on profit or loss from operations after income taxes not including nonrecurring gains and losses. The Company accounts for intersegment sales and transfers at current market prices; however, the Company did not have any material intersegment transactions during 2002, 2001 or 2000.</w:t>
      </w:r>
    </w:p>
    <w:p>
      <w:pPr>
        <w:spacing w:after="0" w:line="15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2700" w:type="dxa"/>
            <w:vAlign w:val="bottom"/>
            <w:gridSpan w:val="3"/>
          </w:tcPr>
          <w:p>
            <w:pPr>
              <w:jc w:val="right"/>
              <w:ind w:right="653"/>
              <w:spacing w:after="0"/>
              <w:rPr>
                <w:sz w:val="20"/>
                <w:szCs w:val="20"/>
                <w:color w:val="auto"/>
              </w:rPr>
            </w:pPr>
            <w:r>
              <w:rPr>
                <w:rFonts w:ascii="Courier New" w:cs="Courier New" w:eastAsia="Courier New" w:hAnsi="Courier New"/>
                <w:sz w:val="13"/>
                <w:szCs w:val="13"/>
                <w:b w:val="1"/>
                <w:bCs w:val="1"/>
                <w:color w:val="auto"/>
              </w:rPr>
              <w:t>December 31, 2002</w:t>
            </w:r>
          </w:p>
        </w:tc>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December 31, 2001</w:t>
            </w:r>
          </w:p>
        </w:tc>
        <w:tc>
          <w:tcPr>
            <w:tcW w:w="720" w:type="dxa"/>
            <w:vAlign w:val="bottom"/>
          </w:tcPr>
          <w:p>
            <w:pPr>
              <w:spacing w:after="0"/>
              <w:rPr>
                <w:sz w:val="12"/>
                <w:szCs w:val="12"/>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December 31, 2000</w:t>
            </w:r>
          </w:p>
        </w:tc>
        <w:tc>
          <w:tcPr>
            <w:tcW w:w="840" w:type="dxa"/>
            <w:vAlign w:val="bottom"/>
          </w:tcPr>
          <w:p>
            <w:pPr>
              <w:spacing w:after="0"/>
              <w:rPr>
                <w:sz w:val="12"/>
                <w:szCs w:val="12"/>
                <w:color w:val="auto"/>
              </w:rPr>
            </w:pPr>
          </w:p>
        </w:tc>
      </w:tr>
      <w:tr>
        <w:trPr>
          <w:trHeight w:val="154"/>
        </w:trPr>
        <w:tc>
          <w:tcPr>
            <w:tcW w:w="9700" w:type="dxa"/>
            <w:vAlign w:val="bottom"/>
            <w:gridSpan w:val="10"/>
          </w:tcPr>
          <w:p>
            <w:pPr>
              <w:ind w:left="1200"/>
              <w:spacing w:after="0"/>
              <w:rPr>
                <w:sz w:val="20"/>
                <w:szCs w:val="20"/>
                <w:color w:val="auto"/>
              </w:rPr>
            </w:pPr>
            <w:r>
              <w:rPr>
                <w:rFonts w:ascii="Courier New" w:cs="Courier New" w:eastAsia="Courier New" w:hAnsi="Courier New"/>
                <w:sz w:val="13"/>
                <w:szCs w:val="13"/>
                <w:b w:val="1"/>
                <w:bCs w:val="1"/>
                <w:color w:val="auto"/>
              </w:rPr>
              <w:t>----------------------------------- ----------------------------------------------------------------------</w:t>
            </w:r>
          </w:p>
        </w:tc>
      </w:tr>
      <w:tr>
        <w:trPr>
          <w:trHeight w:val="154"/>
        </w:trPr>
        <w:tc>
          <w:tcPr>
            <w:tcW w:w="1320" w:type="dxa"/>
            <w:vAlign w:val="bottom"/>
          </w:tcPr>
          <w:p>
            <w:pPr>
              <w:spacing w:after="0"/>
              <w:rPr>
                <w:sz w:val="13"/>
                <w:szCs w:val="13"/>
                <w:color w:val="auto"/>
              </w:rPr>
            </w:pPr>
          </w:p>
        </w:tc>
        <w:tc>
          <w:tcPr>
            <w:tcW w:w="1000" w:type="dxa"/>
            <w:vAlign w:val="bottom"/>
          </w:tcPr>
          <w:p>
            <w:pPr>
              <w:jc w:val="center"/>
              <w:ind w:right="213"/>
              <w:spacing w:after="0"/>
              <w:rPr>
                <w:sz w:val="20"/>
                <w:szCs w:val="20"/>
                <w:color w:val="auto"/>
              </w:rPr>
            </w:pPr>
            <w:r>
              <w:rPr>
                <w:rFonts w:ascii="Courier New" w:cs="Courier New" w:eastAsia="Courier New" w:hAnsi="Courier New"/>
                <w:sz w:val="13"/>
                <w:szCs w:val="13"/>
                <w:b w:val="1"/>
                <w:bCs w:val="1"/>
                <w:color w:val="auto"/>
              </w:rPr>
              <w:t>Restated</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spacing w:after="0"/>
              <w:rPr>
                <w:sz w:val="13"/>
                <w:szCs w:val="13"/>
                <w:color w:val="auto"/>
              </w:rPr>
            </w:pPr>
          </w:p>
        </w:tc>
        <w:tc>
          <w:tcPr>
            <w:tcW w:w="1000" w:type="dxa"/>
            <w:vAlign w:val="bottom"/>
          </w:tcPr>
          <w:p>
            <w:pPr>
              <w:jc w:val="center"/>
              <w:ind w:right="213"/>
              <w:spacing w:after="0"/>
              <w:rPr>
                <w:sz w:val="20"/>
                <w:szCs w:val="20"/>
                <w:color w:val="auto"/>
              </w:rPr>
            </w:pPr>
            <w:r>
              <w:rPr>
                <w:rFonts w:ascii="Courier New" w:cs="Courier New" w:eastAsia="Courier New" w:hAnsi="Courier New"/>
                <w:sz w:val="13"/>
                <w:szCs w:val="13"/>
                <w:b w:val="1"/>
                <w:bCs w:val="1"/>
                <w:color w:val="auto"/>
              </w:rPr>
              <w:t>Domestic</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Courier New" w:cs="Courier New" w:eastAsia="Courier New" w:hAnsi="Courier New"/>
                <w:sz w:val="13"/>
                <w:szCs w:val="13"/>
                <w:b w:val="1"/>
                <w:bCs w:val="1"/>
                <w:color w:val="auto"/>
              </w:rPr>
              <w:t>Domestic</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Domestic</w:t>
            </w: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spacing w:after="0"/>
              <w:rPr>
                <w:sz w:val="13"/>
                <w:szCs w:val="13"/>
                <w:color w:val="auto"/>
              </w:rPr>
            </w:pPr>
          </w:p>
        </w:tc>
        <w:tc>
          <w:tcPr>
            <w:tcW w:w="1000" w:type="dxa"/>
            <w:vAlign w:val="bottom"/>
          </w:tcPr>
          <w:p>
            <w:pPr>
              <w:jc w:val="center"/>
              <w:ind w:right="213"/>
              <w:spacing w:after="0"/>
              <w:rPr>
                <w:sz w:val="20"/>
                <w:szCs w:val="20"/>
                <w:color w:val="auto"/>
              </w:rPr>
            </w:pPr>
            <w:r>
              <w:rPr>
                <w:rFonts w:ascii="Courier New" w:cs="Courier New" w:eastAsia="Courier New" w:hAnsi="Courier New"/>
                <w:sz w:val="13"/>
                <w:szCs w:val="13"/>
                <w:b w:val="1"/>
                <w:bCs w:val="1"/>
                <w:color w:val="auto"/>
              </w:rPr>
              <w:t>Ball and</w:t>
            </w:r>
          </w:p>
        </w:tc>
        <w:tc>
          <w:tcPr>
            <w:tcW w:w="9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Restated</w:t>
            </w:r>
          </w:p>
        </w:tc>
        <w:tc>
          <w:tcPr>
            <w:tcW w:w="80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Courier New" w:cs="Courier New" w:eastAsia="Courier New" w:hAnsi="Courier New"/>
                <w:sz w:val="13"/>
                <w:szCs w:val="13"/>
                <w:b w:val="1"/>
                <w:bCs w:val="1"/>
                <w:color w:val="auto"/>
              </w:rPr>
              <w:t>Ball and</w:t>
            </w:r>
          </w:p>
        </w:tc>
        <w:tc>
          <w:tcPr>
            <w:tcW w:w="108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Restated</w:t>
            </w:r>
          </w:p>
        </w:tc>
        <w:tc>
          <w:tcPr>
            <w:tcW w:w="7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Ball and</w:t>
            </w:r>
          </w:p>
        </w:tc>
        <w:tc>
          <w:tcPr>
            <w:tcW w:w="120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Restated</w:t>
            </w:r>
          </w:p>
        </w:tc>
        <w:tc>
          <w:tcPr>
            <w:tcW w:w="840" w:type="dxa"/>
            <w:vAlign w:val="bottom"/>
          </w:tcPr>
          <w:p>
            <w:pPr>
              <w:spacing w:after="0"/>
              <w:rPr>
                <w:sz w:val="13"/>
                <w:szCs w:val="13"/>
                <w:color w:val="auto"/>
              </w:rPr>
            </w:pPr>
          </w:p>
        </w:tc>
      </w:tr>
      <w:tr>
        <w:trPr>
          <w:trHeight w:val="154"/>
        </w:trPr>
        <w:tc>
          <w:tcPr>
            <w:tcW w:w="1320" w:type="dxa"/>
            <w:vAlign w:val="bottom"/>
          </w:tcPr>
          <w:p>
            <w:pPr>
              <w:spacing w:after="0"/>
              <w:rPr>
                <w:sz w:val="13"/>
                <w:szCs w:val="13"/>
                <w:color w:val="auto"/>
              </w:rPr>
            </w:pPr>
          </w:p>
        </w:tc>
        <w:tc>
          <w:tcPr>
            <w:tcW w:w="1000" w:type="dxa"/>
            <w:vAlign w:val="bottom"/>
          </w:tcPr>
          <w:p>
            <w:pPr>
              <w:jc w:val="center"/>
              <w:ind w:right="213"/>
              <w:spacing w:after="0"/>
              <w:rPr>
                <w:sz w:val="20"/>
                <w:szCs w:val="20"/>
                <w:color w:val="auto"/>
              </w:rPr>
            </w:pPr>
            <w:r>
              <w:rPr>
                <w:rFonts w:ascii="Courier New" w:cs="Courier New" w:eastAsia="Courier New" w:hAnsi="Courier New"/>
                <w:sz w:val="13"/>
                <w:szCs w:val="13"/>
                <w:b w:val="1"/>
                <w:bCs w:val="1"/>
                <w:color w:val="auto"/>
              </w:rPr>
              <w:t>Roller</w:t>
            </w:r>
          </w:p>
        </w:tc>
        <w:tc>
          <w:tcPr>
            <w:tcW w:w="9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Euroball</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w w:val="99"/>
              </w:rPr>
              <w:t>Plastics</w:t>
            </w:r>
          </w:p>
        </w:tc>
        <w:tc>
          <w:tcPr>
            <w:tcW w:w="920" w:type="dxa"/>
            <w:vAlign w:val="bottom"/>
          </w:tcPr>
          <w:p>
            <w:pPr>
              <w:jc w:val="center"/>
              <w:ind w:right="53"/>
              <w:spacing w:after="0"/>
              <w:rPr>
                <w:sz w:val="20"/>
                <w:szCs w:val="20"/>
                <w:color w:val="auto"/>
              </w:rPr>
            </w:pPr>
            <w:r>
              <w:rPr>
                <w:rFonts w:ascii="Courier New" w:cs="Courier New" w:eastAsia="Courier New" w:hAnsi="Courier New"/>
                <w:sz w:val="13"/>
                <w:szCs w:val="13"/>
                <w:b w:val="1"/>
                <w:bCs w:val="1"/>
                <w:color w:val="auto"/>
              </w:rPr>
              <w:t>Roller</w:t>
            </w:r>
          </w:p>
        </w:tc>
        <w:tc>
          <w:tcPr>
            <w:tcW w:w="108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Euroball</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w w:val="99"/>
              </w:rPr>
              <w:t>Plastics</w:t>
            </w:r>
          </w:p>
        </w:tc>
        <w:tc>
          <w:tcPr>
            <w:tcW w:w="920" w:type="dxa"/>
            <w:vAlign w:val="bottom"/>
          </w:tcPr>
          <w:p>
            <w:pPr>
              <w:jc w:val="center"/>
              <w:spacing w:after="0"/>
              <w:rPr>
                <w:sz w:val="20"/>
                <w:szCs w:val="20"/>
                <w:color w:val="auto"/>
              </w:rPr>
            </w:pPr>
            <w:r>
              <w:rPr>
                <w:rFonts w:ascii="Courier New" w:cs="Courier New" w:eastAsia="Courier New" w:hAnsi="Courier New"/>
                <w:sz w:val="13"/>
                <w:szCs w:val="13"/>
                <w:b w:val="1"/>
                <w:bCs w:val="1"/>
                <w:color w:val="auto"/>
              </w:rPr>
              <w:t>Roller</w:t>
            </w:r>
          </w:p>
        </w:tc>
        <w:tc>
          <w:tcPr>
            <w:tcW w:w="120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Euroball</w:t>
            </w: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Plastics</w:t>
            </w:r>
          </w:p>
        </w:tc>
      </w:tr>
      <w:tr>
        <w:trPr>
          <w:trHeight w:val="154"/>
        </w:trPr>
        <w:tc>
          <w:tcPr>
            <w:tcW w:w="9700" w:type="dxa"/>
            <w:vAlign w:val="bottom"/>
            <w:gridSpan w:val="10"/>
          </w:tcPr>
          <w:p>
            <w:pPr>
              <w:ind w:left="1200"/>
              <w:spacing w:after="0"/>
              <w:rPr>
                <w:sz w:val="20"/>
                <w:szCs w:val="20"/>
                <w:color w:val="auto"/>
              </w:rPr>
            </w:pPr>
            <w:r>
              <w:rPr>
                <w:rFonts w:ascii="Courier New" w:cs="Courier New" w:eastAsia="Courier New" w:hAnsi="Courier New"/>
                <w:sz w:val="13"/>
                <w:szCs w:val="13"/>
                <w:b w:val="1"/>
                <w:bCs w:val="1"/>
                <w:color w:val="auto"/>
              </w:rPr>
              <w:t>----------------------------------- ---------- -----------------------------------------------------------</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$52,634</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$90,653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$49,569</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$52,692</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$86,719</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$40,740</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67,637</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$33,988</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$30,504</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109</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923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1,419</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237</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1,765</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2,194</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385</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622</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766</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Depreciation &amp;</w:t>
            </w: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amortization</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3,732</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4,780</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2,700</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4,439</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5,236</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3,475</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4,796</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2,123</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2,246</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Income tax</w:t>
            </w: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expense</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2,595</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3,855</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2,435</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2,474</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(815)</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4,284</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1,408</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267</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Segment profit</w:t>
            </w: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(loss)</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2,272</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3,313</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2,175</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4,498</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1,962</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(1,798)</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8,314</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775</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898</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Segment assets</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58,825</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78,846</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57,544</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62,978</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65,778</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55,721</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62,574</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87,535</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33,842</w:t>
            </w:r>
          </w:p>
        </w:tc>
      </w:tr>
      <w:tr>
        <w:trPr>
          <w:trHeight w:val="154"/>
        </w:trPr>
        <w:tc>
          <w:tcPr>
            <w:tcW w:w="1320" w:type="dxa"/>
            <w:vAlign w:val="bottom"/>
          </w:tcPr>
          <w:p>
            <w:pPr>
              <w:spacing w:after="0"/>
              <w:rPr>
                <w:sz w:val="20"/>
                <w:szCs w:val="20"/>
                <w:color w:val="auto"/>
              </w:rPr>
            </w:pPr>
            <w:r>
              <w:rPr>
                <w:rFonts w:ascii="Courier New" w:cs="Courier New" w:eastAsia="Courier New" w:hAnsi="Courier New"/>
                <w:sz w:val="13"/>
                <w:szCs w:val="13"/>
                <w:color w:val="auto"/>
              </w:rPr>
              <w:t>Expenditures for</w:t>
            </w: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long- lived</w:t>
            </w: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1320" w:type="dxa"/>
            <w:vAlign w:val="bottom"/>
          </w:tcPr>
          <w:p>
            <w:pPr>
              <w:ind w:left="320"/>
              <w:spacing w:after="0"/>
              <w:rPr>
                <w:sz w:val="20"/>
                <w:szCs w:val="20"/>
                <w:color w:val="auto"/>
              </w:rPr>
            </w:pPr>
            <w:r>
              <w:rPr>
                <w:rFonts w:ascii="Courier New" w:cs="Courier New" w:eastAsia="Courier New" w:hAnsi="Courier New"/>
                <w:sz w:val="13"/>
                <w:szCs w:val="13"/>
                <w:color w:val="auto"/>
              </w:rPr>
              <w:t>assets</w:t>
            </w:r>
          </w:p>
        </w:tc>
        <w:tc>
          <w:tcPr>
            <w:tcW w:w="10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1,778</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3,452</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2,361</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1,117</w:t>
            </w:r>
          </w:p>
        </w:tc>
        <w:tc>
          <w:tcPr>
            <w:tcW w:w="10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3,537</w:t>
            </w:r>
          </w:p>
        </w:tc>
        <w:tc>
          <w:tcPr>
            <w:tcW w:w="7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1,660</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9,319</w:t>
            </w:r>
          </w:p>
        </w:tc>
        <w:tc>
          <w:tcPr>
            <w:tcW w:w="12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3,737</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4,854</w:t>
            </w:r>
          </w:p>
        </w:tc>
      </w:tr>
    </w:tbl>
    <w:p>
      <w:pPr>
        <w:spacing w:after="0" w:line="313" w:lineRule="exact"/>
        <w:rPr>
          <w:sz w:val="20"/>
          <w:szCs w:val="20"/>
          <w:color w:val="auto"/>
        </w:rPr>
      </w:pPr>
    </w:p>
    <w:p>
      <w:pPr>
        <w:jc w:val="right"/>
        <w:ind w:right="384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60"/>
          </w:cols>
          <w:pgMar w:left="220" w:top="295" w:right="1419" w:bottom="275" w:gutter="0" w:footer="0" w:header="0"/>
        </w:sectPr>
      </w:pPr>
    </w:p>
    <w:bookmarkStart w:id="37" w:name="page38"/>
    <w:bookmarkEnd w:id="37"/>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right="3819"/>
        <w:spacing w:after="0" w:line="254" w:lineRule="auto"/>
        <w:rPr>
          <w:sz w:val="20"/>
          <w:szCs w:val="20"/>
          <w:color w:val="auto"/>
        </w:rPr>
      </w:pPr>
      <w:r>
        <w:rPr>
          <w:rFonts w:ascii="Courier New" w:cs="Courier New" w:eastAsia="Courier New" w:hAnsi="Courier New"/>
          <w:sz w:val="13"/>
          <w:szCs w:val="13"/>
          <w:color w:val="auto"/>
        </w:rPr>
        <w:t>Sales to external customers and long-lived assets utilized by the Company were concentrated in the following geographical regions:</w:t>
      </w:r>
    </w:p>
    <w:p>
      <w:pPr>
        <w:spacing w:after="0" w:line="200" w:lineRule="exact"/>
        <w:rPr>
          <w:sz w:val="20"/>
          <w:szCs w:val="20"/>
          <w:color w:val="auto"/>
        </w:rPr>
      </w:pP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2860" w:type="dxa"/>
            <w:vAlign w:val="bottom"/>
            <w:gridSpan w:val="2"/>
          </w:tcPr>
          <w:p>
            <w:pPr>
              <w:jc w:val="right"/>
              <w:ind w:right="693"/>
              <w:spacing w:after="0"/>
              <w:rPr>
                <w:sz w:val="20"/>
                <w:szCs w:val="20"/>
                <w:color w:val="auto"/>
              </w:rPr>
            </w:pPr>
            <w:r>
              <w:rPr>
                <w:rFonts w:ascii="Courier New" w:cs="Courier New" w:eastAsia="Courier New" w:hAnsi="Courier New"/>
                <w:sz w:val="13"/>
                <w:szCs w:val="13"/>
                <w:b w:val="1"/>
                <w:bCs w:val="1"/>
                <w:color w:val="auto"/>
              </w:rPr>
              <w:t>December 31, 2002</w:t>
            </w:r>
          </w:p>
        </w:tc>
        <w:tc>
          <w:tcPr>
            <w:tcW w:w="2520" w:type="dxa"/>
            <w:vAlign w:val="bottom"/>
            <w:gridSpan w:val="2"/>
          </w:tcPr>
          <w:p>
            <w:pPr>
              <w:jc w:val="right"/>
              <w:ind w:right="573"/>
              <w:spacing w:after="0"/>
              <w:rPr>
                <w:sz w:val="20"/>
                <w:szCs w:val="20"/>
                <w:color w:val="auto"/>
              </w:rPr>
            </w:pPr>
            <w:r>
              <w:rPr>
                <w:rFonts w:ascii="Courier New" w:cs="Courier New" w:eastAsia="Courier New" w:hAnsi="Courier New"/>
                <w:sz w:val="13"/>
                <w:szCs w:val="13"/>
                <w:b w:val="1"/>
                <w:bCs w:val="1"/>
                <w:color w:val="auto"/>
              </w:rPr>
              <w:t>December 31, 2001</w:t>
            </w:r>
          </w:p>
        </w:tc>
        <w:tc>
          <w:tcPr>
            <w:tcW w:w="2320" w:type="dxa"/>
            <w:vAlign w:val="bottom"/>
            <w:gridSpan w:val="2"/>
          </w:tcPr>
          <w:p>
            <w:pPr>
              <w:jc w:val="right"/>
              <w:ind w:right="413"/>
              <w:spacing w:after="0"/>
              <w:rPr>
                <w:sz w:val="20"/>
                <w:szCs w:val="20"/>
                <w:color w:val="auto"/>
              </w:rPr>
            </w:pPr>
            <w:r>
              <w:rPr>
                <w:rFonts w:ascii="Courier New" w:cs="Courier New" w:eastAsia="Courier New" w:hAnsi="Courier New"/>
                <w:sz w:val="13"/>
                <w:szCs w:val="13"/>
                <w:b w:val="1"/>
                <w:bCs w:val="1"/>
                <w:color w:val="auto"/>
              </w:rPr>
              <w:t>December 31, 2000</w:t>
            </w:r>
          </w:p>
        </w:tc>
      </w:tr>
      <w:tr>
        <w:trPr>
          <w:trHeight w:val="154"/>
        </w:trPr>
        <w:tc>
          <w:tcPr>
            <w:tcW w:w="1920" w:type="dxa"/>
            <w:vAlign w:val="bottom"/>
          </w:tcPr>
          <w:p>
            <w:pPr>
              <w:spacing w:after="0"/>
              <w:rPr>
                <w:sz w:val="13"/>
                <w:szCs w:val="13"/>
                <w:color w:val="auto"/>
              </w:rPr>
            </w:pPr>
          </w:p>
        </w:tc>
        <w:tc>
          <w:tcPr>
            <w:tcW w:w="2860" w:type="dxa"/>
            <w:vAlign w:val="bottom"/>
            <w:gridSpan w:val="2"/>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252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1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jc w:val="right"/>
              <w:ind w:right="213"/>
              <w:spacing w:after="0"/>
              <w:rPr>
                <w:sz w:val="20"/>
                <w:szCs w:val="20"/>
                <w:color w:val="auto"/>
              </w:rPr>
            </w:pPr>
            <w:r>
              <w:rPr>
                <w:rFonts w:ascii="Courier New" w:cs="Courier New" w:eastAsia="Courier New" w:hAnsi="Courier New"/>
                <w:sz w:val="13"/>
                <w:szCs w:val="13"/>
                <w:b w:val="1"/>
                <w:bCs w:val="1"/>
                <w:color w:val="auto"/>
              </w:rPr>
              <w:t>Long-lived</w:t>
            </w:r>
          </w:p>
        </w:tc>
        <w:tc>
          <w:tcPr>
            <w:tcW w:w="1320" w:type="dxa"/>
            <w:vAlign w:val="bottom"/>
          </w:tcPr>
          <w:p>
            <w:pPr>
              <w:spacing w:after="0"/>
              <w:rPr>
                <w:sz w:val="13"/>
                <w:szCs w:val="13"/>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b w:val="1"/>
                <w:bCs w:val="1"/>
                <w:color w:val="auto"/>
              </w:rPr>
              <w:t>Long-lived</w:t>
            </w:r>
          </w:p>
        </w:tc>
        <w:tc>
          <w:tcPr>
            <w:tcW w:w="1200" w:type="dxa"/>
            <w:vAlign w:val="bottom"/>
          </w:tcPr>
          <w:p>
            <w:pPr>
              <w:spacing w:after="0"/>
              <w:rPr>
                <w:sz w:val="13"/>
                <w:szCs w:val="13"/>
                <w:color w:val="auto"/>
              </w:rPr>
            </w:pP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Long-lived</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Sales</w:t>
            </w:r>
          </w:p>
        </w:tc>
        <w:tc>
          <w:tcPr>
            <w:tcW w:w="1160" w:type="dxa"/>
            <w:vAlign w:val="bottom"/>
          </w:tcPr>
          <w:p>
            <w:pPr>
              <w:jc w:val="right"/>
              <w:ind w:right="373"/>
              <w:spacing w:after="0"/>
              <w:rPr>
                <w:sz w:val="20"/>
                <w:szCs w:val="20"/>
                <w:color w:val="auto"/>
              </w:rPr>
            </w:pPr>
            <w:r>
              <w:rPr>
                <w:rFonts w:ascii="Courier New" w:cs="Courier New" w:eastAsia="Courier New" w:hAnsi="Courier New"/>
                <w:sz w:val="13"/>
                <w:szCs w:val="13"/>
                <w:b w:val="1"/>
                <w:bCs w:val="1"/>
                <w:color w:val="auto"/>
              </w:rPr>
              <w:t>assets</w:t>
            </w:r>
          </w:p>
        </w:tc>
        <w:tc>
          <w:tcPr>
            <w:tcW w:w="132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Sales</w:t>
            </w:r>
          </w:p>
        </w:tc>
        <w:tc>
          <w:tcPr>
            <w:tcW w:w="1200" w:type="dxa"/>
            <w:vAlign w:val="bottom"/>
          </w:tcPr>
          <w:p>
            <w:pPr>
              <w:jc w:val="right"/>
              <w:ind w:right="333"/>
              <w:spacing w:after="0"/>
              <w:rPr>
                <w:sz w:val="20"/>
                <w:szCs w:val="20"/>
                <w:color w:val="auto"/>
              </w:rPr>
            </w:pPr>
            <w:r>
              <w:rPr>
                <w:rFonts w:ascii="Courier New" w:cs="Courier New" w:eastAsia="Courier New" w:hAnsi="Courier New"/>
                <w:sz w:val="13"/>
                <w:szCs w:val="13"/>
                <w:b w:val="1"/>
                <w:bCs w:val="1"/>
                <w:color w:val="auto"/>
              </w:rPr>
              <w:t>assets</w:t>
            </w:r>
          </w:p>
        </w:tc>
        <w:tc>
          <w:tcPr>
            <w:tcW w:w="120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Sales</w:t>
            </w:r>
          </w:p>
        </w:tc>
        <w:tc>
          <w:tcPr>
            <w:tcW w:w="1120" w:type="dxa"/>
            <w:vAlign w:val="bottom"/>
          </w:tcPr>
          <w:p>
            <w:pPr>
              <w:jc w:val="right"/>
              <w:ind w:right="253"/>
              <w:spacing w:after="0"/>
              <w:rPr>
                <w:sz w:val="20"/>
                <w:szCs w:val="20"/>
                <w:color w:val="auto"/>
              </w:rPr>
            </w:pPr>
            <w:r>
              <w:rPr>
                <w:rFonts w:ascii="Courier New" w:cs="Courier New" w:eastAsia="Courier New" w:hAnsi="Courier New"/>
                <w:sz w:val="13"/>
                <w:szCs w:val="13"/>
                <w:b w:val="1"/>
                <w:bCs w:val="1"/>
                <w:color w:val="auto"/>
              </w:rPr>
              <w:t>assets</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United States</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$68,485</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$35,582</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$ 59,813</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$38,900</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$62,094</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$44,137</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Europe</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89,750</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51,674</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88,649</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42,799</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46,697</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46,216</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Canada</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10,598</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8,278</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6,449</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Latin/S.America</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8,450</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943</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8,157</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1,071</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6,100</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1,340</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Other export</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15,573</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15,254</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10,789</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1920" w:type="dxa"/>
            <w:vAlign w:val="bottom"/>
          </w:tcPr>
          <w:p>
            <w:pPr>
              <w:spacing w:after="0"/>
              <w:rPr>
                <w:sz w:val="20"/>
                <w:szCs w:val="20"/>
                <w:color w:val="auto"/>
              </w:rPr>
            </w:pPr>
            <w:r>
              <w:rPr>
                <w:rFonts w:ascii="Courier New" w:cs="Courier New" w:eastAsia="Courier New" w:hAnsi="Courier New"/>
                <w:sz w:val="13"/>
                <w:szCs w:val="13"/>
                <w:color w:val="auto"/>
              </w:rPr>
              <w:t>All foreign countries</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124,371</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52,617</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120,338</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43,870</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70,035</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47,556</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1920" w:type="dxa"/>
            <w:vAlign w:val="bottom"/>
          </w:tcPr>
          <w:p>
            <w:pPr>
              <w:spacing w:after="0"/>
              <w:rPr>
                <w:sz w:val="20"/>
                <w:szCs w:val="20"/>
                <w:color w:val="auto"/>
              </w:rPr>
            </w:pPr>
            <w:r>
              <w:rPr>
                <w:rFonts w:ascii="Courier New" w:cs="Courier New" w:eastAsia="Courier New" w:hAnsi="Courier New"/>
                <w:sz w:val="13"/>
                <w:szCs w:val="13"/>
                <w:color w:val="auto"/>
              </w:rPr>
              <w:t>Total</w:t>
            </w:r>
          </w:p>
        </w:tc>
        <w:tc>
          <w:tcPr>
            <w:tcW w:w="17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$ 192,856</w:t>
            </w:r>
          </w:p>
        </w:tc>
        <w:tc>
          <w:tcPr>
            <w:tcW w:w="11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$88,199</w:t>
            </w:r>
          </w:p>
        </w:tc>
        <w:tc>
          <w:tcPr>
            <w:tcW w:w="132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$ 180,151</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$82,770</w:t>
            </w:r>
          </w:p>
        </w:tc>
        <w:tc>
          <w:tcPr>
            <w:tcW w:w="12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$ 132,129</w:t>
            </w:r>
          </w:p>
        </w:tc>
        <w:tc>
          <w:tcPr>
            <w:tcW w:w="11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$91,693</w:t>
            </w:r>
          </w:p>
        </w:tc>
      </w:tr>
      <w:tr>
        <w:trPr>
          <w:trHeight w:val="154"/>
        </w:trPr>
        <w:tc>
          <w:tcPr>
            <w:tcW w:w="192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For the years ended December 31, 2002, 2001 and 2000 sales to SKF amounted to $64,235, $62,539 and $44,647, respectively, or 33.3%, 34.7% and 33.8% of consolidated revenues, respectively. For the years ended December 31, 2002, 2001 and 2000, sales to INA/FAG amounted to $36,502, $36,436 and $21,107, respectively or 18.9%, 20.2% and 16.0% of consolidated revenues, respectively. None of the Company's other customers accounted for more than 5% of its net sales in 2002. Accounts receivable concentrations as of December 31, 2002, 2001 and 2000 are generally reflective of sales concentrations during the years then ended.</w:t>
      </w:r>
    </w:p>
    <w:p>
      <w:pPr>
        <w:spacing w:after="0" w:line="310" w:lineRule="exact"/>
        <w:rPr>
          <w:sz w:val="20"/>
          <w:szCs w:val="20"/>
          <w:color w:val="auto"/>
        </w:rPr>
      </w:pPr>
    </w:p>
    <w:p>
      <w:pPr>
        <w:ind w:left="560" w:hanging="558"/>
        <w:spacing w:after="0"/>
        <w:tabs>
          <w:tab w:leader="none" w:pos="560" w:val="left"/>
        </w:tabs>
        <w:numPr>
          <w:ilvl w:val="0"/>
          <w:numId w:val="21"/>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Income Taxes (Restated)</w:t>
      </w:r>
    </w:p>
    <w:p>
      <w:pPr>
        <w:spacing w:after="0" w:line="161" w:lineRule="exact"/>
        <w:rPr>
          <w:rFonts w:ascii="Courier New" w:cs="Courier New" w:eastAsia="Courier New" w:hAnsi="Courier New"/>
          <w:sz w:val="13"/>
          <w:szCs w:val="13"/>
          <w:b w:val="1"/>
          <w:bCs w:val="1"/>
          <w:color w:val="auto"/>
        </w:rPr>
      </w:pPr>
    </w:p>
    <w:p>
      <w:pPr>
        <w:ind w:left="560" w:right="4219"/>
        <w:spacing w:after="0" w:line="254"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Total income taxes (benefits) for the years ended December 31, 2002, 2001, and 2000 are allocated as follows:</w:t>
      </w:r>
    </w:p>
    <w:p>
      <w:pPr>
        <w:spacing w:after="0" w:line="15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gridSpan w:val="2"/>
          </w:tcPr>
          <w:p>
            <w:pPr>
              <w:jc w:val="center"/>
              <w:ind w:right="13"/>
              <w:spacing w:after="0"/>
              <w:rPr>
                <w:sz w:val="20"/>
                <w:szCs w:val="20"/>
                <w:color w:val="auto"/>
              </w:rPr>
            </w:pPr>
            <w:r>
              <w:rPr>
                <w:rFonts w:ascii="Courier New" w:cs="Courier New" w:eastAsia="Courier New" w:hAnsi="Courier New"/>
                <w:sz w:val="13"/>
                <w:szCs w:val="13"/>
                <w:color w:val="auto"/>
              </w:rPr>
              <w:t>Year ended December 31,</w:t>
            </w: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4"/>
        </w:trPr>
        <w:tc>
          <w:tcPr>
            <w:tcW w:w="38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3"/>
                <w:szCs w:val="13"/>
                <w:color w:val="auto"/>
              </w:rPr>
              <w:t>2002</w:t>
            </w:r>
          </w:p>
        </w:tc>
        <w:tc>
          <w:tcPr>
            <w:tcW w:w="6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rPr>
              <w:t>2001</w:t>
            </w:r>
          </w:p>
        </w:tc>
        <w:tc>
          <w:tcPr>
            <w:tcW w:w="8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rPr>
              <w:t>2000</w:t>
            </w:r>
          </w:p>
        </w:tc>
        <w:tc>
          <w:tcPr>
            <w:tcW w:w="640" w:type="dxa"/>
            <w:vAlign w:val="bottom"/>
          </w:tcPr>
          <w:p>
            <w:pPr>
              <w:spacing w:after="0"/>
              <w:rPr>
                <w:sz w:val="13"/>
                <w:szCs w:val="13"/>
                <w:color w:val="auto"/>
              </w:rPr>
            </w:pPr>
          </w:p>
        </w:tc>
      </w:tr>
      <w:tr>
        <w:trPr>
          <w:trHeight w:val="154"/>
        </w:trPr>
        <w:tc>
          <w:tcPr>
            <w:tcW w:w="3820" w:type="dxa"/>
            <w:vAlign w:val="bottom"/>
          </w:tcPr>
          <w:p>
            <w:pPr>
              <w:spacing w:after="0"/>
              <w:rPr>
                <w:sz w:val="13"/>
                <w:szCs w:val="1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820" w:type="dxa"/>
            <w:vAlign w:val="bottom"/>
          </w:tcPr>
          <w:p>
            <w:pPr>
              <w:spacing w:after="0"/>
              <w:rPr>
                <w:sz w:val="20"/>
                <w:szCs w:val="20"/>
                <w:color w:val="auto"/>
              </w:rPr>
            </w:pPr>
            <w:r>
              <w:rPr>
                <w:rFonts w:ascii="Courier New" w:cs="Courier New" w:eastAsia="Courier New" w:hAnsi="Courier New"/>
                <w:sz w:val="13"/>
                <w:szCs w:val="13"/>
                <w:color w:val="auto"/>
              </w:rPr>
              <w:t>Income from continuing operations:</w:t>
            </w: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6,457</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4,094</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820" w:type="dxa"/>
            <w:vAlign w:val="bottom"/>
          </w:tcPr>
          <w:p>
            <w:pPr>
              <w:spacing w:after="0"/>
              <w:rPr>
                <w:sz w:val="20"/>
                <w:szCs w:val="20"/>
                <w:color w:val="auto"/>
              </w:rPr>
            </w:pPr>
            <w:r>
              <w:rPr>
                <w:rFonts w:ascii="Courier New" w:cs="Courier New" w:eastAsia="Courier New" w:hAnsi="Courier New"/>
                <w:sz w:val="13"/>
                <w:szCs w:val="13"/>
                <w:color w:val="auto"/>
              </w:rPr>
              <w:t>Cumulative effect of change in accounting</w:t>
            </w: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820" w:type="dxa"/>
            <w:vAlign w:val="bottom"/>
          </w:tcPr>
          <w:p>
            <w:pPr>
              <w:ind w:left="320"/>
              <w:spacing w:after="0"/>
              <w:rPr>
                <w:sz w:val="20"/>
                <w:szCs w:val="20"/>
                <w:color w:val="auto"/>
              </w:rPr>
            </w:pPr>
            <w:r>
              <w:rPr>
                <w:rFonts w:ascii="Courier New" w:cs="Courier New" w:eastAsia="Courier New" w:hAnsi="Courier New"/>
                <w:sz w:val="13"/>
                <w:szCs w:val="13"/>
                <w:color w:val="auto"/>
              </w:rPr>
              <w:t>principle</w:t>
            </w:r>
          </w:p>
        </w:tc>
        <w:tc>
          <w:tcPr>
            <w:tcW w:w="140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(112)</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3820" w:type="dxa"/>
            <w:vAlign w:val="bottom"/>
          </w:tcPr>
          <w:p>
            <w:pPr>
              <w:spacing w:after="0"/>
              <w:rPr>
                <w:sz w:val="20"/>
                <w:szCs w:val="20"/>
                <w:color w:val="auto"/>
              </w:rPr>
            </w:pPr>
            <w:r>
              <w:rPr>
                <w:rFonts w:ascii="Courier New" w:cs="Courier New" w:eastAsia="Courier New" w:hAnsi="Courier New"/>
                <w:sz w:val="13"/>
                <w:szCs w:val="13"/>
                <w:color w:val="auto"/>
              </w:rPr>
              <w:t>Accumulated other comprehensive income</w:t>
            </w:r>
          </w:p>
        </w:tc>
        <w:tc>
          <w:tcPr>
            <w:tcW w:w="140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(47)</w:t>
            </w:r>
          </w:p>
        </w:tc>
        <w:tc>
          <w:tcPr>
            <w:tcW w:w="11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(31)</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w:t>
            </w:r>
          </w:p>
        </w:tc>
      </w:tr>
      <w:tr>
        <w:trPr>
          <w:trHeight w:val="154"/>
        </w:trPr>
        <w:tc>
          <w:tcPr>
            <w:tcW w:w="3820" w:type="dxa"/>
            <w:vAlign w:val="bottom"/>
          </w:tcPr>
          <w:p>
            <w:pPr>
              <w:spacing w:after="0"/>
              <w:rPr>
                <w:sz w:val="13"/>
                <w:szCs w:val="1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820" w:type="dxa"/>
            <w:vAlign w:val="bottom"/>
          </w:tcPr>
          <w:p>
            <w:pPr>
              <w:spacing w:after="0"/>
              <w:rPr>
                <w:sz w:val="13"/>
                <w:szCs w:val="13"/>
                <w:color w:val="auto"/>
              </w:rPr>
            </w:pPr>
          </w:p>
        </w:tc>
        <w:tc>
          <w:tcPr>
            <w:tcW w:w="14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6,410</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3,951</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820" w:type="dxa"/>
            <w:vAlign w:val="bottom"/>
          </w:tcPr>
          <w:p>
            <w:pPr>
              <w:spacing w:after="0"/>
              <w:rPr>
                <w:sz w:val="13"/>
                <w:szCs w:val="1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200" w:lineRule="exact"/>
        <w:rPr>
          <w:sz w:val="20"/>
          <w:szCs w:val="20"/>
          <w:color w:val="auto"/>
        </w:rPr>
      </w:pPr>
    </w:p>
    <w:p>
      <w:pPr>
        <w:spacing w:after="0" w:line="268"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219" w:firstLine="561"/>
        <w:spacing w:after="0" w:line="254" w:lineRule="auto"/>
        <w:rPr>
          <w:sz w:val="20"/>
          <w:szCs w:val="20"/>
          <w:color w:val="auto"/>
        </w:rPr>
      </w:pPr>
      <w:r>
        <w:rPr>
          <w:rFonts w:ascii="Courier New" w:cs="Courier New" w:eastAsia="Courier New" w:hAnsi="Courier New"/>
          <w:sz w:val="13"/>
          <w:szCs w:val="13"/>
          <w:color w:val="auto"/>
        </w:rPr>
        <w:t>Income tax expense attributable to income from continuing operations consists of:</w:t>
      </w:r>
    </w:p>
    <w:p>
      <w:pPr>
        <w:spacing w:after="0" w:line="15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gridSpan w:val="2"/>
          </w:tcPr>
          <w:p>
            <w:pPr>
              <w:jc w:val="center"/>
              <w:ind w:right="13"/>
              <w:spacing w:after="0"/>
              <w:rPr>
                <w:sz w:val="20"/>
                <w:szCs w:val="20"/>
                <w:color w:val="auto"/>
              </w:rPr>
            </w:pPr>
            <w:r>
              <w:rPr>
                <w:rFonts w:ascii="Courier New" w:cs="Courier New" w:eastAsia="Courier New" w:hAnsi="Courier New"/>
                <w:sz w:val="13"/>
                <w:szCs w:val="13"/>
                <w:color w:val="auto"/>
              </w:rPr>
              <w:t>Year ended December 31,</w:t>
            </w: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4"/>
        </w:trPr>
        <w:tc>
          <w:tcPr>
            <w:tcW w:w="36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3"/>
                <w:szCs w:val="13"/>
                <w:color w:val="auto"/>
              </w:rPr>
              <w:t>2002</w:t>
            </w:r>
          </w:p>
        </w:tc>
        <w:tc>
          <w:tcPr>
            <w:tcW w:w="6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rPr>
              <w:t>2001</w:t>
            </w:r>
          </w:p>
        </w:tc>
        <w:tc>
          <w:tcPr>
            <w:tcW w:w="840" w:type="dxa"/>
            <w:vAlign w:val="bottom"/>
          </w:tcPr>
          <w:p>
            <w:pPr>
              <w:spacing w:after="0"/>
              <w:rPr>
                <w:sz w:val="13"/>
                <w:szCs w:val="13"/>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3"/>
                <w:szCs w:val="13"/>
                <w:color w:val="auto"/>
                <w:w w:val="95"/>
              </w:rPr>
              <w:t>2000</w:t>
            </w:r>
          </w:p>
        </w:tc>
        <w:tc>
          <w:tcPr>
            <w:tcW w:w="640" w:type="dxa"/>
            <w:vAlign w:val="bottom"/>
          </w:tcPr>
          <w:p>
            <w:pPr>
              <w:spacing w:after="0"/>
              <w:rPr>
                <w:sz w:val="13"/>
                <w:szCs w:val="13"/>
                <w:color w:val="auto"/>
              </w:rPr>
            </w:pPr>
          </w:p>
        </w:tc>
      </w:tr>
      <w:tr>
        <w:trPr>
          <w:trHeight w:val="154"/>
        </w:trPr>
        <w:tc>
          <w:tcPr>
            <w:tcW w:w="36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620" w:type="dxa"/>
            <w:vAlign w:val="bottom"/>
          </w:tcPr>
          <w:p>
            <w:pPr>
              <w:spacing w:after="0"/>
              <w:rPr>
                <w:sz w:val="20"/>
                <w:szCs w:val="20"/>
                <w:color w:val="auto"/>
              </w:rPr>
            </w:pPr>
            <w:r>
              <w:rPr>
                <w:rFonts w:ascii="Courier New" w:cs="Courier New" w:eastAsia="Courier New" w:hAnsi="Courier New"/>
                <w:sz w:val="13"/>
                <w:szCs w:val="13"/>
                <w:color w:val="auto"/>
              </w:rPr>
              <w:t>Current:</w:t>
            </w: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620" w:type="dxa"/>
            <w:vAlign w:val="bottom"/>
          </w:tcPr>
          <w:p>
            <w:pPr>
              <w:ind w:left="320"/>
              <w:spacing w:after="0"/>
              <w:rPr>
                <w:sz w:val="20"/>
                <w:szCs w:val="20"/>
                <w:color w:val="auto"/>
              </w:rPr>
            </w:pPr>
            <w:r>
              <w:rPr>
                <w:rFonts w:ascii="Courier New" w:cs="Courier New" w:eastAsia="Courier New" w:hAnsi="Courier New"/>
                <w:sz w:val="13"/>
                <w:szCs w:val="13"/>
                <w:color w:val="auto"/>
              </w:rPr>
              <w:t>U.S. Federal</w:t>
            </w:r>
          </w:p>
        </w:tc>
        <w:tc>
          <w:tcPr>
            <w:tcW w:w="1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1,753</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1,025</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3,496</w:t>
            </w:r>
          </w:p>
        </w:tc>
      </w:tr>
      <w:tr>
        <w:trPr>
          <w:trHeight w:val="154"/>
        </w:trPr>
        <w:tc>
          <w:tcPr>
            <w:tcW w:w="3620" w:type="dxa"/>
            <w:vAlign w:val="bottom"/>
          </w:tcPr>
          <w:p>
            <w:pPr>
              <w:ind w:left="320"/>
              <w:spacing w:after="0"/>
              <w:rPr>
                <w:sz w:val="20"/>
                <w:szCs w:val="20"/>
                <w:color w:val="auto"/>
              </w:rPr>
            </w:pPr>
            <w:r>
              <w:rPr>
                <w:rFonts w:ascii="Courier New" w:cs="Courier New" w:eastAsia="Courier New" w:hAnsi="Courier New"/>
                <w:sz w:val="13"/>
                <w:szCs w:val="13"/>
                <w:color w:val="auto"/>
              </w:rPr>
              <w:t>State</w:t>
            </w:r>
          </w:p>
        </w:tc>
        <w:tc>
          <w:tcPr>
            <w:tcW w:w="160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249</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146</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452</w:t>
            </w:r>
          </w:p>
        </w:tc>
      </w:tr>
      <w:tr>
        <w:trPr>
          <w:trHeight w:val="154"/>
        </w:trPr>
        <w:tc>
          <w:tcPr>
            <w:tcW w:w="3620" w:type="dxa"/>
            <w:vAlign w:val="bottom"/>
          </w:tcPr>
          <w:p>
            <w:pPr>
              <w:ind w:left="320"/>
              <w:spacing w:after="0"/>
              <w:rPr>
                <w:sz w:val="20"/>
                <w:szCs w:val="20"/>
                <w:color w:val="auto"/>
              </w:rPr>
            </w:pPr>
            <w:r>
              <w:rPr>
                <w:rFonts w:ascii="Courier New" w:cs="Courier New" w:eastAsia="Courier New" w:hAnsi="Courier New"/>
                <w:sz w:val="13"/>
                <w:szCs w:val="13"/>
                <w:color w:val="auto"/>
              </w:rPr>
              <w:t>Non-U.S.</w:t>
            </w:r>
          </w:p>
        </w:tc>
        <w:tc>
          <w:tcPr>
            <w:tcW w:w="160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1,891</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1,627</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826</w:t>
            </w:r>
          </w:p>
        </w:tc>
      </w:tr>
      <w:tr>
        <w:trPr>
          <w:trHeight w:val="154"/>
        </w:trPr>
        <w:tc>
          <w:tcPr>
            <w:tcW w:w="36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620" w:type="dxa"/>
            <w:vAlign w:val="bottom"/>
          </w:tcPr>
          <w:p>
            <w:pPr>
              <w:spacing w:after="0"/>
              <w:rPr>
                <w:sz w:val="13"/>
                <w:szCs w:val="13"/>
                <w:color w:val="auto"/>
              </w:rPr>
            </w:pPr>
          </w:p>
        </w:tc>
        <w:tc>
          <w:tcPr>
            <w:tcW w:w="1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3,893</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2,798</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4,774</w:t>
            </w:r>
          </w:p>
        </w:tc>
      </w:tr>
      <w:tr>
        <w:trPr>
          <w:trHeight w:val="154"/>
        </w:trPr>
        <w:tc>
          <w:tcPr>
            <w:tcW w:w="36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620" w:type="dxa"/>
            <w:vAlign w:val="bottom"/>
          </w:tcPr>
          <w:p>
            <w:pPr>
              <w:spacing w:after="0"/>
              <w:rPr>
                <w:sz w:val="20"/>
                <w:szCs w:val="20"/>
                <w:color w:val="auto"/>
              </w:rPr>
            </w:pPr>
            <w:r>
              <w:rPr>
                <w:rFonts w:ascii="Courier New" w:cs="Courier New" w:eastAsia="Courier New" w:hAnsi="Courier New"/>
                <w:sz w:val="13"/>
                <w:szCs w:val="13"/>
                <w:color w:val="auto"/>
              </w:rPr>
              <w:t>Deferred:</w:t>
            </w: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3620" w:type="dxa"/>
            <w:vAlign w:val="bottom"/>
          </w:tcPr>
          <w:p>
            <w:pPr>
              <w:ind w:left="320"/>
              <w:spacing w:after="0"/>
              <w:rPr>
                <w:sz w:val="20"/>
                <w:szCs w:val="20"/>
                <w:color w:val="auto"/>
              </w:rPr>
            </w:pPr>
            <w:r>
              <w:rPr>
                <w:rFonts w:ascii="Courier New" w:cs="Courier New" w:eastAsia="Courier New" w:hAnsi="Courier New"/>
                <w:sz w:val="13"/>
                <w:szCs w:val="13"/>
                <w:color w:val="auto"/>
              </w:rPr>
              <w:t>U.S. Federal</w:t>
            </w:r>
          </w:p>
        </w:tc>
        <w:tc>
          <w:tcPr>
            <w:tcW w:w="1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533</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557</w:t>
            </w:r>
          </w:p>
        </w:tc>
        <w:tc>
          <w:tcPr>
            <w:tcW w:w="1000" w:type="dxa"/>
            <w:vAlign w:val="bottom"/>
          </w:tcPr>
          <w:p>
            <w:pPr>
              <w:ind w:left="680"/>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496</w:t>
            </w:r>
          </w:p>
        </w:tc>
      </w:tr>
      <w:tr>
        <w:trPr>
          <w:trHeight w:val="154"/>
        </w:trPr>
        <w:tc>
          <w:tcPr>
            <w:tcW w:w="3620" w:type="dxa"/>
            <w:vAlign w:val="bottom"/>
          </w:tcPr>
          <w:p>
            <w:pPr>
              <w:ind w:left="320"/>
              <w:spacing w:after="0"/>
              <w:rPr>
                <w:sz w:val="20"/>
                <w:szCs w:val="20"/>
                <w:color w:val="auto"/>
              </w:rPr>
            </w:pPr>
            <w:r>
              <w:rPr>
                <w:rFonts w:ascii="Courier New" w:cs="Courier New" w:eastAsia="Courier New" w:hAnsi="Courier New"/>
                <w:sz w:val="13"/>
                <w:szCs w:val="13"/>
                <w:color w:val="auto"/>
              </w:rPr>
              <w:t>State</w:t>
            </w:r>
          </w:p>
        </w:tc>
        <w:tc>
          <w:tcPr>
            <w:tcW w:w="160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66</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57</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63</w:t>
            </w:r>
          </w:p>
        </w:tc>
      </w:tr>
      <w:tr>
        <w:trPr>
          <w:trHeight w:val="154"/>
        </w:trPr>
        <w:tc>
          <w:tcPr>
            <w:tcW w:w="3620" w:type="dxa"/>
            <w:vAlign w:val="bottom"/>
          </w:tcPr>
          <w:p>
            <w:pPr>
              <w:ind w:left="320"/>
              <w:spacing w:after="0"/>
              <w:rPr>
                <w:sz w:val="20"/>
                <w:szCs w:val="20"/>
                <w:color w:val="auto"/>
              </w:rPr>
            </w:pPr>
            <w:r>
              <w:rPr>
                <w:rFonts w:ascii="Courier New" w:cs="Courier New" w:eastAsia="Courier New" w:hAnsi="Courier New"/>
                <w:sz w:val="13"/>
                <w:szCs w:val="13"/>
                <w:color w:val="auto"/>
              </w:rPr>
              <w:t>Non-U.S.</w:t>
            </w:r>
          </w:p>
        </w:tc>
        <w:tc>
          <w:tcPr>
            <w:tcW w:w="160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1,965</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682</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626</w:t>
            </w:r>
          </w:p>
        </w:tc>
      </w:tr>
      <w:tr>
        <w:trPr>
          <w:trHeight w:val="154"/>
        </w:trPr>
        <w:tc>
          <w:tcPr>
            <w:tcW w:w="36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3620" w:type="dxa"/>
            <w:vAlign w:val="bottom"/>
          </w:tcPr>
          <w:p>
            <w:pPr>
              <w:ind w:left="1120"/>
              <w:spacing w:after="0"/>
              <w:rPr>
                <w:sz w:val="20"/>
                <w:szCs w:val="20"/>
                <w:color w:val="auto"/>
              </w:rPr>
            </w:pPr>
            <w:r>
              <w:rPr>
                <w:rFonts w:ascii="Courier New" w:cs="Courier New" w:eastAsia="Courier New" w:hAnsi="Courier New"/>
                <w:sz w:val="13"/>
                <w:szCs w:val="13"/>
                <w:color w:val="auto"/>
              </w:rPr>
              <w:t>Total deferred expense</w:t>
            </w:r>
          </w:p>
        </w:tc>
        <w:tc>
          <w:tcPr>
            <w:tcW w:w="160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2,564</w:t>
            </w:r>
          </w:p>
        </w:tc>
        <w:tc>
          <w:tcPr>
            <w:tcW w:w="1160" w:type="dxa"/>
            <w:vAlign w:val="bottom"/>
          </w:tcPr>
          <w:p>
            <w:pPr>
              <w:spacing w:after="0"/>
              <w:rPr>
                <w:sz w:val="24"/>
                <w:szCs w:val="24"/>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1,296</w:t>
            </w:r>
          </w:p>
        </w:tc>
        <w:tc>
          <w:tcPr>
            <w:tcW w:w="1000" w:type="dxa"/>
            <w:vAlign w:val="bottom"/>
          </w:tcPr>
          <w:p>
            <w:pPr>
              <w:spacing w:after="0"/>
              <w:rPr>
                <w:sz w:val="24"/>
                <w:szCs w:val="24"/>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1,185</w:t>
            </w:r>
          </w:p>
        </w:tc>
      </w:tr>
      <w:tr>
        <w:trPr>
          <w:trHeight w:val="154"/>
        </w:trPr>
        <w:tc>
          <w:tcPr>
            <w:tcW w:w="36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620" w:type="dxa"/>
            <w:vAlign w:val="bottom"/>
          </w:tcPr>
          <w:p>
            <w:pPr>
              <w:spacing w:after="0"/>
              <w:rPr>
                <w:sz w:val="13"/>
                <w:szCs w:val="13"/>
                <w:color w:val="auto"/>
              </w:rPr>
            </w:pPr>
          </w:p>
        </w:tc>
        <w:tc>
          <w:tcPr>
            <w:tcW w:w="1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6,457</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4,094</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6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3819"/>
        <w:spacing w:after="0" w:line="254" w:lineRule="auto"/>
        <w:rPr>
          <w:sz w:val="20"/>
          <w:szCs w:val="20"/>
          <w:color w:val="auto"/>
        </w:rPr>
      </w:pPr>
      <w:r>
        <w:rPr>
          <w:rFonts w:ascii="Courier New" w:cs="Courier New" w:eastAsia="Courier New" w:hAnsi="Courier New"/>
          <w:sz w:val="13"/>
          <w:szCs w:val="13"/>
          <w:color w:val="auto"/>
        </w:rPr>
        <w:t>A reconciliation of taxes based on the U.S. federal statutory rate of 34% for the years ended December 31, 2002, 2001 and 2000 is summarized as</w:t>
      </w:r>
    </w:p>
    <w:p>
      <w:pPr>
        <w:sectPr>
          <w:pgSz w:w="11900" w:h="16838" w:orient="portrait"/>
          <w:cols w:equalWidth="0" w:num="1">
            <w:col w:w="10239"/>
          </w:cols>
          <w:pgMar w:left="220" w:top="295" w:right="1440"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49"/>
        </w:trPr>
        <w:tc>
          <w:tcPr>
            <w:tcW w:w="3860" w:type="dxa"/>
            <w:vAlign w:val="bottom"/>
          </w:tcPr>
          <w:p>
            <w:pPr>
              <w:ind w:left="80"/>
              <w:spacing w:after="0"/>
              <w:rPr>
                <w:sz w:val="20"/>
                <w:szCs w:val="20"/>
                <w:color w:val="auto"/>
              </w:rPr>
            </w:pPr>
            <w:r>
              <w:rPr>
                <w:rFonts w:ascii="Courier New" w:cs="Courier New" w:eastAsia="Courier New" w:hAnsi="Courier New"/>
                <w:sz w:val="13"/>
                <w:szCs w:val="13"/>
                <w:color w:val="auto"/>
              </w:rPr>
              <w:t>follows:</w:t>
            </w: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08"/>
        </w:trPr>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gridSpan w:val="2"/>
          </w:tcPr>
          <w:p>
            <w:pPr>
              <w:jc w:val="center"/>
              <w:ind w:right="13"/>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3860" w:type="dxa"/>
            <w:vAlign w:val="bottom"/>
          </w:tcPr>
          <w:p>
            <w:pPr>
              <w:spacing w:after="0"/>
              <w:rPr>
                <w:sz w:val="13"/>
                <w:szCs w:val="13"/>
                <w:color w:val="auto"/>
              </w:rPr>
            </w:pPr>
          </w:p>
        </w:tc>
        <w:tc>
          <w:tcPr>
            <w:tcW w:w="2040" w:type="dxa"/>
            <w:vAlign w:val="bottom"/>
            <w:gridSpan w:val="2"/>
          </w:tcPr>
          <w:p>
            <w:pPr>
              <w:jc w:val="right"/>
              <w:ind w:right="453"/>
              <w:spacing w:after="0"/>
              <w:rPr>
                <w:sz w:val="20"/>
                <w:szCs w:val="20"/>
                <w:color w:val="auto"/>
              </w:rPr>
            </w:pPr>
            <w:r>
              <w:rPr>
                <w:rFonts w:ascii="Courier New" w:cs="Courier New" w:eastAsia="Courier New" w:hAnsi="Courier New"/>
                <w:sz w:val="13"/>
                <w:szCs w:val="13"/>
                <w:b w:val="1"/>
                <w:bCs w:val="1"/>
                <w:color w:val="auto"/>
              </w:rPr>
              <w:t>Restated</w:t>
            </w: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8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6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8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640" w:type="dxa"/>
            <w:vAlign w:val="bottom"/>
          </w:tcPr>
          <w:p>
            <w:pPr>
              <w:spacing w:after="0"/>
              <w:rPr>
                <w:sz w:val="13"/>
                <w:szCs w:val="13"/>
                <w:color w:val="auto"/>
              </w:rPr>
            </w:pPr>
          </w:p>
        </w:tc>
      </w:tr>
      <w:tr>
        <w:trPr>
          <w:trHeight w:val="154"/>
        </w:trPr>
        <w:tc>
          <w:tcPr>
            <w:tcW w:w="386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3860" w:type="dxa"/>
            <w:vAlign w:val="bottom"/>
          </w:tcPr>
          <w:p>
            <w:pPr>
              <w:spacing w:after="0"/>
              <w:rPr>
                <w:sz w:val="20"/>
                <w:szCs w:val="20"/>
                <w:color w:val="auto"/>
              </w:rPr>
            </w:pPr>
            <w:r>
              <w:rPr>
                <w:rFonts w:ascii="Courier New" w:cs="Courier New" w:eastAsia="Courier New" w:hAnsi="Courier New"/>
                <w:sz w:val="13"/>
                <w:szCs w:val="13"/>
                <w:color w:val="auto"/>
              </w:rPr>
              <w:t>Income taxes at the federal statutory rate</w:t>
            </w:r>
          </w:p>
        </w:tc>
        <w:tc>
          <w:tcPr>
            <w:tcW w:w="13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5,778</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3,606</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5,646</w:t>
            </w:r>
          </w:p>
        </w:tc>
      </w:tr>
      <w:tr>
        <w:trPr>
          <w:trHeight w:val="154"/>
        </w:trPr>
        <w:tc>
          <w:tcPr>
            <w:tcW w:w="3860" w:type="dxa"/>
            <w:vAlign w:val="bottom"/>
          </w:tcPr>
          <w:p>
            <w:pPr>
              <w:spacing w:after="0"/>
              <w:rPr>
                <w:sz w:val="20"/>
                <w:szCs w:val="20"/>
                <w:color w:val="auto"/>
              </w:rPr>
            </w:pPr>
            <w:r>
              <w:rPr>
                <w:rFonts w:ascii="Courier New" w:cs="Courier New" w:eastAsia="Courier New" w:hAnsi="Courier New"/>
                <w:sz w:val="13"/>
                <w:szCs w:val="13"/>
                <w:color w:val="auto"/>
              </w:rPr>
              <w:t>State income taxes, net of federal benefit</w:t>
            </w:r>
          </w:p>
        </w:tc>
        <w:tc>
          <w:tcPr>
            <w:tcW w:w="136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208</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134</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340</w:t>
            </w:r>
          </w:p>
        </w:tc>
      </w:tr>
      <w:tr>
        <w:trPr>
          <w:trHeight w:val="154"/>
        </w:trPr>
        <w:tc>
          <w:tcPr>
            <w:tcW w:w="3860" w:type="dxa"/>
            <w:vAlign w:val="bottom"/>
          </w:tcPr>
          <w:p>
            <w:pPr>
              <w:spacing w:after="0"/>
              <w:rPr>
                <w:sz w:val="20"/>
                <w:szCs w:val="20"/>
                <w:color w:val="auto"/>
              </w:rPr>
            </w:pPr>
            <w:r>
              <w:rPr>
                <w:rFonts w:ascii="Courier New" w:cs="Courier New" w:eastAsia="Courier New" w:hAnsi="Courier New"/>
                <w:sz w:val="13"/>
                <w:szCs w:val="13"/>
                <w:color w:val="auto"/>
              </w:rPr>
              <w:t>Foreign sales corporation benefit, net of</w:t>
            </w: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3860" w:type="dxa"/>
            <w:vAlign w:val="bottom"/>
          </w:tcPr>
          <w:p>
            <w:pPr>
              <w:ind w:left="320"/>
              <w:spacing w:after="0"/>
              <w:rPr>
                <w:sz w:val="20"/>
                <w:szCs w:val="20"/>
                <w:color w:val="auto"/>
              </w:rPr>
            </w:pPr>
            <w:r>
              <w:rPr>
                <w:rFonts w:ascii="Courier New" w:cs="Courier New" w:eastAsia="Courier New" w:hAnsi="Courier New"/>
                <w:sz w:val="13"/>
                <w:szCs w:val="13"/>
                <w:color w:val="auto"/>
              </w:rPr>
              <w:t>liability</w:t>
            </w:r>
          </w:p>
        </w:tc>
        <w:tc>
          <w:tcPr>
            <w:tcW w:w="136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spacing w:after="0"/>
              <w:rPr>
                <w:sz w:val="13"/>
                <w:szCs w:val="13"/>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(95)</w:t>
            </w:r>
          </w:p>
        </w:tc>
        <w:tc>
          <w:tcPr>
            <w:tcW w:w="10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(183)</w:t>
            </w:r>
          </w:p>
        </w:tc>
      </w:tr>
      <w:tr>
        <w:trPr>
          <w:trHeight w:val="154"/>
        </w:trPr>
        <w:tc>
          <w:tcPr>
            <w:tcW w:w="3860" w:type="dxa"/>
            <w:vAlign w:val="bottom"/>
          </w:tcPr>
          <w:p>
            <w:pPr>
              <w:spacing w:after="0"/>
              <w:rPr>
                <w:sz w:val="20"/>
                <w:szCs w:val="20"/>
                <w:color w:val="auto"/>
              </w:rPr>
            </w:pPr>
            <w:r>
              <w:rPr>
                <w:rFonts w:ascii="Courier New" w:cs="Courier New" w:eastAsia="Courier New" w:hAnsi="Courier New"/>
                <w:sz w:val="13"/>
                <w:szCs w:val="13"/>
                <w:color w:val="auto"/>
              </w:rPr>
              <w:t>Non-US earnings taxed at different rates</w:t>
            </w:r>
          </w:p>
        </w:tc>
        <w:tc>
          <w:tcPr>
            <w:tcW w:w="1360" w:type="dxa"/>
            <w:vAlign w:val="bottom"/>
          </w:tcPr>
          <w:p>
            <w:pPr>
              <w:spacing w:after="0"/>
              <w:rPr>
                <w:sz w:val="13"/>
                <w:szCs w:val="13"/>
                <w:color w:val="auto"/>
              </w:rPr>
            </w:pP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624</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395</w:t>
            </w:r>
          </w:p>
        </w:tc>
        <w:tc>
          <w:tcPr>
            <w:tcW w:w="100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337</w:t>
            </w:r>
          </w:p>
        </w:tc>
      </w:tr>
      <w:tr>
        <w:trPr>
          <w:trHeight w:val="154"/>
        </w:trPr>
        <w:tc>
          <w:tcPr>
            <w:tcW w:w="3860" w:type="dxa"/>
            <w:vAlign w:val="bottom"/>
          </w:tcPr>
          <w:p>
            <w:pPr>
              <w:spacing w:after="0"/>
              <w:rPr>
                <w:sz w:val="20"/>
                <w:szCs w:val="20"/>
                <w:color w:val="auto"/>
              </w:rPr>
            </w:pPr>
            <w:r>
              <w:rPr>
                <w:rFonts w:ascii="Courier New" w:cs="Courier New" w:eastAsia="Courier New" w:hAnsi="Courier New"/>
                <w:sz w:val="13"/>
                <w:szCs w:val="13"/>
                <w:color w:val="auto"/>
              </w:rPr>
              <w:t>Other, net</w:t>
            </w:r>
          </w:p>
        </w:tc>
        <w:tc>
          <w:tcPr>
            <w:tcW w:w="136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(153)</w:t>
            </w:r>
          </w:p>
        </w:tc>
        <w:tc>
          <w:tcPr>
            <w:tcW w:w="11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54</w:t>
            </w:r>
          </w:p>
        </w:tc>
        <w:tc>
          <w:tcPr>
            <w:tcW w:w="10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(181)</w:t>
            </w:r>
          </w:p>
        </w:tc>
      </w:tr>
      <w:tr>
        <w:trPr>
          <w:trHeight w:val="154"/>
        </w:trPr>
        <w:tc>
          <w:tcPr>
            <w:tcW w:w="386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3860" w:type="dxa"/>
            <w:vAlign w:val="bottom"/>
          </w:tcPr>
          <w:p>
            <w:pPr>
              <w:spacing w:after="0"/>
              <w:rPr>
                <w:sz w:val="13"/>
                <w:szCs w:val="13"/>
                <w:color w:val="auto"/>
              </w:rPr>
            </w:pPr>
          </w:p>
        </w:tc>
        <w:tc>
          <w:tcPr>
            <w:tcW w:w="13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7"/>
              </w:rPr>
              <w:t>6,457</w:t>
            </w:r>
          </w:p>
        </w:tc>
        <w:tc>
          <w:tcPr>
            <w:tcW w:w="1160" w:type="dxa"/>
            <w:vAlign w:val="bottom"/>
          </w:tcPr>
          <w:p>
            <w:pPr>
              <w:jc w:val="center"/>
              <w:ind w:left="69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373"/>
              <w:spacing w:after="0"/>
              <w:rPr>
                <w:sz w:val="20"/>
                <w:szCs w:val="20"/>
                <w:color w:val="auto"/>
              </w:rPr>
            </w:pPr>
            <w:r>
              <w:rPr>
                <w:rFonts w:ascii="Courier New" w:cs="Courier New" w:eastAsia="Courier New" w:hAnsi="Courier New"/>
                <w:sz w:val="13"/>
                <w:szCs w:val="13"/>
                <w:color w:val="auto"/>
                <w:w w:val="97"/>
              </w:rPr>
              <w:t>4,094</w:t>
            </w:r>
          </w:p>
        </w:tc>
        <w:tc>
          <w:tcPr>
            <w:tcW w:w="10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7"/>
              </w:rPr>
              <w:t>5,959</w:t>
            </w:r>
          </w:p>
        </w:tc>
      </w:tr>
      <w:tr>
        <w:trPr>
          <w:trHeight w:val="154"/>
        </w:trPr>
        <w:tc>
          <w:tcPr>
            <w:tcW w:w="386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200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313" w:lineRule="exact"/>
        <w:rPr>
          <w:sz w:val="20"/>
          <w:szCs w:val="20"/>
          <w:color w:val="auto"/>
        </w:rPr>
      </w:pPr>
    </w:p>
    <w:p>
      <w:pPr>
        <w:ind w:left="5220"/>
        <w:spacing w:after="0"/>
        <w:rPr>
          <w:sz w:val="20"/>
          <w:szCs w:val="20"/>
          <w:color w:val="auto"/>
        </w:rPr>
      </w:pPr>
      <w:r>
        <w:rPr>
          <w:rFonts w:ascii="Courier New" w:cs="Courier New" w:eastAsia="Courier New" w:hAnsi="Courier New"/>
          <w:sz w:val="13"/>
          <w:szCs w:val="13"/>
          <w:color w:val="auto"/>
        </w:rPr>
        <w:t>Continued</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75565</wp:posOffset>
            </wp:positionV>
            <wp:extent cx="73044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The tax effects of the temporary differences are as follows:</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60" w:type="dxa"/>
            <w:vAlign w:val="bottom"/>
            <w:gridSpan w:val="3"/>
          </w:tcPr>
          <w:p>
            <w:pPr>
              <w:jc w:val="right"/>
              <w:ind w:right="93"/>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308"/>
        </w:trPr>
        <w:tc>
          <w:tcPr>
            <w:tcW w:w="40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2002</w:t>
            </w:r>
          </w:p>
        </w:tc>
        <w:tc>
          <w:tcPr>
            <w:tcW w:w="8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520" w:type="dxa"/>
            <w:vAlign w:val="bottom"/>
          </w:tcPr>
          <w:p>
            <w:pPr>
              <w:spacing w:after="0"/>
              <w:rPr>
                <w:sz w:val="24"/>
                <w:szCs w:val="24"/>
                <w:color w:val="auto"/>
              </w:rPr>
            </w:pPr>
          </w:p>
        </w:tc>
      </w:tr>
      <w:tr>
        <w:trPr>
          <w:trHeight w:val="154"/>
        </w:trPr>
        <w:tc>
          <w:tcPr>
            <w:tcW w:w="4060" w:type="dxa"/>
            <w:vAlign w:val="bottom"/>
          </w:tcPr>
          <w:p>
            <w:pPr>
              <w:spacing w:after="0"/>
              <w:rPr>
                <w:sz w:val="13"/>
                <w:szCs w:val="13"/>
                <w:color w:val="auto"/>
              </w:rPr>
            </w:pPr>
          </w:p>
        </w:tc>
        <w:tc>
          <w:tcPr>
            <w:tcW w:w="204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Deferred income tax liability</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Tax in excess of book depreciation</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97"/>
              </w:rPr>
              <w:t>7,523</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7"/>
              </w:rPr>
              <w:t>6,360</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$5,050</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Duty drawback receivable</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48</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37</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69</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Goodwill</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97"/>
              </w:rPr>
              <w:t>1,582</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688</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210</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Flow through loss from pass through entity</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437</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81</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Other deferred tax liabilities</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48</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31</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123</w:t>
            </w:r>
          </w:p>
        </w:tc>
      </w:tr>
      <w:tr>
        <w:trPr>
          <w:trHeight w:val="154"/>
        </w:trPr>
        <w:tc>
          <w:tcPr>
            <w:tcW w:w="4060" w:type="dxa"/>
            <w:vAlign w:val="bottom"/>
          </w:tcPr>
          <w:p>
            <w:pPr>
              <w:spacing w:after="0"/>
              <w:rPr>
                <w:sz w:val="13"/>
                <w:szCs w:val="13"/>
                <w:color w:val="auto"/>
              </w:rPr>
            </w:pPr>
          </w:p>
        </w:tc>
        <w:tc>
          <w:tcPr>
            <w:tcW w:w="20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Gross deferred income tax liability</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97"/>
              </w:rPr>
              <w:t>9,638</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7"/>
              </w:rPr>
              <w:t>7,197</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5,452</w:t>
            </w:r>
          </w:p>
        </w:tc>
      </w:tr>
      <w:tr>
        <w:trPr>
          <w:trHeight w:val="154"/>
        </w:trPr>
        <w:tc>
          <w:tcPr>
            <w:tcW w:w="4060" w:type="dxa"/>
            <w:vAlign w:val="bottom"/>
          </w:tcPr>
          <w:p>
            <w:pPr>
              <w:spacing w:after="0"/>
              <w:rPr>
                <w:sz w:val="13"/>
                <w:szCs w:val="13"/>
                <w:color w:val="auto"/>
              </w:rPr>
            </w:pPr>
          </w:p>
        </w:tc>
        <w:tc>
          <w:tcPr>
            <w:tcW w:w="20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8"/>
        </w:trPr>
        <w:tc>
          <w:tcPr>
            <w:tcW w:w="4060" w:type="dxa"/>
            <w:vAlign w:val="bottom"/>
          </w:tcPr>
          <w:p>
            <w:pPr>
              <w:spacing w:after="0"/>
              <w:rPr>
                <w:sz w:val="20"/>
                <w:szCs w:val="20"/>
                <w:color w:val="auto"/>
              </w:rPr>
            </w:pPr>
            <w:r>
              <w:rPr>
                <w:rFonts w:ascii="Courier New" w:cs="Courier New" w:eastAsia="Courier New" w:hAnsi="Courier New"/>
                <w:sz w:val="13"/>
                <w:szCs w:val="13"/>
                <w:color w:val="auto"/>
              </w:rPr>
              <w:t>Deferred income tax assets</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Inventories</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351</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337</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182</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Allowance for bad debts</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710</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632</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279</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Vacation accrual</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244</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264</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287</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Health insurance accrual</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139</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103</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83</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Other working capital accruals</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235</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358</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230</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Euroball net operating loss carryforward</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25</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133</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spacing w:after="0"/>
              <w:rPr>
                <w:sz w:val="13"/>
                <w:szCs w:val="13"/>
                <w:color w:val="auto"/>
              </w:rPr>
            </w:pPr>
          </w:p>
        </w:tc>
        <w:tc>
          <w:tcPr>
            <w:tcW w:w="20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ind w:left="480"/>
              <w:spacing w:after="0"/>
              <w:rPr>
                <w:sz w:val="20"/>
                <w:szCs w:val="20"/>
                <w:color w:val="auto"/>
              </w:rPr>
            </w:pPr>
            <w:r>
              <w:rPr>
                <w:rFonts w:ascii="Courier New" w:cs="Courier New" w:eastAsia="Courier New" w:hAnsi="Courier New"/>
                <w:sz w:val="13"/>
                <w:szCs w:val="13"/>
                <w:color w:val="auto"/>
              </w:rPr>
              <w:t>Gross deferred income tax assets</w:t>
            </w:r>
          </w:p>
        </w:tc>
        <w:tc>
          <w:tcPr>
            <w:tcW w:w="124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97"/>
              </w:rPr>
              <w:t>1,704</w:t>
            </w:r>
          </w:p>
        </w:tc>
        <w:tc>
          <w:tcPr>
            <w:tcW w:w="104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7"/>
              </w:rPr>
              <w:t>1,827</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1,061</w:t>
            </w:r>
          </w:p>
        </w:tc>
      </w:tr>
      <w:tr>
        <w:trPr>
          <w:trHeight w:val="154"/>
        </w:trPr>
        <w:tc>
          <w:tcPr>
            <w:tcW w:w="4060" w:type="dxa"/>
            <w:vAlign w:val="bottom"/>
          </w:tcPr>
          <w:p>
            <w:pPr>
              <w:spacing w:after="0"/>
              <w:rPr>
                <w:sz w:val="13"/>
                <w:szCs w:val="13"/>
                <w:color w:val="auto"/>
              </w:rPr>
            </w:pPr>
          </w:p>
        </w:tc>
        <w:tc>
          <w:tcPr>
            <w:tcW w:w="20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60" w:type="dxa"/>
            <w:vAlign w:val="bottom"/>
          </w:tcPr>
          <w:p>
            <w:pPr>
              <w:ind w:left="320"/>
              <w:spacing w:after="0"/>
              <w:rPr>
                <w:sz w:val="20"/>
                <w:szCs w:val="20"/>
                <w:color w:val="auto"/>
              </w:rPr>
            </w:pPr>
            <w:r>
              <w:rPr>
                <w:rFonts w:ascii="Courier New" w:cs="Courier New" w:eastAsia="Courier New" w:hAnsi="Courier New"/>
                <w:sz w:val="13"/>
                <w:szCs w:val="13"/>
                <w:color w:val="auto"/>
              </w:rPr>
              <w:t>Net deferred income tax liability</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w w:val="97"/>
              </w:rPr>
              <w:t>7,934</w:t>
            </w:r>
          </w:p>
        </w:tc>
        <w:tc>
          <w:tcPr>
            <w:tcW w:w="10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7"/>
              </w:rPr>
              <w:t>5,370</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4,391</w:t>
            </w:r>
          </w:p>
        </w:tc>
      </w:tr>
      <w:tr>
        <w:trPr>
          <w:trHeight w:val="154"/>
        </w:trPr>
        <w:tc>
          <w:tcPr>
            <w:tcW w:w="4060" w:type="dxa"/>
            <w:vAlign w:val="bottom"/>
          </w:tcPr>
          <w:p>
            <w:pPr>
              <w:spacing w:after="0"/>
              <w:rPr>
                <w:sz w:val="13"/>
                <w:szCs w:val="13"/>
                <w:color w:val="auto"/>
              </w:rPr>
            </w:pPr>
          </w:p>
        </w:tc>
        <w:tc>
          <w:tcPr>
            <w:tcW w:w="20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80" w:right="3979"/>
        <w:spacing w:after="0" w:line="254" w:lineRule="auto"/>
        <w:rPr>
          <w:sz w:val="20"/>
          <w:szCs w:val="20"/>
          <w:color w:val="auto"/>
        </w:rPr>
      </w:pPr>
      <w:r>
        <w:rPr>
          <w:rFonts w:ascii="Courier New" w:cs="Courier New" w:eastAsia="Courier New" w:hAnsi="Courier New"/>
          <w:sz w:val="13"/>
          <w:szCs w:val="13"/>
          <w:color w:val="auto"/>
        </w:rPr>
        <w:t>Deferred income tax expense differs from the change in the net deferred income tax liability due to the following:</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24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2002</w:t>
            </w:r>
          </w:p>
        </w:tc>
        <w:tc>
          <w:tcPr>
            <w:tcW w:w="64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560" w:type="dxa"/>
            <w:vAlign w:val="bottom"/>
          </w:tcPr>
          <w:p>
            <w:pPr>
              <w:spacing w:after="0"/>
              <w:rPr>
                <w:sz w:val="12"/>
                <w:szCs w:val="12"/>
                <w:color w:val="auto"/>
              </w:rPr>
            </w:pPr>
          </w:p>
        </w:tc>
        <w:tc>
          <w:tcPr>
            <w:tcW w:w="1120" w:type="dxa"/>
            <w:vAlign w:val="bottom"/>
          </w:tcPr>
          <w:p>
            <w:pPr>
              <w:jc w:val="right"/>
              <w:ind w:right="413"/>
              <w:spacing w:after="0"/>
              <w:rPr>
                <w:sz w:val="20"/>
                <w:szCs w:val="20"/>
                <w:color w:val="auto"/>
              </w:rPr>
            </w:pPr>
            <w:r>
              <w:rPr>
                <w:rFonts w:ascii="Courier New" w:cs="Courier New" w:eastAsia="Courier New" w:hAnsi="Courier New"/>
                <w:sz w:val="13"/>
                <w:szCs w:val="13"/>
                <w:b w:val="1"/>
                <w:bCs w:val="1"/>
                <w:color w:val="auto"/>
              </w:rPr>
              <w:t>2000</w:t>
            </w:r>
          </w:p>
        </w:tc>
      </w:tr>
      <w:tr>
        <w:trPr>
          <w:trHeight w:val="154"/>
        </w:trPr>
        <w:tc>
          <w:tcPr>
            <w:tcW w:w="438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20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308"/>
        </w:trPr>
        <w:tc>
          <w:tcPr>
            <w:tcW w:w="4380" w:type="dxa"/>
            <w:vAlign w:val="bottom"/>
          </w:tcPr>
          <w:p>
            <w:pPr>
              <w:spacing w:after="0"/>
              <w:rPr>
                <w:sz w:val="20"/>
                <w:szCs w:val="20"/>
                <w:color w:val="auto"/>
              </w:rPr>
            </w:pPr>
            <w:r>
              <w:rPr>
                <w:rFonts w:ascii="Courier New" w:cs="Courier New" w:eastAsia="Courier New" w:hAnsi="Courier New"/>
                <w:sz w:val="13"/>
                <w:szCs w:val="13"/>
                <w:color w:val="auto"/>
              </w:rPr>
              <w:t>Change in net deferred income tax liability</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$ 2,564</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979</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$ 1,780</w:t>
            </w:r>
          </w:p>
        </w:tc>
      </w:tr>
      <w:tr>
        <w:trPr>
          <w:trHeight w:val="154"/>
        </w:trPr>
        <w:tc>
          <w:tcPr>
            <w:tcW w:w="4380" w:type="dxa"/>
            <w:vAlign w:val="bottom"/>
          </w:tcPr>
          <w:p>
            <w:pPr>
              <w:spacing w:after="0"/>
              <w:rPr>
                <w:sz w:val="20"/>
                <w:szCs w:val="20"/>
                <w:color w:val="auto"/>
              </w:rPr>
            </w:pPr>
            <w:r>
              <w:rPr>
                <w:rFonts w:ascii="Courier New" w:cs="Courier New" w:eastAsia="Courier New" w:hAnsi="Courier New"/>
                <w:sz w:val="13"/>
                <w:szCs w:val="13"/>
                <w:color w:val="auto"/>
              </w:rPr>
              <w:t>Other comprehensive income adjustment</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16</w:t>
            </w:r>
          </w:p>
        </w:tc>
        <w:tc>
          <w:tcPr>
            <w:tcW w:w="64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31</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380" w:type="dxa"/>
            <w:vAlign w:val="bottom"/>
          </w:tcPr>
          <w:p>
            <w:pPr>
              <w:spacing w:after="0"/>
              <w:rPr>
                <w:sz w:val="20"/>
                <w:szCs w:val="20"/>
                <w:color w:val="auto"/>
              </w:rPr>
            </w:pPr>
            <w:r>
              <w:rPr>
                <w:rFonts w:ascii="Courier New" w:cs="Courier New" w:eastAsia="Courier New" w:hAnsi="Courier New"/>
                <w:sz w:val="13"/>
                <w:szCs w:val="13"/>
                <w:color w:val="auto"/>
              </w:rPr>
              <w:t>Cumulative effect of a change in accounting principle</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112</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380" w:type="dxa"/>
            <w:vAlign w:val="bottom"/>
          </w:tcPr>
          <w:p>
            <w:pPr>
              <w:spacing w:after="0"/>
              <w:rPr>
                <w:sz w:val="20"/>
                <w:szCs w:val="20"/>
                <w:color w:val="auto"/>
              </w:rPr>
            </w:pPr>
            <w:r>
              <w:rPr>
                <w:rFonts w:ascii="Courier New" w:cs="Courier New" w:eastAsia="Courier New" w:hAnsi="Courier New"/>
                <w:sz w:val="13"/>
                <w:szCs w:val="13"/>
                <w:color w:val="auto"/>
              </w:rPr>
              <w:t>Acquisition of deferred tax asset (liability)</w:t>
            </w: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4380" w:type="dxa"/>
            <w:vAlign w:val="bottom"/>
          </w:tcPr>
          <w:p>
            <w:pPr>
              <w:ind w:left="320"/>
              <w:spacing w:after="0"/>
              <w:rPr>
                <w:sz w:val="20"/>
                <w:szCs w:val="20"/>
                <w:color w:val="auto"/>
              </w:rPr>
            </w:pPr>
            <w:r>
              <w:rPr>
                <w:rFonts w:ascii="Courier New" w:cs="Courier New" w:eastAsia="Courier New" w:hAnsi="Courier New"/>
                <w:sz w:val="13"/>
                <w:szCs w:val="13"/>
                <w:color w:val="auto"/>
              </w:rPr>
              <w:t>recorded  under purchase accounting</w:t>
            </w:r>
          </w:p>
        </w:tc>
        <w:tc>
          <w:tcPr>
            <w:tcW w:w="12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229</w:t>
            </w:r>
          </w:p>
        </w:tc>
        <w:tc>
          <w:tcPr>
            <w:tcW w:w="1120" w:type="dxa"/>
            <w:vAlign w:val="bottom"/>
          </w:tcPr>
          <w:p>
            <w:pPr>
              <w:jc w:val="right"/>
              <w:spacing w:after="0"/>
              <w:rPr>
                <w:sz w:val="20"/>
                <w:szCs w:val="20"/>
                <w:color w:val="auto"/>
              </w:rPr>
            </w:pPr>
            <w:r>
              <w:rPr>
                <w:rFonts w:ascii="Courier New" w:cs="Courier New" w:eastAsia="Courier New" w:hAnsi="Courier New"/>
                <w:sz w:val="13"/>
                <w:szCs w:val="13"/>
                <w:color w:val="auto"/>
              </w:rPr>
              <w:t>(595)</w:t>
            </w:r>
          </w:p>
        </w:tc>
      </w:tr>
      <w:tr>
        <w:trPr>
          <w:trHeight w:val="154"/>
        </w:trPr>
        <w:tc>
          <w:tcPr>
            <w:tcW w:w="4380" w:type="dxa"/>
            <w:vAlign w:val="bottom"/>
          </w:tcPr>
          <w:p>
            <w:pPr>
              <w:spacing w:after="0"/>
              <w:rPr>
                <w:sz w:val="20"/>
                <w:szCs w:val="20"/>
                <w:color w:val="auto"/>
              </w:rPr>
            </w:pPr>
            <w:r>
              <w:rPr>
                <w:rFonts w:ascii="Courier New" w:cs="Courier New" w:eastAsia="Courier New" w:hAnsi="Courier New"/>
                <w:sz w:val="13"/>
                <w:szCs w:val="13"/>
                <w:color w:val="auto"/>
              </w:rPr>
              <w:t>Effect of currency translation and other</w:t>
            </w:r>
          </w:p>
        </w:tc>
        <w:tc>
          <w:tcPr>
            <w:tcW w:w="12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(16)</w:t>
            </w:r>
          </w:p>
        </w:tc>
        <w:tc>
          <w:tcPr>
            <w:tcW w:w="64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(55)</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438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308"/>
        </w:trPr>
        <w:tc>
          <w:tcPr>
            <w:tcW w:w="4380" w:type="dxa"/>
            <w:vAlign w:val="bottom"/>
          </w:tcPr>
          <w:p>
            <w:pPr>
              <w:ind w:left="1120"/>
              <w:spacing w:after="0"/>
              <w:rPr>
                <w:sz w:val="20"/>
                <w:szCs w:val="20"/>
                <w:color w:val="auto"/>
              </w:rPr>
            </w:pPr>
            <w:r>
              <w:rPr>
                <w:rFonts w:ascii="Courier New" w:cs="Courier New" w:eastAsia="Courier New" w:hAnsi="Courier New"/>
                <w:sz w:val="13"/>
                <w:szCs w:val="13"/>
                <w:color w:val="auto"/>
              </w:rPr>
              <w:t>Deferred income tax expense</w:t>
            </w:r>
          </w:p>
        </w:tc>
        <w:tc>
          <w:tcPr>
            <w:tcW w:w="12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$ 2,564</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7"/>
              </w:rPr>
              <w:t>1,296</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1,185</w:t>
            </w:r>
          </w:p>
        </w:tc>
      </w:tr>
      <w:tr>
        <w:trPr>
          <w:trHeight w:val="154"/>
        </w:trPr>
        <w:tc>
          <w:tcPr>
            <w:tcW w:w="438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20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80" w:right="3979"/>
        <w:spacing w:after="0" w:line="252" w:lineRule="auto"/>
        <w:rPr>
          <w:sz w:val="20"/>
          <w:szCs w:val="20"/>
          <w:color w:val="auto"/>
        </w:rPr>
      </w:pPr>
      <w:r>
        <w:rPr>
          <w:rFonts w:ascii="Courier New" w:cs="Courier New" w:eastAsia="Courier New" w:hAnsi="Courier New"/>
          <w:sz w:val="13"/>
          <w:szCs w:val="13"/>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pacing w:after="0" w:line="153" w:lineRule="exact"/>
        <w:rPr>
          <w:sz w:val="20"/>
          <w:szCs w:val="20"/>
          <w:color w:val="auto"/>
        </w:rPr>
      </w:pPr>
    </w:p>
    <w:p>
      <w:pPr>
        <w:ind w:left="80" w:right="3819"/>
        <w:spacing w:after="0" w:line="251" w:lineRule="auto"/>
        <w:rPr>
          <w:sz w:val="20"/>
          <w:szCs w:val="20"/>
          <w:color w:val="auto"/>
        </w:rPr>
      </w:pPr>
      <w:r>
        <w:rPr>
          <w:rFonts w:ascii="Courier New" w:cs="Courier New" w:eastAsia="Courier New" w:hAnsi="Courier New"/>
          <w:sz w:val="13"/>
          <w:szCs w:val="13"/>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310" w:lineRule="exact"/>
        <w:rPr>
          <w:sz w:val="20"/>
          <w:szCs w:val="20"/>
          <w:color w:val="auto"/>
        </w:rPr>
      </w:pPr>
    </w:p>
    <w:p>
      <w:pPr>
        <w:ind w:left="5220"/>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173355</wp:posOffset>
            </wp:positionV>
            <wp:extent cx="730440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9759"/>
          </w:cols>
          <w:pgMar w:left="70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ectPr>
          <w:pgSz w:w="11900" w:h="16838" w:orient="portrait"/>
          <w:cols w:equalWidth="0" w:num="1">
            <w:col w:w="9759"/>
          </w:cols>
          <w:pgMar w:left="700" w:top="141" w:right="1440" w:bottom="0" w:gutter="0" w:footer="0" w:header="0"/>
          <w:type w:val="continuous"/>
        </w:sectPr>
      </w:pPr>
    </w:p>
    <w:bookmarkStart w:id="39" w:name="page40"/>
    <w:bookmarkEnd w:id="39"/>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4980" w:type="dxa"/>
            <w:vAlign w:val="bottom"/>
            <w:gridSpan w:val="2"/>
          </w:tcPr>
          <w:p>
            <w:pPr>
              <w:ind w:left="1360"/>
              <w:spacing w:after="0"/>
              <w:rPr>
                <w:sz w:val="20"/>
                <w:szCs w:val="20"/>
                <w:color w:val="auto"/>
              </w:rPr>
            </w:pPr>
            <w:r>
              <w:rPr>
                <w:rFonts w:ascii="Courier New" w:cs="Courier New" w:eastAsia="Courier New" w:hAnsi="Courier New"/>
                <w:sz w:val="13"/>
                <w:szCs w:val="13"/>
                <w:b w:val="1"/>
                <w:bCs w:val="1"/>
                <w:color w:val="auto"/>
              </w:rPr>
              <w:t>(In thousands, except per share data)</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617"/>
        </w:trPr>
        <w:tc>
          <w:tcPr>
            <w:tcW w:w="40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w w:val="93"/>
              </w:rPr>
              <w:t>14)</w:t>
            </w:r>
          </w:p>
        </w:tc>
        <w:tc>
          <w:tcPr>
            <w:tcW w:w="4980" w:type="dxa"/>
            <w:vAlign w:val="bottom"/>
            <w:gridSpan w:val="2"/>
          </w:tcPr>
          <w:p>
            <w:pPr>
              <w:ind w:left="320"/>
              <w:spacing w:after="0"/>
              <w:rPr>
                <w:sz w:val="20"/>
                <w:szCs w:val="20"/>
                <w:color w:val="auto"/>
              </w:rPr>
            </w:pPr>
            <w:r>
              <w:rPr>
                <w:rFonts w:ascii="Courier New" w:cs="Courier New" w:eastAsia="Courier New" w:hAnsi="Courier New"/>
                <w:sz w:val="13"/>
                <w:szCs w:val="13"/>
                <w:b w:val="1"/>
                <w:bCs w:val="1"/>
                <w:color w:val="auto"/>
              </w:rPr>
              <w:t>Reconciliation of Net Income Per Share (Restated)</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8"/>
        </w:trPr>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gridSpan w:val="3"/>
          </w:tcPr>
          <w:p>
            <w:pPr>
              <w:jc w:val="center"/>
              <w:ind w:left="413"/>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40" w:type="dxa"/>
            <w:vAlign w:val="bottom"/>
            <w:gridSpan w:val="2"/>
          </w:tcPr>
          <w:p>
            <w:pPr>
              <w:jc w:val="right"/>
              <w:ind w:right="413"/>
              <w:spacing w:after="0"/>
              <w:rPr>
                <w:sz w:val="20"/>
                <w:szCs w:val="20"/>
                <w:color w:val="auto"/>
              </w:rPr>
            </w:pPr>
            <w:r>
              <w:rPr>
                <w:rFonts w:ascii="Courier New" w:cs="Courier New" w:eastAsia="Courier New" w:hAnsi="Courier New"/>
                <w:sz w:val="13"/>
                <w:szCs w:val="13"/>
                <w:b w:val="1"/>
                <w:bCs w:val="1"/>
                <w:color w:val="auto"/>
              </w:rPr>
              <w:t>Restated</w:t>
            </w: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0" w:type="dxa"/>
            <w:vAlign w:val="bottom"/>
          </w:tcPr>
          <w:p>
            <w:pPr>
              <w:ind w:left="1080"/>
              <w:spacing w:after="0"/>
              <w:rPr>
                <w:sz w:val="20"/>
                <w:szCs w:val="20"/>
                <w:color w:val="auto"/>
              </w:rPr>
            </w:pPr>
            <w:r>
              <w:rPr>
                <w:rFonts w:ascii="Courier New" w:cs="Courier New" w:eastAsia="Courier New" w:hAnsi="Courier New"/>
                <w:sz w:val="13"/>
                <w:szCs w:val="13"/>
                <w:b w:val="1"/>
                <w:bCs w:val="1"/>
                <w:color w:val="auto"/>
                <w:w w:val="95"/>
              </w:rPr>
              <w:t>2002</w:t>
            </w: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2001</w:t>
            </w:r>
          </w:p>
        </w:tc>
        <w:tc>
          <w:tcPr>
            <w:tcW w:w="8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3"/>
                <w:szCs w:val="13"/>
                <w:b w:val="1"/>
                <w:bCs w:val="1"/>
                <w:color w:val="auto"/>
              </w:rPr>
              <w:t>2000</w:t>
            </w:r>
          </w:p>
        </w:tc>
        <w:tc>
          <w:tcPr>
            <w:tcW w:w="640" w:type="dxa"/>
            <w:vAlign w:val="bottom"/>
          </w:tcPr>
          <w:p>
            <w:pPr>
              <w:spacing w:after="0"/>
              <w:rPr>
                <w:sz w:val="13"/>
                <w:szCs w:val="13"/>
                <w:color w:val="auto"/>
              </w:rPr>
            </w:pPr>
          </w:p>
        </w:tc>
      </w:tr>
      <w:tr>
        <w:trPr>
          <w:trHeight w:val="154"/>
        </w:trPr>
        <w:tc>
          <w:tcPr>
            <w:tcW w:w="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40" w:type="dxa"/>
            <w:vAlign w:val="bottom"/>
            <w:gridSpan w:val="2"/>
          </w:tcPr>
          <w:p>
            <w:pPr>
              <w:jc w:val="center"/>
              <w:ind w:left="453"/>
              <w:spacing w:after="0"/>
              <w:rPr>
                <w:sz w:val="20"/>
                <w:szCs w:val="20"/>
                <w:color w:val="auto"/>
              </w:rPr>
            </w:pPr>
            <w:r>
              <w:rPr>
                <w:rFonts w:ascii="Courier New" w:cs="Courier New" w:eastAsia="Courier New" w:hAnsi="Courier New"/>
                <w:sz w:val="13"/>
                <w:szCs w:val="13"/>
                <w:b w:val="1"/>
                <w:bCs w:val="1"/>
                <w:color w:val="auto"/>
              </w:rPr>
              <w:t>-----------------</w:t>
            </w:r>
          </w:p>
        </w:tc>
        <w:tc>
          <w:tcPr>
            <w:tcW w:w="1680" w:type="dxa"/>
            <w:vAlign w:val="bottom"/>
            <w:gridSpan w:val="2"/>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400" w:type="dxa"/>
            <w:vAlign w:val="bottom"/>
          </w:tcPr>
          <w:p>
            <w:pPr>
              <w:spacing w:after="0"/>
              <w:rPr>
                <w:sz w:val="13"/>
                <w:szCs w:val="13"/>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3"/>
                <w:szCs w:val="13"/>
                <w:color w:val="auto"/>
              </w:rPr>
              <w:t>Net income</w:t>
            </w:r>
          </w:p>
        </w:tc>
        <w:tc>
          <w:tcPr>
            <w:tcW w:w="1400" w:type="dxa"/>
            <w:vAlign w:val="bottom"/>
          </w:tcPr>
          <w:p>
            <w:pPr>
              <w:jc w:val="center"/>
              <w:ind w:left="10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7,760</w:t>
            </w:r>
          </w:p>
        </w:tc>
        <w:tc>
          <w:tcPr>
            <w:tcW w:w="880" w:type="dxa"/>
            <w:vAlign w:val="bottom"/>
          </w:tcPr>
          <w:p>
            <w:pPr>
              <w:jc w:val="center"/>
              <w:ind w:left="57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4,662</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9,987</w:t>
            </w:r>
          </w:p>
        </w:tc>
      </w:tr>
      <w:tr>
        <w:trPr>
          <w:trHeight w:val="308"/>
        </w:trPr>
        <w:tc>
          <w:tcPr>
            <w:tcW w:w="40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3"/>
                <w:szCs w:val="13"/>
                <w:color w:val="auto"/>
              </w:rPr>
              <w:t>Weighted average shares outstanding</w:t>
            </w:r>
          </w:p>
        </w:tc>
        <w:tc>
          <w:tcPr>
            <w:tcW w:w="1400" w:type="dxa"/>
            <w:vAlign w:val="bottom"/>
          </w:tcPr>
          <w:p>
            <w:pPr>
              <w:spacing w:after="0"/>
              <w:rPr>
                <w:sz w:val="24"/>
                <w:szCs w:val="24"/>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8"/>
              </w:rPr>
              <w:t>15,343</w:t>
            </w:r>
          </w:p>
        </w:tc>
        <w:tc>
          <w:tcPr>
            <w:tcW w:w="880" w:type="dxa"/>
            <w:vAlign w:val="bottom"/>
          </w:tcPr>
          <w:p>
            <w:pPr>
              <w:spacing w:after="0"/>
              <w:rPr>
                <w:sz w:val="24"/>
                <w:szCs w:val="24"/>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15,259</w:t>
            </w:r>
          </w:p>
        </w:tc>
        <w:tc>
          <w:tcPr>
            <w:tcW w:w="800" w:type="dxa"/>
            <w:vAlign w:val="bottom"/>
          </w:tcPr>
          <w:p>
            <w:pPr>
              <w:spacing w:after="0"/>
              <w:rPr>
                <w:sz w:val="24"/>
                <w:szCs w:val="24"/>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8"/>
              </w:rPr>
              <w:t>15,247</w:t>
            </w:r>
          </w:p>
        </w:tc>
      </w:tr>
      <w:tr>
        <w:trPr>
          <w:trHeight w:val="154"/>
        </w:trPr>
        <w:tc>
          <w:tcPr>
            <w:tcW w:w="400" w:type="dxa"/>
            <w:vAlign w:val="bottom"/>
          </w:tcPr>
          <w:p>
            <w:pPr>
              <w:spacing w:after="0"/>
              <w:rPr>
                <w:sz w:val="13"/>
                <w:szCs w:val="13"/>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3"/>
                <w:szCs w:val="13"/>
                <w:color w:val="auto"/>
              </w:rPr>
              <w:t>Effective of dilutive stock options</w:t>
            </w:r>
          </w:p>
        </w:tc>
        <w:tc>
          <w:tcPr>
            <w:tcW w:w="14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371</w:t>
            </w:r>
          </w:p>
        </w:tc>
        <w:tc>
          <w:tcPr>
            <w:tcW w:w="880" w:type="dxa"/>
            <w:vAlign w:val="bottom"/>
          </w:tcPr>
          <w:p>
            <w:pPr>
              <w:spacing w:after="0"/>
              <w:rPr>
                <w:sz w:val="13"/>
                <w:szCs w:val="13"/>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281</w:t>
            </w:r>
          </w:p>
        </w:tc>
        <w:tc>
          <w:tcPr>
            <w:tcW w:w="8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284</w:t>
            </w:r>
          </w:p>
        </w:tc>
      </w:tr>
      <w:tr>
        <w:trPr>
          <w:trHeight w:val="154"/>
        </w:trPr>
        <w:tc>
          <w:tcPr>
            <w:tcW w:w="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40" w:type="dxa"/>
            <w:vAlign w:val="bottom"/>
            <w:gridSpan w:val="2"/>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16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0" w:type="dxa"/>
            <w:vAlign w:val="bottom"/>
          </w:tcPr>
          <w:p>
            <w:pPr>
              <w:spacing w:after="0"/>
              <w:rPr>
                <w:sz w:val="13"/>
                <w:szCs w:val="13"/>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3"/>
                <w:szCs w:val="13"/>
                <w:color w:val="auto"/>
              </w:rPr>
              <w:t>Dilutive shares outstanding</w:t>
            </w:r>
          </w:p>
        </w:tc>
        <w:tc>
          <w:tcPr>
            <w:tcW w:w="14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8"/>
              </w:rPr>
              <w:t>15,714</w:t>
            </w:r>
          </w:p>
        </w:tc>
        <w:tc>
          <w:tcPr>
            <w:tcW w:w="880" w:type="dxa"/>
            <w:vAlign w:val="bottom"/>
          </w:tcPr>
          <w:p>
            <w:pPr>
              <w:spacing w:after="0"/>
              <w:rPr>
                <w:sz w:val="13"/>
                <w:szCs w:val="13"/>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8"/>
              </w:rPr>
              <w:t>15,540</w:t>
            </w:r>
          </w:p>
        </w:tc>
        <w:tc>
          <w:tcPr>
            <w:tcW w:w="8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8"/>
              </w:rPr>
              <w:t>15,531</w:t>
            </w:r>
          </w:p>
        </w:tc>
      </w:tr>
      <w:tr>
        <w:trPr>
          <w:trHeight w:val="308"/>
        </w:trPr>
        <w:tc>
          <w:tcPr>
            <w:tcW w:w="40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3"/>
                <w:szCs w:val="13"/>
                <w:color w:val="auto"/>
              </w:rPr>
              <w:t>Basic net income per share</w:t>
            </w:r>
          </w:p>
        </w:tc>
        <w:tc>
          <w:tcPr>
            <w:tcW w:w="1400" w:type="dxa"/>
            <w:vAlign w:val="bottom"/>
          </w:tcPr>
          <w:p>
            <w:pPr>
              <w:ind w:left="1080"/>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0.51</w:t>
            </w:r>
          </w:p>
        </w:tc>
        <w:tc>
          <w:tcPr>
            <w:tcW w:w="880" w:type="dxa"/>
            <w:vAlign w:val="bottom"/>
          </w:tcPr>
          <w:p>
            <w:pPr>
              <w:jc w:val="center"/>
              <w:ind w:left="57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0.31</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0.66</w:t>
            </w:r>
          </w:p>
        </w:tc>
      </w:tr>
      <w:tr>
        <w:trPr>
          <w:trHeight w:val="154"/>
        </w:trPr>
        <w:tc>
          <w:tcPr>
            <w:tcW w:w="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40" w:type="dxa"/>
            <w:vAlign w:val="bottom"/>
            <w:gridSpan w:val="2"/>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16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4"/>
        </w:trPr>
        <w:tc>
          <w:tcPr>
            <w:tcW w:w="400" w:type="dxa"/>
            <w:vAlign w:val="bottom"/>
          </w:tcPr>
          <w:p>
            <w:pPr>
              <w:spacing w:after="0"/>
              <w:rPr>
                <w:sz w:val="13"/>
                <w:szCs w:val="13"/>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3"/>
                <w:szCs w:val="13"/>
                <w:color w:val="auto"/>
              </w:rPr>
              <w:t>Diluted net income per share</w:t>
            </w:r>
          </w:p>
        </w:tc>
        <w:tc>
          <w:tcPr>
            <w:tcW w:w="1400" w:type="dxa"/>
            <w:vAlign w:val="bottom"/>
          </w:tcPr>
          <w:p>
            <w:pPr>
              <w:ind w:left="1080"/>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0.49</w:t>
            </w:r>
          </w:p>
        </w:tc>
        <w:tc>
          <w:tcPr>
            <w:tcW w:w="880" w:type="dxa"/>
            <w:vAlign w:val="bottom"/>
          </w:tcPr>
          <w:p>
            <w:pPr>
              <w:jc w:val="center"/>
              <w:ind w:left="57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0.30</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0.64</w:t>
            </w:r>
          </w:p>
        </w:tc>
      </w:tr>
      <w:tr>
        <w:trPr>
          <w:trHeight w:val="154"/>
        </w:trPr>
        <w:tc>
          <w:tcPr>
            <w:tcW w:w="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40" w:type="dxa"/>
            <w:vAlign w:val="bottom"/>
            <w:gridSpan w:val="2"/>
          </w:tcPr>
          <w:p>
            <w:pPr>
              <w:jc w:val="center"/>
              <w:ind w:left="453"/>
              <w:spacing w:after="0"/>
              <w:rPr>
                <w:sz w:val="20"/>
                <w:szCs w:val="20"/>
                <w:color w:val="auto"/>
              </w:rPr>
            </w:pPr>
            <w:r>
              <w:rPr>
                <w:rFonts w:ascii="Courier New" w:cs="Courier New" w:eastAsia="Courier New" w:hAnsi="Courier New"/>
                <w:sz w:val="13"/>
                <w:szCs w:val="13"/>
                <w:color w:val="auto"/>
              </w:rPr>
              <w:t>=================</w:t>
            </w:r>
          </w:p>
        </w:tc>
        <w:tc>
          <w:tcPr>
            <w:tcW w:w="16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3819"/>
        <w:spacing w:after="0" w:line="252" w:lineRule="auto"/>
        <w:rPr>
          <w:sz w:val="20"/>
          <w:szCs w:val="20"/>
          <w:color w:val="auto"/>
        </w:rPr>
      </w:pPr>
      <w:r>
        <w:rPr>
          <w:rFonts w:ascii="Courier New" w:cs="Courier New" w:eastAsia="Courier New" w:hAnsi="Courier New"/>
          <w:sz w:val="13"/>
          <w:szCs w:val="13"/>
          <w:color w:val="auto"/>
        </w:rPr>
        <w:t>Excluded from the shares outstanding for the years ended December 31, 2002, 2001 and 2000 were 7, 7 and 10 antidilutive options, respectively, which had an exercise price of $10.26 during 2002, and $10.26 during 2001 and exercise prices ranging from $9.75 to $11.50 during 2000.</w:t>
      </w:r>
    </w:p>
    <w:p>
      <w:pPr>
        <w:spacing w:after="0" w:line="307" w:lineRule="exact"/>
        <w:rPr>
          <w:sz w:val="20"/>
          <w:szCs w:val="20"/>
          <w:color w:val="auto"/>
        </w:rPr>
      </w:pPr>
    </w:p>
    <w:p>
      <w:pPr>
        <w:ind w:left="720" w:hanging="718"/>
        <w:spacing w:after="0"/>
        <w:tabs>
          <w:tab w:leader="none" w:pos="720" w:val="left"/>
        </w:tabs>
        <w:numPr>
          <w:ilvl w:val="0"/>
          <w:numId w:val="22"/>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Commitments and Contingencies</w:t>
      </w:r>
    </w:p>
    <w:p>
      <w:pPr>
        <w:spacing w:after="0" w:line="16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Company has operating lease commitments for machinery, office equipment, manufacturing and office space which expire on varying dates. Rent expense for 2002, 2001 and 2000 was $1,855, $1,650 and $767, respectively. The following is a schedule by year of future minimum lease payments as of December 31, 2002 under operating leases that have initial or remaining noncancelable lease terms in excess of one year.</w:t>
      </w: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020" w:type="dxa"/>
            <w:vAlign w:val="bottom"/>
          </w:tcPr>
          <w:p>
            <w:pPr>
              <w:ind w:left="960"/>
              <w:spacing w:after="0"/>
              <w:rPr>
                <w:sz w:val="20"/>
                <w:szCs w:val="20"/>
                <w:color w:val="auto"/>
              </w:rPr>
            </w:pPr>
            <w:r>
              <w:rPr>
                <w:rFonts w:ascii="Courier New" w:cs="Courier New" w:eastAsia="Courier New" w:hAnsi="Courier New"/>
                <w:sz w:val="13"/>
                <w:szCs w:val="13"/>
                <w:b w:val="1"/>
                <w:bCs w:val="1"/>
                <w:color w:val="auto"/>
              </w:rPr>
              <w:t>Year ended December 31,</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4"/>
        </w:trPr>
        <w:tc>
          <w:tcPr>
            <w:tcW w:w="4020" w:type="dxa"/>
            <w:vAlign w:val="bottom"/>
          </w:tcPr>
          <w:p>
            <w:pPr>
              <w:spacing w:after="0"/>
              <w:rPr>
                <w:sz w:val="20"/>
                <w:szCs w:val="20"/>
                <w:color w:val="auto"/>
              </w:rPr>
            </w:pPr>
            <w:r>
              <w:rPr>
                <w:rFonts w:ascii="Courier New" w:cs="Courier New" w:eastAsia="Courier New" w:hAnsi="Courier New"/>
                <w:sz w:val="13"/>
                <w:szCs w:val="13"/>
                <w:b w:val="1"/>
                <w:bCs w:val="1"/>
                <w:color w:val="auto"/>
              </w:rPr>
              <w:t>-------------------------------------------------</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08"/>
        </w:trPr>
        <w:tc>
          <w:tcPr>
            <w:tcW w:w="4020" w:type="dxa"/>
            <w:vAlign w:val="bottom"/>
          </w:tcPr>
          <w:p>
            <w:pPr>
              <w:ind w:left="640"/>
              <w:spacing w:after="0"/>
              <w:rPr>
                <w:sz w:val="20"/>
                <w:szCs w:val="20"/>
                <w:color w:val="auto"/>
              </w:rPr>
            </w:pPr>
            <w:r>
              <w:rPr>
                <w:rFonts w:ascii="Courier New" w:cs="Courier New" w:eastAsia="Courier New" w:hAnsi="Courier New"/>
                <w:sz w:val="13"/>
                <w:szCs w:val="13"/>
                <w:color w:val="auto"/>
              </w:rPr>
              <w:t>2003</w:t>
            </w:r>
          </w:p>
        </w:tc>
        <w:tc>
          <w:tcPr>
            <w:tcW w:w="400" w:type="dxa"/>
            <w:vAlign w:val="bottom"/>
          </w:tcPr>
          <w:p>
            <w:pPr>
              <w:ind w:left="80"/>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1,422</w:t>
            </w:r>
          </w:p>
        </w:tc>
      </w:tr>
      <w:tr>
        <w:trPr>
          <w:trHeight w:val="154"/>
        </w:trPr>
        <w:tc>
          <w:tcPr>
            <w:tcW w:w="4020" w:type="dxa"/>
            <w:vAlign w:val="bottom"/>
          </w:tcPr>
          <w:p>
            <w:pPr>
              <w:ind w:left="640"/>
              <w:spacing w:after="0"/>
              <w:rPr>
                <w:sz w:val="20"/>
                <w:szCs w:val="20"/>
                <w:color w:val="auto"/>
              </w:rPr>
            </w:pPr>
            <w:r>
              <w:rPr>
                <w:rFonts w:ascii="Courier New" w:cs="Courier New" w:eastAsia="Courier New" w:hAnsi="Courier New"/>
                <w:sz w:val="13"/>
                <w:szCs w:val="13"/>
                <w:color w:val="auto"/>
              </w:rPr>
              <w:t>2004</w:t>
            </w:r>
          </w:p>
        </w:tc>
        <w:tc>
          <w:tcPr>
            <w:tcW w:w="40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1,347</w:t>
            </w:r>
          </w:p>
        </w:tc>
      </w:tr>
      <w:tr>
        <w:trPr>
          <w:trHeight w:val="154"/>
        </w:trPr>
        <w:tc>
          <w:tcPr>
            <w:tcW w:w="4020" w:type="dxa"/>
            <w:vAlign w:val="bottom"/>
          </w:tcPr>
          <w:p>
            <w:pPr>
              <w:ind w:left="640"/>
              <w:spacing w:after="0"/>
              <w:rPr>
                <w:sz w:val="20"/>
                <w:szCs w:val="20"/>
                <w:color w:val="auto"/>
              </w:rPr>
            </w:pPr>
            <w:r>
              <w:rPr>
                <w:rFonts w:ascii="Courier New" w:cs="Courier New" w:eastAsia="Courier New" w:hAnsi="Courier New"/>
                <w:sz w:val="13"/>
                <w:szCs w:val="13"/>
                <w:color w:val="auto"/>
              </w:rPr>
              <w:t>2005</w:t>
            </w:r>
          </w:p>
        </w:tc>
        <w:tc>
          <w:tcPr>
            <w:tcW w:w="40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1,138</w:t>
            </w:r>
          </w:p>
        </w:tc>
      </w:tr>
      <w:tr>
        <w:trPr>
          <w:trHeight w:val="154"/>
        </w:trPr>
        <w:tc>
          <w:tcPr>
            <w:tcW w:w="4020" w:type="dxa"/>
            <w:vAlign w:val="bottom"/>
          </w:tcPr>
          <w:p>
            <w:pPr>
              <w:ind w:left="640"/>
              <w:spacing w:after="0"/>
              <w:rPr>
                <w:sz w:val="20"/>
                <w:szCs w:val="20"/>
                <w:color w:val="auto"/>
              </w:rPr>
            </w:pPr>
            <w:r>
              <w:rPr>
                <w:rFonts w:ascii="Courier New" w:cs="Courier New" w:eastAsia="Courier New" w:hAnsi="Courier New"/>
                <w:sz w:val="13"/>
                <w:szCs w:val="13"/>
                <w:color w:val="auto"/>
              </w:rPr>
              <w:t>2006</w:t>
            </w:r>
          </w:p>
        </w:tc>
        <w:tc>
          <w:tcPr>
            <w:tcW w:w="40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975</w:t>
            </w:r>
          </w:p>
        </w:tc>
      </w:tr>
      <w:tr>
        <w:trPr>
          <w:trHeight w:val="154"/>
        </w:trPr>
        <w:tc>
          <w:tcPr>
            <w:tcW w:w="4020" w:type="dxa"/>
            <w:vAlign w:val="bottom"/>
          </w:tcPr>
          <w:p>
            <w:pPr>
              <w:ind w:left="640"/>
              <w:spacing w:after="0"/>
              <w:rPr>
                <w:sz w:val="20"/>
                <w:szCs w:val="20"/>
                <w:color w:val="auto"/>
              </w:rPr>
            </w:pPr>
            <w:r>
              <w:rPr>
                <w:rFonts w:ascii="Courier New" w:cs="Courier New" w:eastAsia="Courier New" w:hAnsi="Courier New"/>
                <w:sz w:val="13"/>
                <w:szCs w:val="13"/>
                <w:color w:val="auto"/>
              </w:rPr>
              <w:t>2007</w:t>
            </w:r>
          </w:p>
        </w:tc>
        <w:tc>
          <w:tcPr>
            <w:tcW w:w="40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977</w:t>
            </w:r>
          </w:p>
        </w:tc>
      </w:tr>
      <w:tr>
        <w:trPr>
          <w:trHeight w:val="154"/>
        </w:trPr>
        <w:tc>
          <w:tcPr>
            <w:tcW w:w="4020" w:type="dxa"/>
            <w:vAlign w:val="bottom"/>
          </w:tcPr>
          <w:p>
            <w:pPr>
              <w:ind w:left="640"/>
              <w:spacing w:after="0"/>
              <w:rPr>
                <w:sz w:val="20"/>
                <w:szCs w:val="20"/>
                <w:color w:val="auto"/>
              </w:rPr>
            </w:pPr>
            <w:r>
              <w:rPr>
                <w:rFonts w:ascii="Courier New" w:cs="Courier New" w:eastAsia="Courier New" w:hAnsi="Courier New"/>
                <w:sz w:val="13"/>
                <w:szCs w:val="13"/>
                <w:color w:val="auto"/>
              </w:rPr>
              <w:t>Thereafter</w:t>
            </w:r>
          </w:p>
        </w:tc>
        <w:tc>
          <w:tcPr>
            <w:tcW w:w="40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11,913</w:t>
            </w:r>
          </w:p>
        </w:tc>
      </w:tr>
      <w:tr>
        <w:trPr>
          <w:trHeight w:val="154"/>
        </w:trPr>
        <w:tc>
          <w:tcPr>
            <w:tcW w:w="402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w:t>
            </w:r>
          </w:p>
        </w:tc>
      </w:tr>
      <w:tr>
        <w:trPr>
          <w:trHeight w:val="154"/>
        </w:trPr>
        <w:tc>
          <w:tcPr>
            <w:tcW w:w="4020" w:type="dxa"/>
            <w:vAlign w:val="bottom"/>
          </w:tcPr>
          <w:p>
            <w:pPr>
              <w:ind w:left="1120"/>
              <w:spacing w:after="0"/>
              <w:rPr>
                <w:sz w:val="20"/>
                <w:szCs w:val="20"/>
                <w:color w:val="auto"/>
              </w:rPr>
            </w:pPr>
            <w:r>
              <w:rPr>
                <w:rFonts w:ascii="Courier New" w:cs="Courier New" w:eastAsia="Courier New" w:hAnsi="Courier New"/>
                <w:sz w:val="13"/>
                <w:szCs w:val="13"/>
                <w:color w:val="auto"/>
              </w:rPr>
              <w:t>Total minimum lease payments</w:t>
            </w:r>
          </w:p>
        </w:tc>
        <w:tc>
          <w:tcPr>
            <w:tcW w:w="4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17,772</w:t>
            </w:r>
          </w:p>
        </w:tc>
      </w:tr>
      <w:tr>
        <w:trPr>
          <w:trHeight w:val="154"/>
        </w:trPr>
        <w:tc>
          <w:tcPr>
            <w:tcW w:w="402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The Kilkenny operation of the Euroball Segment has received certain grants from the Ireland government. These grants are based upon the Kilkenny facility hiring and retaining certain employment levels by the measurement date. At December 31, 2002, actual employment levels are less than those required by certain grant covenants. During 2002, the grant agreement measurement date was amended to extend the measurement date. The Company anticipates that, if necessary, the grant agreement measurement date and /or employment level thresholds would again be adjusted. As of December 31, 2002, 2001 and 2000, the grant is recorded as a component of other non-current liabilities in the amount of $506, $497, and $578 respectively.</w:t>
      </w:r>
    </w:p>
    <w:p>
      <w:pPr>
        <w:spacing w:after="0" w:line="310"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The Euroball Segment has entered into a supply contract with Ascometal France ("Ascometal") for the purchase of steel for ball production. The contract terms specify that Ascometal provide Euroball 90%, 90%, 85% and 85% of its</w:t>
      </w:r>
    </w:p>
    <w:p>
      <w:pPr>
        <w:spacing w:after="0" w:line="153"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315"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steel requirements for the years ending December 31, 2002,</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2003, 2004 and 2005, respectively. The contract, among other things,</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stipulates that Ascometal achieve certain performance targets related to</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quality, reliability and service. The contract provisions include annual</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price adjustments based upon published indexes in addition to annual</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productivity improvement factor multiples. In 2002 Euroball purchased</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approximately $19,600 under the terms of this contract. Annual purchase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commitments for the remaining term of the contract are approximately</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$21,600, $19,900 and $20,700 for 2003, 2004 and 2005, respectively. The</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contract expires December 31, 2005, however, is automatically renewed for</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one year periods thereafter unless notice is provided by either Euroball</w:t>
      </w:r>
    </w:p>
    <w:p>
      <w:pPr>
        <w:spacing w:after="0" w:line="7"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or Ascometal.</w:t>
      </w:r>
    </w:p>
    <w:p>
      <w:pPr>
        <w:spacing w:after="0" w:line="161" w:lineRule="exact"/>
        <w:rPr>
          <w:sz w:val="20"/>
          <w:szCs w:val="20"/>
          <w:color w:val="auto"/>
        </w:rPr>
      </w:pPr>
    </w:p>
    <w:p>
      <w:pPr>
        <w:ind w:left="560" w:right="3819"/>
        <w:spacing w:after="0" w:line="251" w:lineRule="auto"/>
        <w:rPr>
          <w:sz w:val="20"/>
          <w:szCs w:val="20"/>
          <w:color w:val="auto"/>
        </w:rPr>
      </w:pPr>
      <w:r>
        <w:rPr>
          <w:rFonts w:ascii="Courier New" w:cs="Courier New" w:eastAsia="Courier New" w:hAnsi="Courier New"/>
          <w:sz w:val="13"/>
          <w:szCs w:val="13"/>
          <w:color w:val="auto"/>
        </w:rPr>
        <w:t>Beginning in January 2003, SKF may exercise its right under The Shareholders Agreement to cause the Company to purchase its interest in Euroball based on the Put Formula in the Shareholders Agreement. The Company anticipates that if such purchase becomes necessary, it may need to borrow additional funds. Because the purchase price is based on a Euro based formula using Euroball's historical cash flow and earnings, the exact amount of the put cannot be determined until the put right is exercised. However, if exercised at December 31, 2002, the purchase price would have been approximately $14,000 versus minority interest in consolidated subsidiaries of $12,285.</w:t>
      </w:r>
    </w:p>
    <w:p>
      <w:pPr>
        <w:sectPr>
          <w:pgSz w:w="11900" w:h="16838" w:orient="portrait"/>
          <w:cols w:equalWidth="0" w:num="1">
            <w:col w:w="10239"/>
          </w:cols>
          <w:pgMar w:left="220" w:top="141" w:right="1440" w:bottom="0" w:gutter="0" w:footer="0" w:header="0"/>
        </w:sectPr>
      </w:pPr>
    </w:p>
    <w:bookmarkStart w:id="40" w:name="page41"/>
    <w:bookmarkEnd w:id="40"/>
    <w:p>
      <w:pPr>
        <w:ind w:left="720" w:hanging="718"/>
        <w:spacing w:after="0"/>
        <w:tabs>
          <w:tab w:leader="none" w:pos="720" w:val="left"/>
        </w:tabs>
        <w:numPr>
          <w:ilvl w:val="0"/>
          <w:numId w:val="23"/>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Quarterly Results of Operations (Unaudited) (Restated)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gridSpan w:val="5"/>
          </w:tcPr>
          <w:p>
            <w:pPr>
              <w:ind w:left="560"/>
              <w:spacing w:after="0"/>
              <w:rPr>
                <w:sz w:val="20"/>
                <w:szCs w:val="20"/>
                <w:color w:val="auto"/>
              </w:rPr>
            </w:pPr>
            <w:r>
              <w:rPr>
                <w:rFonts w:ascii="Courier New" w:cs="Courier New" w:eastAsia="Courier New" w:hAnsi="Courier New"/>
                <w:sz w:val="13"/>
                <w:szCs w:val="13"/>
                <w:color w:val="auto"/>
              </w:rPr>
              <w:t>The following summarizes the unaudited quarterly results of operations</w:t>
            </w:r>
          </w:p>
        </w:tc>
      </w:tr>
      <w:tr>
        <w:trPr>
          <w:trHeight w:val="154"/>
        </w:trPr>
        <w:tc>
          <w:tcPr>
            <w:tcW w:w="4820" w:type="dxa"/>
            <w:vAlign w:val="bottom"/>
            <w:gridSpan w:val="4"/>
          </w:tcPr>
          <w:p>
            <w:pPr>
              <w:ind w:left="560"/>
              <w:spacing w:after="0"/>
              <w:rPr>
                <w:sz w:val="20"/>
                <w:szCs w:val="20"/>
                <w:color w:val="auto"/>
              </w:rPr>
            </w:pPr>
            <w:r>
              <w:rPr>
                <w:rFonts w:ascii="Courier New" w:cs="Courier New" w:eastAsia="Courier New" w:hAnsi="Courier New"/>
                <w:sz w:val="13"/>
                <w:szCs w:val="13"/>
                <w:color w:val="auto"/>
              </w:rPr>
              <w:t>for the years ended December 31, 2002 and 2001.</w:t>
            </w:r>
          </w:p>
        </w:tc>
        <w:tc>
          <w:tcPr>
            <w:tcW w:w="1360" w:type="dxa"/>
            <w:vAlign w:val="bottom"/>
          </w:tcPr>
          <w:p>
            <w:pPr>
              <w:spacing w:after="0"/>
              <w:rPr>
                <w:sz w:val="13"/>
                <w:szCs w:val="13"/>
                <w:color w:val="auto"/>
              </w:rPr>
            </w:pPr>
          </w:p>
        </w:tc>
      </w:tr>
      <w:tr>
        <w:trPr>
          <w:trHeight w:val="308"/>
        </w:trPr>
        <w:tc>
          <w:tcPr>
            <w:tcW w:w="2400" w:type="dxa"/>
            <w:vAlign w:val="bottom"/>
          </w:tcPr>
          <w:p>
            <w:pPr>
              <w:spacing w:after="0"/>
              <w:rPr>
                <w:sz w:val="24"/>
                <w:szCs w:val="24"/>
                <w:color w:val="auto"/>
              </w:rPr>
            </w:pPr>
          </w:p>
        </w:tc>
        <w:tc>
          <w:tcPr>
            <w:tcW w:w="3780" w:type="dxa"/>
            <w:vAlign w:val="bottom"/>
            <w:gridSpan w:val="4"/>
          </w:tcPr>
          <w:p>
            <w:pPr>
              <w:jc w:val="right"/>
              <w:ind w:right="973"/>
              <w:spacing w:after="0"/>
              <w:rPr>
                <w:sz w:val="20"/>
                <w:szCs w:val="20"/>
                <w:color w:val="auto"/>
              </w:rPr>
            </w:pPr>
            <w:r>
              <w:rPr>
                <w:rFonts w:ascii="Courier New" w:cs="Courier New" w:eastAsia="Courier New" w:hAnsi="Courier New"/>
                <w:sz w:val="13"/>
                <w:szCs w:val="13"/>
                <w:b w:val="1"/>
                <w:bCs w:val="1"/>
                <w:color w:val="auto"/>
              </w:rPr>
              <w:t>Year ended December 31, 2002</w:t>
            </w:r>
          </w:p>
        </w:tc>
      </w:tr>
      <w:tr>
        <w:trPr>
          <w:trHeight w:val="154"/>
        </w:trPr>
        <w:tc>
          <w:tcPr>
            <w:tcW w:w="2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Restated</w:t>
            </w:r>
          </w:p>
        </w:tc>
      </w:tr>
      <w:tr>
        <w:trPr>
          <w:trHeight w:val="154"/>
        </w:trPr>
        <w:tc>
          <w:tcPr>
            <w:tcW w:w="240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b w:val="1"/>
                <w:bCs w:val="1"/>
                <w:color w:val="auto"/>
              </w:rPr>
              <w:t>March 31</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June 30</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Sept. 30</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Dec. 31</w:t>
            </w:r>
          </w:p>
        </w:tc>
      </w:tr>
      <w:tr>
        <w:trPr>
          <w:trHeight w:val="154"/>
        </w:trPr>
        <w:tc>
          <w:tcPr>
            <w:tcW w:w="240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b w:val="1"/>
                <w:bCs w:val="1"/>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$47,200</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$49,186</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$47,451</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$49,019</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11,668</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13,047</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11,820</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12,047</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1,848</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2,409</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2,119</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1,384(1)</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Basic net income per share</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0.12</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0.16</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0.14</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0.09(1)</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Dilutive net income per share</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0.12</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0.15</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0.14</w:t>
            </w:r>
          </w:p>
        </w:tc>
        <w:tc>
          <w:tcPr>
            <w:tcW w:w="13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0.09(1)</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Weighted average shares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320"/>
              <w:spacing w:after="0"/>
              <w:rPr>
                <w:sz w:val="20"/>
                <w:szCs w:val="20"/>
                <w:color w:val="auto"/>
              </w:rPr>
            </w:pPr>
            <w:r>
              <w:rPr>
                <w:rFonts w:ascii="Courier New" w:cs="Courier New" w:eastAsia="Courier New" w:hAnsi="Courier New"/>
                <w:sz w:val="13"/>
                <w:szCs w:val="13"/>
                <w:color w:val="auto"/>
              </w:rPr>
              <w:t>outstanding:</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320"/>
              <w:spacing w:after="0"/>
              <w:rPr>
                <w:sz w:val="20"/>
                <w:szCs w:val="20"/>
                <w:color w:val="auto"/>
              </w:rPr>
            </w:pPr>
            <w:r>
              <w:rPr>
                <w:rFonts w:ascii="Courier New" w:cs="Courier New" w:eastAsia="Courier New" w:hAnsi="Courier New"/>
                <w:sz w:val="13"/>
                <w:szCs w:val="13"/>
                <w:color w:val="auto"/>
              </w:rPr>
              <w:t>Basic number of shares</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15,341</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15,359</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15,368</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15,368</w:t>
            </w:r>
          </w:p>
        </w:tc>
      </w:tr>
      <w:tr>
        <w:trPr>
          <w:trHeight w:val="154"/>
        </w:trPr>
        <w:tc>
          <w:tcPr>
            <w:tcW w:w="2400" w:type="dxa"/>
            <w:vAlign w:val="bottom"/>
          </w:tcPr>
          <w:p>
            <w:pPr>
              <w:ind w:left="320"/>
              <w:spacing w:after="0"/>
              <w:rPr>
                <w:sz w:val="20"/>
                <w:szCs w:val="20"/>
                <w:color w:val="auto"/>
              </w:rPr>
            </w:pPr>
            <w:r>
              <w:rPr>
                <w:rFonts w:ascii="Courier New" w:cs="Courier New" w:eastAsia="Courier New" w:hAnsi="Courier New"/>
                <w:sz w:val="13"/>
                <w:szCs w:val="13"/>
                <w:color w:val="auto"/>
              </w:rPr>
              <w:t>Effect of dilutive stock</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4"/>
        </w:trPr>
        <w:tc>
          <w:tcPr>
            <w:tcW w:w="2400" w:type="dxa"/>
            <w:vAlign w:val="bottom"/>
          </w:tcPr>
          <w:p>
            <w:pPr>
              <w:ind w:left="480"/>
              <w:spacing w:after="0"/>
              <w:rPr>
                <w:sz w:val="20"/>
                <w:szCs w:val="20"/>
                <w:color w:val="auto"/>
              </w:rPr>
            </w:pPr>
            <w:r>
              <w:rPr>
                <w:rFonts w:ascii="Courier New" w:cs="Courier New" w:eastAsia="Courier New" w:hAnsi="Courier New"/>
                <w:sz w:val="13"/>
                <w:szCs w:val="13"/>
                <w:color w:val="auto"/>
              </w:rPr>
              <w:t>options</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394</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509</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280</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341</w:t>
            </w:r>
          </w:p>
        </w:tc>
      </w:tr>
      <w:tr>
        <w:trPr>
          <w:trHeight w:val="154"/>
        </w:trPr>
        <w:tc>
          <w:tcPr>
            <w:tcW w:w="240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w:t>
            </w:r>
          </w:p>
        </w:tc>
      </w:tr>
      <w:tr>
        <w:trPr>
          <w:trHeight w:val="154"/>
        </w:trPr>
        <w:tc>
          <w:tcPr>
            <w:tcW w:w="2400" w:type="dxa"/>
            <w:vAlign w:val="bottom"/>
          </w:tcPr>
          <w:p>
            <w:pPr>
              <w:spacing w:after="0"/>
              <w:rPr>
                <w:sz w:val="20"/>
                <w:szCs w:val="20"/>
                <w:color w:val="auto"/>
              </w:rPr>
            </w:pPr>
            <w:r>
              <w:rPr>
                <w:rFonts w:ascii="Courier New" w:cs="Courier New" w:eastAsia="Courier New" w:hAnsi="Courier New"/>
                <w:sz w:val="13"/>
                <w:szCs w:val="13"/>
                <w:color w:val="auto"/>
              </w:rPr>
              <w:t>Diluted number of shares</w:t>
            </w: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15,735</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15,868</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15,648</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15,709</w:t>
            </w:r>
          </w:p>
        </w:tc>
      </w:tr>
      <w:tr>
        <w:trPr>
          <w:trHeight w:val="154"/>
        </w:trPr>
        <w:tc>
          <w:tcPr>
            <w:tcW w:w="240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136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3500" w:type="dxa"/>
            <w:vAlign w:val="bottom"/>
            <w:gridSpan w:val="4"/>
          </w:tcPr>
          <w:p>
            <w:pPr>
              <w:jc w:val="right"/>
              <w:ind w:right="493"/>
              <w:spacing w:after="0"/>
              <w:rPr>
                <w:sz w:val="20"/>
                <w:szCs w:val="20"/>
                <w:color w:val="auto"/>
              </w:rPr>
            </w:pPr>
            <w:r>
              <w:rPr>
                <w:rFonts w:ascii="Courier New" w:cs="Courier New" w:eastAsia="Courier New" w:hAnsi="Courier New"/>
                <w:sz w:val="13"/>
                <w:szCs w:val="13"/>
                <w:b w:val="1"/>
                <w:bCs w:val="1"/>
                <w:color w:val="auto"/>
              </w:rPr>
              <w:t>Year ended December 31, 2001</w:t>
            </w:r>
          </w:p>
        </w:tc>
      </w:tr>
      <w:tr>
        <w:trPr>
          <w:trHeight w:val="154"/>
        </w:trPr>
        <w:tc>
          <w:tcPr>
            <w:tcW w:w="2760" w:type="dxa"/>
            <w:vAlign w:val="bottom"/>
          </w:tcPr>
          <w:p>
            <w:pPr>
              <w:spacing w:after="0"/>
              <w:rPr>
                <w:sz w:val="13"/>
                <w:szCs w:val="13"/>
                <w:color w:val="auto"/>
              </w:rPr>
            </w:pP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March 31</w:t>
            </w: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June 30</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Sept. 30</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Dec. 31</w:t>
            </w:r>
          </w:p>
        </w:tc>
      </w:tr>
      <w:tr>
        <w:trPr>
          <w:trHeight w:val="154"/>
        </w:trPr>
        <w:tc>
          <w:tcPr>
            <w:tcW w:w="2760" w:type="dxa"/>
            <w:vAlign w:val="bottom"/>
          </w:tcPr>
          <w:p>
            <w:pPr>
              <w:spacing w:after="0"/>
              <w:rPr>
                <w:sz w:val="13"/>
                <w:szCs w:val="13"/>
                <w:color w:val="auto"/>
              </w:rPr>
            </w:pP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b w:val="1"/>
                <w:bCs w:val="1"/>
                <w:color w:val="auto"/>
              </w:rPr>
              <w:t>-------</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b w:val="1"/>
                <w:bCs w:val="1"/>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b w:val="1"/>
                <w:bCs w:val="1"/>
                <w:color w:val="auto"/>
              </w:rPr>
              <w:t>-------</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$ 50,227</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$ 47,350</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$ 42,576</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$ 39,998</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12,043</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12,030</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9,687</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9,170</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Net income (loss)</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1,448</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3,506</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744</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(1,036)</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Basic net income (loss) per share</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0.10</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0.23</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0.05</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(0.07)</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Dilutive net income (loss) per</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2760" w:type="dxa"/>
            <w:vAlign w:val="bottom"/>
          </w:tcPr>
          <w:p>
            <w:pPr>
              <w:ind w:left="320"/>
              <w:spacing w:after="0"/>
              <w:rPr>
                <w:sz w:val="20"/>
                <w:szCs w:val="20"/>
                <w:color w:val="auto"/>
              </w:rPr>
            </w:pPr>
            <w:r>
              <w:rPr>
                <w:rFonts w:ascii="Courier New" w:cs="Courier New" w:eastAsia="Courier New" w:hAnsi="Courier New"/>
                <w:sz w:val="13"/>
                <w:szCs w:val="13"/>
                <w:color w:val="auto"/>
              </w:rPr>
              <w:t>share</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0.09</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0.23</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0.05</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(0.07)</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Weighted average shares</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2760" w:type="dxa"/>
            <w:vAlign w:val="bottom"/>
          </w:tcPr>
          <w:p>
            <w:pPr>
              <w:ind w:left="320"/>
              <w:spacing w:after="0"/>
              <w:rPr>
                <w:sz w:val="20"/>
                <w:szCs w:val="20"/>
                <w:color w:val="auto"/>
              </w:rPr>
            </w:pPr>
            <w:r>
              <w:rPr>
                <w:rFonts w:ascii="Courier New" w:cs="Courier New" w:eastAsia="Courier New" w:hAnsi="Courier New"/>
                <w:sz w:val="13"/>
                <w:szCs w:val="13"/>
                <w:color w:val="auto"/>
              </w:rPr>
              <w:t>outstanding:</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2760" w:type="dxa"/>
            <w:vAlign w:val="bottom"/>
          </w:tcPr>
          <w:p>
            <w:pPr>
              <w:ind w:left="320"/>
              <w:spacing w:after="0"/>
              <w:rPr>
                <w:sz w:val="20"/>
                <w:szCs w:val="20"/>
                <w:color w:val="auto"/>
              </w:rPr>
            </w:pPr>
            <w:r>
              <w:rPr>
                <w:rFonts w:ascii="Courier New" w:cs="Courier New" w:eastAsia="Courier New" w:hAnsi="Courier New"/>
                <w:sz w:val="13"/>
                <w:szCs w:val="13"/>
                <w:color w:val="auto"/>
              </w:rPr>
              <w:t>Basic number of shares</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15,247</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15,253</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15,286</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15,302</w:t>
            </w:r>
          </w:p>
        </w:tc>
      </w:tr>
      <w:tr>
        <w:trPr>
          <w:trHeight w:val="154"/>
        </w:trPr>
        <w:tc>
          <w:tcPr>
            <w:tcW w:w="2760" w:type="dxa"/>
            <w:vAlign w:val="bottom"/>
          </w:tcPr>
          <w:p>
            <w:pPr>
              <w:ind w:left="320"/>
              <w:spacing w:after="0"/>
              <w:rPr>
                <w:sz w:val="20"/>
                <w:szCs w:val="20"/>
                <w:color w:val="auto"/>
              </w:rPr>
            </w:pPr>
            <w:r>
              <w:rPr>
                <w:rFonts w:ascii="Courier New" w:cs="Courier New" w:eastAsia="Courier New" w:hAnsi="Courier New"/>
                <w:sz w:val="13"/>
                <w:szCs w:val="13"/>
                <w:color w:val="auto"/>
              </w:rPr>
              <w:t>Effect of dilutive stock</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2760" w:type="dxa"/>
            <w:vAlign w:val="bottom"/>
          </w:tcPr>
          <w:p>
            <w:pPr>
              <w:ind w:left="480"/>
              <w:spacing w:after="0"/>
              <w:rPr>
                <w:sz w:val="20"/>
                <w:szCs w:val="20"/>
                <w:color w:val="auto"/>
              </w:rPr>
            </w:pPr>
            <w:r>
              <w:rPr>
                <w:rFonts w:ascii="Courier New" w:cs="Courier New" w:eastAsia="Courier New" w:hAnsi="Courier New"/>
                <w:sz w:val="13"/>
                <w:szCs w:val="13"/>
                <w:color w:val="auto"/>
              </w:rPr>
              <w:t>options</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149</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279</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298</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377</w:t>
            </w:r>
          </w:p>
        </w:tc>
      </w:tr>
      <w:tr>
        <w:trPr>
          <w:trHeight w:val="154"/>
        </w:trPr>
        <w:tc>
          <w:tcPr>
            <w:tcW w:w="2760" w:type="dxa"/>
            <w:vAlign w:val="bottom"/>
          </w:tcPr>
          <w:p>
            <w:pPr>
              <w:spacing w:after="0"/>
              <w:rPr>
                <w:sz w:val="13"/>
                <w:szCs w:val="13"/>
                <w:color w:val="auto"/>
              </w:rPr>
            </w:pP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r>
        <w:trPr>
          <w:trHeight w:val="154"/>
        </w:trPr>
        <w:tc>
          <w:tcPr>
            <w:tcW w:w="2760" w:type="dxa"/>
            <w:vAlign w:val="bottom"/>
          </w:tcPr>
          <w:p>
            <w:pPr>
              <w:spacing w:after="0"/>
              <w:rPr>
                <w:sz w:val="20"/>
                <w:szCs w:val="20"/>
                <w:color w:val="auto"/>
              </w:rPr>
            </w:pPr>
            <w:r>
              <w:rPr>
                <w:rFonts w:ascii="Courier New" w:cs="Courier New" w:eastAsia="Courier New" w:hAnsi="Courier New"/>
                <w:sz w:val="13"/>
                <w:szCs w:val="13"/>
                <w:color w:val="auto"/>
              </w:rPr>
              <w:t>Diluted number of shares</w:t>
            </w: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15,396</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15,532</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15,584</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15,679</w:t>
            </w:r>
          </w:p>
        </w:tc>
      </w:tr>
      <w:tr>
        <w:trPr>
          <w:trHeight w:val="154"/>
        </w:trPr>
        <w:tc>
          <w:tcPr>
            <w:tcW w:w="2760" w:type="dxa"/>
            <w:vAlign w:val="bottom"/>
          </w:tcPr>
          <w:p>
            <w:pPr>
              <w:spacing w:after="0"/>
              <w:rPr>
                <w:sz w:val="13"/>
                <w:szCs w:val="13"/>
                <w:color w:val="auto"/>
              </w:rPr>
            </w:pPr>
          </w:p>
        </w:tc>
        <w:tc>
          <w:tcPr>
            <w:tcW w:w="90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r>
    </w:tbl>
    <w:p>
      <w:pPr>
        <w:spacing w:after="0" w:line="159" w:lineRule="exact"/>
        <w:rPr>
          <w:sz w:val="20"/>
          <w:szCs w:val="20"/>
          <w:color w:val="auto"/>
        </w:rPr>
      </w:pPr>
    </w:p>
    <w:p>
      <w:pPr>
        <w:ind w:left="880" w:right="3899" w:hanging="397"/>
        <w:spacing w:after="0" w:line="253" w:lineRule="auto"/>
        <w:tabs>
          <w:tab w:leader="none" w:pos="880"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Restated from originally reported amounts of $7,288, $0.47 and $0.46 for net income, basic net income per share and diluted income per share, respectively. See Note 1.</w:t>
      </w:r>
    </w:p>
    <w:p>
      <w:pPr>
        <w:spacing w:after="0" w:line="151" w:lineRule="exact"/>
        <w:rPr>
          <w:sz w:val="20"/>
          <w:szCs w:val="20"/>
          <w:color w:val="auto"/>
        </w:rPr>
      </w:pPr>
    </w:p>
    <w:p>
      <w:pPr>
        <w:jc w:val="both"/>
        <w:ind w:left="560" w:right="3979"/>
        <w:spacing w:after="0" w:line="253" w:lineRule="auto"/>
        <w:rPr>
          <w:sz w:val="20"/>
          <w:szCs w:val="20"/>
          <w:color w:val="auto"/>
        </w:rPr>
      </w:pPr>
      <w:r>
        <w:rPr>
          <w:rFonts w:ascii="Courier New" w:cs="Courier New" w:eastAsia="Courier New" w:hAnsi="Courier New"/>
          <w:sz w:val="13"/>
          <w:szCs w:val="13"/>
          <w:color w:val="auto"/>
        </w:rPr>
        <w:t>Fourth quarter results in 2002 include a pre-tax charge of $1,199 ($767 after-tax) related to asset write downs on the Company's Walterboro, SC production facility.</w:t>
      </w:r>
    </w:p>
    <w:p>
      <w:pPr>
        <w:spacing w:after="0" w:line="151"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3"/>
          <w:szCs w:val="13"/>
          <w:color w:val="auto"/>
        </w:rPr>
        <w:t>Continued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NN, Inc.</w:t>
      </w:r>
    </w:p>
    <w:p>
      <w:pPr>
        <w:spacing w:after="0" w:line="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b w:val="1"/>
          <w:bCs w:val="1"/>
          <w:color w:val="auto"/>
        </w:rPr>
        <w:t>Notes to Consolidated Financial Statements</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b w:val="1"/>
          <w:bCs w:val="1"/>
          <w:color w:val="auto"/>
        </w:rPr>
        <w:t>December 31, 2002, 2001 and 2000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p>
      <w:pPr>
        <w:ind w:left="560" w:right="3899"/>
        <w:spacing w:after="0" w:line="252" w:lineRule="auto"/>
        <w:rPr>
          <w:sz w:val="20"/>
          <w:szCs w:val="20"/>
          <w:color w:val="auto"/>
        </w:rPr>
      </w:pPr>
      <w:r>
        <w:rPr>
          <w:rFonts w:ascii="Courier New" w:cs="Courier New" w:eastAsia="Courier New" w:hAnsi="Courier New"/>
          <w:sz w:val="13"/>
          <w:szCs w:val="13"/>
          <w:color w:val="auto"/>
        </w:rPr>
        <w:t>Fourth quarter results in 2001 include pre-tax charges of $1,405 ($913 after-tax) related to $1,086 of asset write downs on the Company's Walterboro, SC production facility and $319 of NN Arte minority interest losses absorbed by the Company.</w:t>
      </w:r>
    </w:p>
    <w:p>
      <w:pPr>
        <w:spacing w:after="0" w:line="153" w:lineRule="exact"/>
        <w:rPr>
          <w:sz w:val="20"/>
          <w:szCs w:val="20"/>
          <w:color w:val="auto"/>
        </w:rPr>
      </w:pPr>
    </w:p>
    <w:p>
      <w:pPr>
        <w:ind w:left="560" w:hanging="558"/>
        <w:spacing w:after="0"/>
        <w:tabs>
          <w:tab w:leader="none" w:pos="560" w:val="left"/>
        </w:tabs>
        <w:numPr>
          <w:ilvl w:val="0"/>
          <w:numId w:val="2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Fair Value of Financial Instruments</w:t>
      </w:r>
    </w:p>
    <w:p>
      <w:pPr>
        <w:spacing w:after="0" w:line="161" w:lineRule="exact"/>
        <w:rPr>
          <w:rFonts w:ascii="Courier New" w:cs="Courier New" w:eastAsia="Courier New" w:hAnsi="Courier New"/>
          <w:sz w:val="13"/>
          <w:szCs w:val="13"/>
          <w:b w:val="1"/>
          <w:bCs w:val="1"/>
          <w:color w:val="auto"/>
        </w:rPr>
      </w:pPr>
    </w:p>
    <w:p>
      <w:pPr>
        <w:ind w:left="560" w:right="381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Management believes the fair value of financial instruments approximate their carrying value due to the short maturity of these instruments or in the case of the Company's notes receivable and debt, due to the variable interest rates.</w:t>
      </w:r>
    </w:p>
    <w:p>
      <w:pPr>
        <w:spacing w:after="0" w:line="306" w:lineRule="exact"/>
        <w:rPr>
          <w:rFonts w:ascii="Courier New" w:cs="Courier New" w:eastAsia="Courier New" w:hAnsi="Courier New"/>
          <w:sz w:val="13"/>
          <w:szCs w:val="13"/>
          <w:b w:val="1"/>
          <w:bCs w:val="1"/>
          <w:color w:val="auto"/>
        </w:rPr>
      </w:pPr>
    </w:p>
    <w:p>
      <w:pPr>
        <w:ind w:left="560" w:hanging="558"/>
        <w:spacing w:after="0"/>
        <w:tabs>
          <w:tab w:leader="none" w:pos="560" w:val="left"/>
        </w:tabs>
        <w:numPr>
          <w:ilvl w:val="0"/>
          <w:numId w:val="2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Involuntary Conversion</w:t>
      </w:r>
    </w:p>
    <w:p>
      <w:pPr>
        <w:spacing w:after="0" w:line="161" w:lineRule="exact"/>
        <w:rPr>
          <w:rFonts w:ascii="Courier New" w:cs="Courier New" w:eastAsia="Courier New" w:hAnsi="Courier New"/>
          <w:sz w:val="13"/>
          <w:szCs w:val="13"/>
          <w:b w:val="1"/>
          <w:bCs w:val="1"/>
          <w:color w:val="auto"/>
        </w:rPr>
      </w:pPr>
    </w:p>
    <w:p>
      <w:pPr>
        <w:ind w:left="560" w:right="389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On March 12, 2000, a fire damaged a portion of the Company's manufacturing 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years ended December 31, 2002, 2001 and 2000, the net gain on involuntary conversion of $0, $3,901 and $728, respectively, represents insurance proceeds received in excess of costs incurred.</w:t>
      </w:r>
    </w:p>
    <w:p>
      <w:pPr>
        <w:spacing w:after="0" w:line="310" w:lineRule="exact"/>
        <w:rPr>
          <w:rFonts w:ascii="Courier New" w:cs="Courier New" w:eastAsia="Courier New" w:hAnsi="Courier New"/>
          <w:sz w:val="13"/>
          <w:szCs w:val="13"/>
          <w:b w:val="1"/>
          <w:bCs w:val="1"/>
          <w:color w:val="auto"/>
        </w:rPr>
      </w:pPr>
    </w:p>
    <w:p>
      <w:pPr>
        <w:ind w:left="560" w:hanging="558"/>
        <w:spacing w:after="0"/>
        <w:tabs>
          <w:tab w:leader="none" w:pos="560" w:val="left"/>
        </w:tabs>
        <w:numPr>
          <w:ilvl w:val="0"/>
          <w:numId w:val="25"/>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Related Party Transactions</w:t>
      </w:r>
    </w:p>
    <w:p>
      <w:pPr>
        <w:spacing w:after="0" w:line="161" w:lineRule="exact"/>
        <w:rPr>
          <w:rFonts w:ascii="Courier New" w:cs="Courier New" w:eastAsia="Courier New" w:hAnsi="Courier New"/>
          <w:sz w:val="13"/>
          <w:szCs w:val="13"/>
          <w:b w:val="1"/>
          <w:bCs w:val="1"/>
          <w:color w:val="auto"/>
        </w:rPr>
      </w:pPr>
    </w:p>
    <w:p>
      <w:pPr>
        <w:ind w:left="560" w:right="3819"/>
        <w:spacing w:after="0" w:line="252"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The minority shareholder of NN Euroball ApS, SKF, is a significant customer of the Company. For the years ended December 31, 2002, 2001 and 2000 sales to SKF amounted to $64,235, $62,539 and $44,647, respectively. At December 31, 2002, 2001 and 2000 accounts receivable from SKF amounted to $9,768, $ 7,534 and $3,320, respectively.</w:t>
      </w:r>
    </w:p>
    <w:p>
      <w:pPr>
        <w:spacing w:after="0" w:line="152" w:lineRule="exact"/>
        <w:rPr>
          <w:rFonts w:ascii="Courier New" w:cs="Courier New" w:eastAsia="Courier New" w:hAnsi="Courier New"/>
          <w:sz w:val="13"/>
          <w:szCs w:val="13"/>
          <w:b w:val="1"/>
          <w:bCs w:val="1"/>
          <w:color w:val="auto"/>
        </w:rPr>
      </w:pPr>
    </w:p>
    <w:p>
      <w:pPr>
        <w:ind w:left="560" w:right="389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In connection with the Euroball transaction described in note 3, SKF provided administrative services to NN Euroball ApS. Charges for these services amounted to approximately $1,768, $1,700 and $864 for the years ended December 31, 2002, 2001 and 2000, respectively. At December 31, 2002, 2001 and 2000, amounts payable to SKF amounted to $773, $522 and $1,173, respectively.</w:t>
      </w:r>
    </w:p>
    <w:p>
      <w:pPr>
        <w:sectPr>
          <w:pgSz w:w="11900" w:h="16838" w:orient="portrait"/>
          <w:cols w:equalWidth="0" w:num="1">
            <w:col w:w="10239"/>
          </w:cols>
          <w:pgMar w:left="220" w:top="141" w:right="1440" w:bottom="0" w:gutter="0" w:footer="0" w:header="0"/>
        </w:sectPr>
      </w:pPr>
    </w:p>
    <w:bookmarkStart w:id="41" w:name="page42"/>
    <w:bookmarkEnd w:id="41"/>
    <w:p>
      <w:pPr>
        <w:ind w:left="560" w:right="3819"/>
        <w:spacing w:after="0" w:line="252" w:lineRule="auto"/>
        <w:rPr>
          <w:sz w:val="20"/>
          <w:szCs w:val="20"/>
          <w:color w:val="auto"/>
        </w:rPr>
      </w:pPr>
      <w:r>
        <w:rPr>
          <w:rFonts w:ascii="Courier New" w:cs="Courier New" w:eastAsia="Courier New" w:hAnsi="Courier New"/>
          <w:sz w:val="13"/>
          <w:szCs w:val="13"/>
          <w:color w:val="auto"/>
        </w:rPr>
        <w:t>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153" w:lineRule="exact"/>
        <w:rPr>
          <w:sz w:val="20"/>
          <w:szCs w:val="20"/>
          <w:color w:val="auto"/>
        </w:rPr>
      </w:pPr>
    </w:p>
    <w:p>
      <w:pPr>
        <w:ind w:left="560" w:right="4379"/>
        <w:spacing w:after="0" w:line="253" w:lineRule="auto"/>
        <w:rPr>
          <w:sz w:val="20"/>
          <w:szCs w:val="20"/>
          <w:color w:val="auto"/>
        </w:rPr>
      </w:pPr>
      <w:r>
        <w:rPr>
          <w:rFonts w:ascii="Courier New" w:cs="Courier New" w:eastAsia="Courier New" w:hAnsi="Courier New"/>
          <w:sz w:val="13"/>
          <w:szCs w:val="13"/>
          <w:color w:val="auto"/>
        </w:rPr>
        <w:t>The Company leases the Eltmann, Germany facility of the Euroball division, from INA/FAG. Annual minimum lease payments are Euro 944 ($893). The lease expires in 2020.</w:t>
      </w:r>
    </w:p>
    <w:p>
      <w:pPr>
        <w:spacing w:after="0" w:line="151" w:lineRule="exact"/>
        <w:rPr>
          <w:sz w:val="20"/>
          <w:szCs w:val="20"/>
          <w:color w:val="auto"/>
        </w:rPr>
      </w:pPr>
    </w:p>
    <w:p>
      <w:pPr>
        <w:ind w:left="560" w:hanging="558"/>
        <w:spacing w:after="0"/>
        <w:tabs>
          <w:tab w:leader="none" w:pos="560" w:val="left"/>
        </w:tabs>
        <w:numPr>
          <w:ilvl w:val="0"/>
          <w:numId w:val="26"/>
        </w:numPr>
        <w:rPr>
          <w:rFonts w:ascii="Courier New" w:cs="Courier New" w:eastAsia="Courier New" w:hAnsi="Courier New"/>
          <w:sz w:val="13"/>
          <w:szCs w:val="13"/>
          <w:b w:val="1"/>
          <w:bCs w:val="1"/>
          <w:color w:val="auto"/>
        </w:rPr>
      </w:pPr>
      <w:r>
        <w:rPr>
          <w:rFonts w:ascii="Courier New" w:cs="Courier New" w:eastAsia="Courier New" w:hAnsi="Courier New"/>
          <w:sz w:val="13"/>
          <w:szCs w:val="13"/>
          <w:b w:val="1"/>
          <w:bCs w:val="1"/>
          <w:color w:val="auto"/>
        </w:rPr>
        <w:t>Accumulated Other Comprehensive Income (Restated)</w:t>
      </w:r>
    </w:p>
    <w:p>
      <w:pPr>
        <w:spacing w:after="0" w:line="161" w:lineRule="exact"/>
        <w:rPr>
          <w:rFonts w:ascii="Courier New" w:cs="Courier New" w:eastAsia="Courier New" w:hAnsi="Courier New"/>
          <w:sz w:val="13"/>
          <w:szCs w:val="13"/>
          <w:b w:val="1"/>
          <w:bCs w:val="1"/>
          <w:color w:val="auto"/>
        </w:rPr>
      </w:pPr>
    </w:p>
    <w:p>
      <w:pPr>
        <w:ind w:left="560" w:right="3819"/>
        <w:spacing w:after="0" w:line="251" w:lineRule="auto"/>
        <w:rPr>
          <w:rFonts w:ascii="Courier New" w:cs="Courier New" w:eastAsia="Courier New" w:hAnsi="Courier New"/>
          <w:sz w:val="13"/>
          <w:szCs w:val="13"/>
          <w:b w:val="1"/>
          <w:bCs w:val="1"/>
          <w:color w:val="auto"/>
        </w:rPr>
      </w:pPr>
      <w:r>
        <w:rPr>
          <w:rFonts w:ascii="Courier New" w:cs="Courier New" w:eastAsia="Courier New" w:hAnsi="Courier New"/>
          <w:sz w:val="13"/>
          <w:szCs w:val="13"/>
          <w:color w:val="auto"/>
        </w:rPr>
        <w:t>For the years ended December 31, 2002, 2001 and 2000, the Company included in accumulated other comprehensive loss an unrealized loss due to foreign currency translation of ($1,606), ($5,369) and ($1,526), respectively. Income taxes on the foreign currency translation adjustment in other comprehensive income (loss) were not recognized because the earnings are intended to be indefinitely reinvested in those operations. Also included in accumulated other comprehensive loss as of December 31, 2002, 2001 and 2000 were additional minimum pension liability, net of tax of ($81), ($53) and $0, respectively.</w:t>
      </w: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right="4539" w:hanging="641"/>
        <w:spacing w:after="0" w:line="254" w:lineRule="auto"/>
        <w:rPr>
          <w:sz w:val="20"/>
          <w:szCs w:val="20"/>
          <w:color w:val="auto"/>
        </w:rPr>
      </w:pPr>
      <w:r>
        <w:rPr>
          <w:rFonts w:ascii="Courier New" w:cs="Courier New" w:eastAsia="Courier New" w:hAnsi="Courier New"/>
          <w:sz w:val="13"/>
          <w:szCs w:val="13"/>
          <w:b w:val="1"/>
          <w:bCs w:val="1"/>
          <w:color w:val="auto"/>
        </w:rPr>
        <w:t>Item 9. Changes in and Disagreements with Accountants on Accounting and Financial Disclosure</w:t>
      </w:r>
    </w:p>
    <w:p>
      <w:pPr>
        <w:spacing w:after="0" w:line="15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None.</w:t>
      </w:r>
    </w:p>
    <w:p>
      <w:pPr>
        <w:spacing w:after="0" w:line="161" w:lineRule="exact"/>
        <w:rPr>
          <w:sz w:val="20"/>
          <w:szCs w:val="20"/>
          <w:color w:val="auto"/>
        </w:rPr>
      </w:pPr>
    </w:p>
    <w:p>
      <w:pPr>
        <w:ind w:left="2880"/>
        <w:spacing w:after="0"/>
        <w:rPr>
          <w:sz w:val="20"/>
          <w:szCs w:val="20"/>
          <w:color w:val="auto"/>
        </w:rPr>
      </w:pPr>
      <w:r>
        <w:rPr>
          <w:rFonts w:ascii="Courier New" w:cs="Courier New" w:eastAsia="Courier New" w:hAnsi="Courier New"/>
          <w:sz w:val="13"/>
          <w:szCs w:val="13"/>
          <w:b w:val="1"/>
          <w:bCs w:val="1"/>
          <w:color w:val="auto"/>
        </w:rPr>
        <w:t>Part III</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10. Directors and Executive Officers of the Registrant</w:t>
      </w:r>
    </w:p>
    <w:p>
      <w:pPr>
        <w:spacing w:after="0" w:line="161" w:lineRule="exact"/>
        <w:rPr>
          <w:sz w:val="20"/>
          <w:szCs w:val="20"/>
          <w:color w:val="auto"/>
        </w:rPr>
      </w:pPr>
    </w:p>
    <w:p>
      <w:pPr>
        <w:ind w:right="397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Directors. </w:t>
      </w:r>
      <w:r>
        <w:rPr>
          <w:rFonts w:ascii="Courier New" w:cs="Courier New" w:eastAsia="Courier New" w:hAnsi="Courier New"/>
          <w:sz w:val="13"/>
          <w:szCs w:val="13"/>
          <w:color w:val="auto"/>
        </w:rPr>
        <w:t>The information required by Item 401 of Regulation S-K</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concerning the Company's directors is contained in the section entitled "Election of Directors -- Information about the Directors" of the Company's definitive Proxy Statement (to be filed with the Securities and Exchange Commission within 120 days after December 31, 2002, in accordance with General Instruction G to Form 10-K, is hereby incorporated herein by reference.</w:t>
      </w:r>
    </w:p>
    <w:p>
      <w:pPr>
        <w:spacing w:after="0" w:line="155" w:lineRule="exact"/>
        <w:rPr>
          <w:sz w:val="20"/>
          <w:szCs w:val="20"/>
          <w:color w:val="auto"/>
        </w:rPr>
      </w:pPr>
    </w:p>
    <w:p>
      <w:pPr>
        <w:jc w:val="both"/>
        <w:ind w:right="3899" w:firstLine="722"/>
        <w:spacing w:after="0" w:line="253" w:lineRule="auto"/>
        <w:rPr>
          <w:sz w:val="20"/>
          <w:szCs w:val="20"/>
          <w:color w:val="auto"/>
        </w:rPr>
      </w:pPr>
      <w:r>
        <w:rPr>
          <w:rFonts w:ascii="Courier New" w:cs="Courier New" w:eastAsia="Courier New" w:hAnsi="Courier New"/>
          <w:sz w:val="13"/>
          <w:szCs w:val="13"/>
          <w:i w:val="1"/>
          <w:iCs w:val="1"/>
          <w:color w:val="auto"/>
        </w:rPr>
        <w:t xml:space="preserve">Executive Officers. </w:t>
      </w:r>
      <w:r>
        <w:rPr>
          <w:rFonts w:ascii="Courier New" w:cs="Courier New" w:eastAsia="Courier New" w:hAnsi="Courier New"/>
          <w:sz w:val="13"/>
          <w:szCs w:val="13"/>
          <w:color w:val="auto"/>
        </w:rPr>
        <w:t>Information required by Item 401 of Regulation S-K</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concerning the Company's executive officers is set forth in Item 1 hereof under the caption "Executive Officers of the Registrant."</w:t>
      </w:r>
    </w:p>
    <w:p>
      <w:pPr>
        <w:spacing w:after="0" w:line="15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i w:val="1"/>
          <w:iCs w:val="1"/>
          <w:color w:val="auto"/>
        </w:rPr>
        <w:t xml:space="preserve">Compliance with Section 16(a) of the Securities Exchange Act. </w:t>
      </w:r>
      <w:r>
        <w:rPr>
          <w:rFonts w:ascii="Courier New" w:cs="Courier New" w:eastAsia="Courier New" w:hAnsi="Courier New"/>
          <w:sz w:val="13"/>
          <w:szCs w:val="13"/>
          <w:color w:val="auto"/>
        </w:rPr>
        <w:t>The</w:t>
      </w:r>
      <w:r>
        <w:rPr>
          <w:rFonts w:ascii="Courier New" w:cs="Courier New" w:eastAsia="Courier New" w:hAnsi="Courier New"/>
          <w:sz w:val="13"/>
          <w:szCs w:val="13"/>
          <w:i w:val="1"/>
          <w:iCs w:val="1"/>
          <w:color w:val="auto"/>
        </w:rPr>
        <w:t xml:space="preserve"> </w:t>
      </w:r>
      <w:r>
        <w:rPr>
          <w:rFonts w:ascii="Courier New" w:cs="Courier New" w:eastAsia="Courier New" w:hAnsi="Courier New"/>
          <w:sz w:val="13"/>
          <w:szCs w:val="13"/>
          <w:color w:val="auto"/>
        </w:rPr>
        <w:t>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11. Executive Compensation</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information required by Item 402 of Regulation S-K is contained in the sections entitled "Information about the Election of Directors -- Compensation of Directors" and "Executive Compensation" of the Company's definitive Proxy Statement and, in accordance with General Instruction G to Form 10-K, is hereby incorporated herein by reference.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12. Security Ownership of Certain Beneficial Owners and Management</w:t>
      </w:r>
    </w:p>
    <w:p>
      <w:pPr>
        <w:spacing w:after="0" w:line="161" w:lineRule="exact"/>
        <w:rPr>
          <w:sz w:val="20"/>
          <w:szCs w:val="20"/>
          <w:color w:val="auto"/>
        </w:rPr>
      </w:pPr>
    </w:p>
    <w:p>
      <w:pPr>
        <w:ind w:right="3819" w:firstLine="722"/>
        <w:spacing w:after="0" w:line="252" w:lineRule="auto"/>
        <w:rPr>
          <w:sz w:val="20"/>
          <w:szCs w:val="20"/>
          <w:color w:val="auto"/>
        </w:rPr>
      </w:pPr>
      <w:r>
        <w:rPr>
          <w:rFonts w:ascii="Courier New" w:cs="Courier New" w:eastAsia="Courier New" w:hAnsi="Courier New"/>
          <w:sz w:val="13"/>
          <w:szCs w:val="13"/>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13. Related Party Relationships</w:t>
      </w:r>
    </w:p>
    <w:p>
      <w:pPr>
        <w:spacing w:after="0" w:line="161"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None.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14. Controls and Procedures</w:t>
      </w:r>
    </w:p>
    <w:p>
      <w:pPr>
        <w:spacing w:after="0" w:line="161" w:lineRule="exact"/>
        <w:rPr>
          <w:sz w:val="20"/>
          <w:szCs w:val="20"/>
          <w:color w:val="auto"/>
        </w:rPr>
      </w:pPr>
    </w:p>
    <w:p>
      <w:pPr>
        <w:ind w:right="3819" w:firstLine="724"/>
        <w:spacing w:after="0" w:line="251" w:lineRule="auto"/>
        <w:tabs>
          <w:tab w:leader="none" w:pos="962" w:val="left"/>
        </w:tabs>
        <w:numPr>
          <w:ilvl w:val="0"/>
          <w:numId w:val="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of December 31, 2002,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310" w:lineRule="exact"/>
        <w:rPr>
          <w:rFonts w:ascii="Courier New" w:cs="Courier New" w:eastAsia="Courier New" w:hAnsi="Courier New"/>
          <w:sz w:val="13"/>
          <w:szCs w:val="13"/>
          <w:color w:val="auto"/>
        </w:rPr>
      </w:pPr>
    </w:p>
    <w:p>
      <w:pPr>
        <w:jc w:val="both"/>
        <w:ind w:right="3979" w:firstLine="724"/>
        <w:spacing w:after="0" w:line="252" w:lineRule="auto"/>
        <w:tabs>
          <w:tab w:leader="none" w:pos="962" w:val="left"/>
        </w:tabs>
        <w:numPr>
          <w:ilvl w:val="0"/>
          <w:numId w:val="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There have been no changes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p>
      <w:pPr>
        <w:ind w:left="3120"/>
        <w:spacing w:after="0"/>
        <w:rPr>
          <w:sz w:val="20"/>
          <w:szCs w:val="20"/>
          <w:color w:val="auto"/>
        </w:rPr>
      </w:pPr>
      <w:r>
        <w:rPr>
          <w:rFonts w:ascii="Courier New" w:cs="Courier New" w:eastAsia="Courier New" w:hAnsi="Courier New"/>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173355</wp:posOffset>
            </wp:positionV>
            <wp:extent cx="730440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960"/>
        <w:spacing w:after="0"/>
        <w:rPr>
          <w:sz w:val="20"/>
          <w:szCs w:val="20"/>
          <w:color w:val="auto"/>
        </w:rPr>
      </w:pPr>
      <w:r>
        <w:rPr>
          <w:rFonts w:ascii="Courier New" w:cs="Courier New" w:eastAsia="Courier New" w:hAnsi="Courier New"/>
          <w:sz w:val="13"/>
          <w:szCs w:val="13"/>
          <w:b w:val="1"/>
          <w:bCs w:val="1"/>
          <w:color w:val="auto"/>
        </w:rPr>
        <w:t>Part IV</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b w:val="1"/>
          <w:bCs w:val="1"/>
          <w:color w:val="auto"/>
        </w:rPr>
        <w:t>Item 15. Exhibits, Financial Statement Schedules, and Reports on Form 8-K</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 List of Documents Filed as Part of this Report</w:t>
      </w:r>
    </w:p>
    <w:p>
      <w:pPr>
        <w:sectPr>
          <w:pgSz w:w="11900" w:h="16838" w:orient="portrait"/>
          <w:cols w:equalWidth="0" w:num="1">
            <w:col w:w="10239"/>
          </w:cols>
          <w:pgMar w:left="220" w:top="141" w:right="1440" w:bottom="0" w:gutter="0" w:footer="0" w:header="0"/>
        </w:sectPr>
      </w:pPr>
    </w:p>
    <w:bookmarkStart w:id="42" w:name="page43"/>
    <w:bookmarkEnd w:id="42"/>
    <w:p>
      <w:pPr>
        <w:ind w:left="400"/>
        <w:spacing w:after="0"/>
        <w:rPr>
          <w:sz w:val="20"/>
          <w:szCs w:val="20"/>
          <w:color w:val="auto"/>
        </w:rPr>
      </w:pPr>
      <w:r>
        <w:rPr>
          <w:rFonts w:ascii="Courier New" w:cs="Courier New" w:eastAsia="Courier New" w:hAnsi="Courier New"/>
          <w:sz w:val="13"/>
          <w:szCs w:val="13"/>
          <w:color w:val="auto"/>
        </w:rPr>
        <w:t>1. Financial Statements</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The financial statements of the Company filed as part of this Annual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gridSpan w:val="2"/>
          </w:tcPr>
          <w:p>
            <w:pPr>
              <w:spacing w:after="0"/>
              <w:rPr>
                <w:sz w:val="20"/>
                <w:szCs w:val="20"/>
                <w:color w:val="auto"/>
              </w:rPr>
            </w:pPr>
            <w:r>
              <w:rPr>
                <w:rFonts w:ascii="Courier New" w:cs="Courier New" w:eastAsia="Courier New" w:hAnsi="Courier New"/>
                <w:sz w:val="13"/>
                <w:szCs w:val="13"/>
                <w:color w:val="auto"/>
              </w:rPr>
              <w:t>Report on Form 10-K/A begin on the following pages hereof:</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81"/>
        </w:trPr>
        <w:tc>
          <w:tcPr>
            <w:tcW w:w="4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gridSpan w:val="3"/>
          </w:tcPr>
          <w:p>
            <w:pPr>
              <w:ind w:left="800"/>
              <w:spacing w:after="0"/>
              <w:rPr>
                <w:sz w:val="20"/>
                <w:szCs w:val="20"/>
                <w:color w:val="auto"/>
              </w:rPr>
            </w:pPr>
            <w:r>
              <w:rPr>
                <w:rFonts w:ascii="Courier New" w:cs="Courier New" w:eastAsia="Courier New" w:hAnsi="Courier New"/>
                <w:sz w:val="13"/>
                <w:szCs w:val="13"/>
                <w:b w:val="1"/>
                <w:bCs w:val="1"/>
                <w:color w:val="auto"/>
              </w:rPr>
              <w:t>Page</w:t>
            </w:r>
          </w:p>
        </w:tc>
      </w:tr>
      <w:tr>
        <w:trPr>
          <w:trHeight w:val="316"/>
        </w:trPr>
        <w:tc>
          <w:tcPr>
            <w:tcW w:w="8100" w:type="dxa"/>
            <w:vAlign w:val="bottom"/>
            <w:gridSpan w:val="3"/>
          </w:tcPr>
          <w:p>
            <w:pPr>
              <w:ind w:left="720"/>
              <w:spacing w:after="0"/>
              <w:rPr>
                <w:sz w:val="20"/>
                <w:szCs w:val="20"/>
                <w:color w:val="auto"/>
              </w:rPr>
            </w:pPr>
            <w:r>
              <w:rPr>
                <w:rFonts w:ascii="Courier New" w:cs="Courier New" w:eastAsia="Courier New" w:hAnsi="Courier New"/>
                <w:sz w:val="13"/>
                <w:szCs w:val="13"/>
                <w:color w:val="auto"/>
              </w:rPr>
              <w:t>Report of Independent Auditors for the years ended December 31, 2002, December 31, 2001 and</w:t>
            </w:r>
          </w:p>
        </w:tc>
        <w:tc>
          <w:tcPr>
            <w:tcW w:w="8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w w:val="84"/>
              </w:rPr>
              <w:t>December 31, 2000......................................................................................</w:t>
            </w:r>
          </w:p>
        </w:tc>
        <w:tc>
          <w:tcPr>
            <w:tcW w:w="5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28</w:t>
            </w:r>
          </w:p>
        </w:tc>
        <w:tc>
          <w:tcPr>
            <w:tcW w:w="2240" w:type="dxa"/>
            <w:vAlign w:val="bottom"/>
          </w:tcPr>
          <w:p>
            <w:pPr>
              <w:spacing w:after="0"/>
              <w:rPr>
                <w:sz w:val="13"/>
                <w:szCs w:val="13"/>
                <w:color w:val="auto"/>
              </w:rPr>
            </w:pPr>
          </w:p>
        </w:tc>
      </w:tr>
      <w:tr>
        <w:trPr>
          <w:trHeight w:val="308"/>
        </w:trPr>
        <w:tc>
          <w:tcPr>
            <w:tcW w:w="8100" w:type="dxa"/>
            <w:vAlign w:val="bottom"/>
            <w:gridSpan w:val="3"/>
          </w:tcPr>
          <w:p>
            <w:pPr>
              <w:ind w:left="720"/>
              <w:spacing w:after="0"/>
              <w:rPr>
                <w:sz w:val="20"/>
                <w:szCs w:val="20"/>
                <w:color w:val="auto"/>
              </w:rPr>
            </w:pPr>
            <w:r>
              <w:rPr>
                <w:rFonts w:ascii="Courier New" w:cs="Courier New" w:eastAsia="Courier New" w:hAnsi="Courier New"/>
                <w:sz w:val="13"/>
                <w:szCs w:val="13"/>
                <w:color w:val="auto"/>
                <w:w w:val="91"/>
              </w:rPr>
              <w:t>Consolidated Balance Sheets at December 31, 2002, 2001 and 2000 (Restated).............................</w:t>
            </w: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29</w:t>
            </w:r>
          </w:p>
        </w:tc>
        <w:tc>
          <w:tcPr>
            <w:tcW w:w="2240" w:type="dxa"/>
            <w:vAlign w:val="bottom"/>
          </w:tcPr>
          <w:p>
            <w:pPr>
              <w:spacing w:after="0"/>
              <w:rPr>
                <w:sz w:val="24"/>
                <w:szCs w:val="24"/>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Consolidated Statements of Income and Comprehensive Income for the Three Years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w w:val="84"/>
              </w:rPr>
              <w:t>ended December 31, 2002 (Restated).....................................................................</w:t>
            </w:r>
          </w:p>
        </w:tc>
        <w:tc>
          <w:tcPr>
            <w:tcW w:w="5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30</w:t>
            </w:r>
          </w:p>
        </w:tc>
        <w:tc>
          <w:tcPr>
            <w:tcW w:w="2240" w:type="dxa"/>
            <w:vAlign w:val="bottom"/>
          </w:tcPr>
          <w:p>
            <w:pPr>
              <w:spacing w:after="0"/>
              <w:rPr>
                <w:sz w:val="13"/>
                <w:szCs w:val="13"/>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Consolidated Statements of Changes in Stockholders' Equity for the Three Years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w w:val="84"/>
              </w:rPr>
              <w:t>Ended December 31, 2002 (Restated).....................................................................</w:t>
            </w:r>
          </w:p>
        </w:tc>
        <w:tc>
          <w:tcPr>
            <w:tcW w:w="5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31</w:t>
            </w:r>
          </w:p>
        </w:tc>
        <w:tc>
          <w:tcPr>
            <w:tcW w:w="2240" w:type="dxa"/>
            <w:vAlign w:val="bottom"/>
          </w:tcPr>
          <w:p>
            <w:pPr>
              <w:spacing w:after="0"/>
              <w:rPr>
                <w:sz w:val="13"/>
                <w:szCs w:val="13"/>
                <w:color w:val="auto"/>
              </w:rPr>
            </w:pPr>
          </w:p>
        </w:tc>
      </w:tr>
      <w:tr>
        <w:trPr>
          <w:trHeight w:val="308"/>
        </w:trPr>
        <w:tc>
          <w:tcPr>
            <w:tcW w:w="8100" w:type="dxa"/>
            <w:vAlign w:val="bottom"/>
            <w:gridSpan w:val="3"/>
          </w:tcPr>
          <w:p>
            <w:pPr>
              <w:ind w:left="720"/>
              <w:spacing w:after="0"/>
              <w:rPr>
                <w:sz w:val="20"/>
                <w:szCs w:val="20"/>
                <w:color w:val="auto"/>
              </w:rPr>
            </w:pPr>
            <w:r>
              <w:rPr>
                <w:rFonts w:ascii="Courier New" w:cs="Courier New" w:eastAsia="Courier New" w:hAnsi="Courier New"/>
                <w:sz w:val="13"/>
                <w:szCs w:val="13"/>
                <w:color w:val="auto"/>
              </w:rPr>
              <w:t>Consolidated Statements of Cash Flows for the Three Years Ended December 31, 2002 (Restated)</w:t>
            </w:r>
          </w:p>
        </w:tc>
        <w:tc>
          <w:tcPr>
            <w:tcW w:w="3360" w:type="dxa"/>
            <w:vAlign w:val="bottom"/>
            <w:gridSpan w:val="3"/>
          </w:tcPr>
          <w:p>
            <w:pPr>
              <w:jc w:val="right"/>
              <w:ind w:right="2320"/>
              <w:spacing w:after="0"/>
              <w:rPr>
                <w:sz w:val="20"/>
                <w:szCs w:val="20"/>
                <w:color w:val="auto"/>
              </w:rPr>
            </w:pPr>
            <w:r>
              <w:rPr>
                <w:rFonts w:ascii="Courier New" w:cs="Courier New" w:eastAsia="Courier New" w:hAnsi="Courier New"/>
                <w:sz w:val="13"/>
                <w:szCs w:val="13"/>
                <w:color w:val="auto"/>
              </w:rPr>
              <w:t>...........32</w:t>
            </w:r>
          </w:p>
        </w:tc>
      </w:tr>
      <w:tr>
        <w:trPr>
          <w:trHeight w:val="308"/>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Notes to Consolidated Financial Statements</w:t>
            </w:r>
          </w:p>
        </w:tc>
        <w:tc>
          <w:tcPr>
            <w:tcW w:w="4000" w:type="dxa"/>
            <w:vAlign w:val="bottom"/>
            <w:gridSpan w:val="2"/>
          </w:tcPr>
          <w:p>
            <w:pPr>
              <w:spacing w:after="0"/>
              <w:rPr>
                <w:sz w:val="20"/>
                <w:szCs w:val="20"/>
                <w:color w:val="auto"/>
              </w:rPr>
            </w:pPr>
            <w:r>
              <w:rPr>
                <w:rFonts w:ascii="Courier New" w:cs="Courier New" w:eastAsia="Courier New" w:hAnsi="Courier New"/>
                <w:sz w:val="13"/>
                <w:szCs w:val="13"/>
                <w:color w:val="auto"/>
                <w:w w:val="83"/>
              </w:rPr>
              <w:t>.............................................................</w:t>
            </w: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33</w:t>
            </w:r>
          </w:p>
        </w:tc>
        <w:tc>
          <w:tcPr>
            <w:tcW w:w="2240" w:type="dxa"/>
            <w:vAlign w:val="bottom"/>
          </w:tcPr>
          <w:p>
            <w:pPr>
              <w:spacing w:after="0"/>
              <w:rPr>
                <w:sz w:val="24"/>
                <w:szCs w:val="24"/>
                <w:color w:val="auto"/>
              </w:rPr>
            </w:pPr>
          </w:p>
        </w:tc>
      </w:tr>
      <w:tr>
        <w:trPr>
          <w:trHeight w:val="308"/>
        </w:trPr>
        <w:tc>
          <w:tcPr>
            <w:tcW w:w="4100" w:type="dxa"/>
            <w:vAlign w:val="bottom"/>
          </w:tcPr>
          <w:p>
            <w:pPr>
              <w:ind w:left="400"/>
              <w:spacing w:after="0"/>
              <w:rPr>
                <w:sz w:val="20"/>
                <w:szCs w:val="20"/>
                <w:color w:val="auto"/>
              </w:rPr>
            </w:pPr>
            <w:r>
              <w:rPr>
                <w:rFonts w:ascii="Courier New" w:cs="Courier New" w:eastAsia="Courier New" w:hAnsi="Courier New"/>
                <w:sz w:val="13"/>
                <w:szCs w:val="13"/>
                <w:color w:val="auto"/>
              </w:rPr>
              <w:t>2. Financial Statement Schedules</w:t>
            </w: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Not applicable.</w:t>
            </w: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4100" w:type="dxa"/>
            <w:vAlign w:val="bottom"/>
          </w:tcPr>
          <w:p>
            <w:pPr>
              <w:ind w:left="400"/>
              <w:spacing w:after="0"/>
              <w:rPr>
                <w:sz w:val="20"/>
                <w:szCs w:val="20"/>
                <w:color w:val="auto"/>
              </w:rPr>
            </w:pPr>
            <w:r>
              <w:rPr>
                <w:rFonts w:ascii="Courier New" w:cs="Courier New" w:eastAsia="Courier New" w:hAnsi="Courier New"/>
                <w:sz w:val="13"/>
                <w:szCs w:val="13"/>
                <w:color w:val="auto"/>
              </w:rPr>
              <w:t>3. See Index to Exhibits (attached hereto)</w:t>
            </w: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4100" w:type="dxa"/>
            <w:vAlign w:val="bottom"/>
          </w:tcPr>
          <w:p>
            <w:pPr>
              <w:spacing w:after="0"/>
              <w:rPr>
                <w:sz w:val="20"/>
                <w:szCs w:val="20"/>
                <w:color w:val="auto"/>
              </w:rPr>
            </w:pPr>
            <w:r>
              <w:rPr>
                <w:rFonts w:ascii="Courier New" w:cs="Courier New" w:eastAsia="Courier New" w:hAnsi="Courier New"/>
                <w:sz w:val="13"/>
                <w:szCs w:val="13"/>
                <w:color w:val="auto"/>
              </w:rPr>
              <w:t>(b) Reports on Form 8-K</w:t>
            </w: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The Company filed a Form 8-K on November 1, 2002 announcing its third</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quarter earnings.</w:t>
            </w: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The Company filed a Form 8-K on November 5, 2002 announcing its payment</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of a regular quarterly cash dividend.</w:t>
            </w: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The Company filed a Form 8-K on December 9, 2002 announcing its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intention to acquire SKF's manufacturing operation in Veenendaal, The</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Netherlands.</w:t>
            </w: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The Company filed a Form 8-K on December 20, 2002 announcing it</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purchased FAG Kugelfischer George-Schaefer AG's interest in NN</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Euroball, ApS, a joint venture company.</w:t>
            </w: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8"/>
        </w:trPr>
        <w:tc>
          <w:tcPr>
            <w:tcW w:w="7540" w:type="dxa"/>
            <w:vAlign w:val="bottom"/>
            <w:gridSpan w:val="2"/>
          </w:tcPr>
          <w:p>
            <w:pPr>
              <w:spacing w:after="0"/>
              <w:rPr>
                <w:sz w:val="20"/>
                <w:szCs w:val="20"/>
                <w:color w:val="auto"/>
              </w:rPr>
            </w:pPr>
            <w:r>
              <w:rPr>
                <w:rFonts w:ascii="Courier New" w:cs="Courier New" w:eastAsia="Courier New" w:hAnsi="Courier New"/>
                <w:sz w:val="13"/>
                <w:szCs w:val="13"/>
                <w:color w:val="auto"/>
              </w:rPr>
              <w:t>(c) Exhibits: See Index to Exhibits (attached hereto).</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The Company will provide without charge to any person, upon the written</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request of such person, a copy of any of the Exhibits to this Form</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10-K/A.</w:t>
            </w: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617"/>
        </w:trPr>
        <w:tc>
          <w:tcPr>
            <w:tcW w:w="4100" w:type="dxa"/>
            <w:vAlign w:val="bottom"/>
          </w:tcPr>
          <w:p>
            <w:pPr>
              <w:ind w:left="3120"/>
              <w:spacing w:after="0"/>
              <w:rPr>
                <w:sz w:val="20"/>
                <w:szCs w:val="20"/>
                <w:color w:val="auto"/>
              </w:rPr>
            </w:pPr>
            <w:r>
              <w:rPr>
                <w:rFonts w:ascii="Courier New" w:cs="Courier New" w:eastAsia="Courier New" w:hAnsi="Courier New"/>
                <w:sz w:val="13"/>
                <w:szCs w:val="13"/>
                <w:color w:val="auto"/>
              </w:rPr>
              <w:t>58</w:t>
            </w: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92"/>
        </w:trPr>
        <w:tc>
          <w:tcPr>
            <w:tcW w:w="41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r>
        <w:trPr>
          <w:trHeight w:val="439"/>
        </w:trPr>
        <w:tc>
          <w:tcPr>
            <w:tcW w:w="4100" w:type="dxa"/>
            <w:vAlign w:val="bottom"/>
          </w:tcPr>
          <w:p>
            <w:pPr>
              <w:ind w:left="720"/>
              <w:spacing w:after="0"/>
              <w:rPr>
                <w:sz w:val="20"/>
                <w:szCs w:val="20"/>
                <w:color w:val="auto"/>
              </w:rPr>
            </w:pPr>
            <w:r>
              <w:rPr>
                <w:rFonts w:ascii="Courier New" w:cs="Courier New" w:eastAsia="Courier New" w:hAnsi="Courier New"/>
                <w:sz w:val="13"/>
                <w:szCs w:val="13"/>
                <w:color w:val="auto"/>
              </w:rPr>
              <w:t>SIGNATURES</w:t>
            </w: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Pursuant to the requirements of Section 13 or 15(d) of the Securities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spacing w:after="0"/>
              <w:rPr>
                <w:sz w:val="20"/>
                <w:szCs w:val="20"/>
                <w:color w:val="auto"/>
              </w:rPr>
            </w:pPr>
            <w:r>
              <w:rPr>
                <w:rFonts w:ascii="Courier New" w:cs="Courier New" w:eastAsia="Courier New" w:hAnsi="Courier New"/>
                <w:sz w:val="13"/>
                <w:szCs w:val="13"/>
                <w:color w:val="auto"/>
              </w:rPr>
              <w:t>Exchange Act of 1934, the registrant has duly caused this report to be signed on</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7540" w:type="dxa"/>
            <w:vAlign w:val="bottom"/>
            <w:gridSpan w:val="2"/>
          </w:tcPr>
          <w:p>
            <w:pPr>
              <w:spacing w:after="0"/>
              <w:rPr>
                <w:sz w:val="20"/>
                <w:szCs w:val="20"/>
                <w:color w:val="auto"/>
              </w:rPr>
            </w:pPr>
            <w:r>
              <w:rPr>
                <w:rFonts w:ascii="Courier New" w:cs="Courier New" w:eastAsia="Courier New" w:hAnsi="Courier New"/>
                <w:sz w:val="13"/>
                <w:szCs w:val="13"/>
                <w:color w:val="auto"/>
              </w:rPr>
              <w:t>its behalf by the undersigned, thereunto duly authorized.</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617"/>
        </w:trPr>
        <w:tc>
          <w:tcPr>
            <w:tcW w:w="7540" w:type="dxa"/>
            <w:vAlign w:val="bottom"/>
            <w:gridSpan w:val="2"/>
          </w:tcPr>
          <w:p>
            <w:pPr>
              <w:ind w:left="2800"/>
              <w:spacing w:after="0"/>
              <w:rPr>
                <w:sz w:val="20"/>
                <w:szCs w:val="20"/>
                <w:color w:val="auto"/>
              </w:rPr>
            </w:pPr>
            <w:r>
              <w:rPr>
                <w:rFonts w:ascii="Courier New" w:cs="Courier New" w:eastAsia="Courier New" w:hAnsi="Courier New"/>
                <w:sz w:val="13"/>
                <w:szCs w:val="13"/>
                <w:color w:val="auto"/>
              </w:rPr>
              <w:t>By:   /S/ RODERICK R. BATY</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ind w:left="3040"/>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7540" w:type="dxa"/>
            <w:vAlign w:val="bottom"/>
            <w:gridSpan w:val="2"/>
          </w:tcPr>
          <w:p>
            <w:pPr>
              <w:ind w:left="3300"/>
              <w:spacing w:after="0"/>
              <w:rPr>
                <w:sz w:val="20"/>
                <w:szCs w:val="20"/>
                <w:color w:val="auto"/>
              </w:rPr>
            </w:pPr>
            <w:r>
              <w:rPr>
                <w:rFonts w:ascii="Courier New" w:cs="Courier New" w:eastAsia="Courier New" w:hAnsi="Courier New"/>
                <w:sz w:val="13"/>
                <w:szCs w:val="13"/>
                <w:color w:val="auto"/>
              </w:rPr>
              <w:t>Roderick R. Baty</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7540" w:type="dxa"/>
            <w:vAlign w:val="bottom"/>
            <w:gridSpan w:val="2"/>
          </w:tcPr>
          <w:p>
            <w:pPr>
              <w:ind w:left="3140"/>
              <w:spacing w:after="0"/>
              <w:rPr>
                <w:sz w:val="20"/>
                <w:szCs w:val="20"/>
                <w:color w:val="auto"/>
              </w:rPr>
            </w:pPr>
            <w:r>
              <w:rPr>
                <w:rFonts w:ascii="Courier New" w:cs="Courier New" w:eastAsia="Courier New" w:hAnsi="Courier New"/>
                <w:sz w:val="13"/>
                <w:szCs w:val="13"/>
                <w:i w:val="1"/>
                <w:iCs w:val="1"/>
                <w:color w:val="auto"/>
              </w:rPr>
              <w:t>Chairman and Director</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8"/>
        </w:trPr>
        <w:tc>
          <w:tcPr>
            <w:tcW w:w="7540" w:type="dxa"/>
            <w:vAlign w:val="bottom"/>
            <w:gridSpan w:val="2"/>
          </w:tcPr>
          <w:p>
            <w:pPr>
              <w:ind w:left="3300"/>
              <w:spacing w:after="0"/>
              <w:rPr>
                <w:sz w:val="20"/>
                <w:szCs w:val="20"/>
                <w:color w:val="auto"/>
              </w:rPr>
            </w:pPr>
            <w:r>
              <w:rPr>
                <w:rFonts w:ascii="Courier New" w:cs="Courier New" w:eastAsia="Courier New" w:hAnsi="Courier New"/>
                <w:sz w:val="13"/>
                <w:szCs w:val="13"/>
                <w:color w:val="auto"/>
              </w:rPr>
              <w:t>Dated: January 30, 2004</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8"/>
        </w:trPr>
        <w:tc>
          <w:tcPr>
            <w:tcW w:w="7540" w:type="dxa"/>
            <w:vAlign w:val="bottom"/>
            <w:gridSpan w:val="2"/>
          </w:tcPr>
          <w:p>
            <w:pPr>
              <w:ind w:left="720"/>
              <w:spacing w:after="0"/>
              <w:rPr>
                <w:sz w:val="20"/>
                <w:szCs w:val="20"/>
                <w:color w:val="auto"/>
              </w:rPr>
            </w:pPr>
            <w:r>
              <w:rPr>
                <w:rFonts w:ascii="Courier New" w:cs="Courier New" w:eastAsia="Courier New" w:hAnsi="Courier New"/>
                <w:sz w:val="13"/>
                <w:szCs w:val="13"/>
                <w:color w:val="auto"/>
              </w:rPr>
              <w:t>Pursuant to the requirements of the Securities Exchange Act of 1934,</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7540" w:type="dxa"/>
            <w:vAlign w:val="bottom"/>
            <w:gridSpan w:val="2"/>
          </w:tcPr>
          <w:p>
            <w:pPr>
              <w:spacing w:after="0"/>
              <w:rPr>
                <w:sz w:val="20"/>
                <w:szCs w:val="20"/>
                <w:color w:val="auto"/>
              </w:rPr>
            </w:pPr>
            <w:r>
              <w:rPr>
                <w:rFonts w:ascii="Courier New" w:cs="Courier New" w:eastAsia="Courier New" w:hAnsi="Courier New"/>
                <w:sz w:val="13"/>
                <w:szCs w:val="13"/>
                <w:color w:val="auto"/>
              </w:rPr>
              <w:t>this report has been signed below by the following persons on behalf of the</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7540" w:type="dxa"/>
            <w:vAlign w:val="bottom"/>
            <w:gridSpan w:val="2"/>
          </w:tcPr>
          <w:p>
            <w:pPr>
              <w:spacing w:after="0"/>
              <w:rPr>
                <w:sz w:val="20"/>
                <w:szCs w:val="20"/>
                <w:color w:val="auto"/>
              </w:rPr>
            </w:pPr>
            <w:r>
              <w:rPr>
                <w:rFonts w:ascii="Courier New" w:cs="Courier New" w:eastAsia="Courier New" w:hAnsi="Courier New"/>
                <w:sz w:val="13"/>
                <w:szCs w:val="13"/>
                <w:color w:val="auto"/>
              </w:rPr>
              <w:t>Registrant and in the capacities and on the date indicated.</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8"/>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b w:val="1"/>
                <w:bCs w:val="1"/>
                <w:color w:val="auto"/>
              </w:rPr>
              <w:t>Name and Signature</w:t>
            </w:r>
          </w:p>
        </w:tc>
        <w:tc>
          <w:tcPr>
            <w:tcW w:w="3440" w:type="dxa"/>
            <w:vAlign w:val="bottom"/>
          </w:tcPr>
          <w:p>
            <w:pPr>
              <w:ind w:left="1440"/>
              <w:spacing w:after="0"/>
              <w:rPr>
                <w:sz w:val="20"/>
                <w:szCs w:val="20"/>
                <w:color w:val="auto"/>
              </w:rPr>
            </w:pPr>
            <w:r>
              <w:rPr>
                <w:rFonts w:ascii="Courier New" w:cs="Courier New" w:eastAsia="Courier New" w:hAnsi="Courier New"/>
                <w:sz w:val="13"/>
                <w:szCs w:val="13"/>
                <w:b w:val="1"/>
                <w:bCs w:val="1"/>
                <w:color w:val="auto"/>
              </w:rPr>
              <w:t>Title</w:t>
            </w:r>
          </w:p>
        </w:tc>
        <w:tc>
          <w:tcPr>
            <w:tcW w:w="56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Courier New" w:cs="Courier New" w:eastAsia="Courier New" w:hAnsi="Courier New"/>
                <w:sz w:val="13"/>
                <w:szCs w:val="13"/>
                <w:b w:val="1"/>
                <w:bCs w:val="1"/>
                <w:color w:val="auto"/>
              </w:rPr>
              <w:t>Date</w:t>
            </w:r>
          </w:p>
        </w:tc>
      </w:tr>
      <w:tr>
        <w:trPr>
          <w:trHeight w:val="154"/>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b w:val="1"/>
                <w:bCs w:val="1"/>
                <w:color w:val="auto"/>
              </w:rPr>
              <w:t>------------------</w:t>
            </w:r>
          </w:p>
        </w:tc>
        <w:tc>
          <w:tcPr>
            <w:tcW w:w="3440" w:type="dxa"/>
            <w:vAlign w:val="bottom"/>
          </w:tcPr>
          <w:p>
            <w:pPr>
              <w:ind w:left="1440"/>
              <w:spacing w:after="0"/>
              <w:rPr>
                <w:sz w:val="20"/>
                <w:szCs w:val="20"/>
                <w:color w:val="auto"/>
              </w:rPr>
            </w:pPr>
            <w:r>
              <w:rPr>
                <w:rFonts w:ascii="Courier New" w:cs="Courier New" w:eastAsia="Courier New" w:hAnsi="Courier New"/>
                <w:sz w:val="13"/>
                <w:szCs w:val="13"/>
                <w:b w:val="1"/>
                <w:bCs w:val="1"/>
                <w:color w:val="auto"/>
              </w:rPr>
              <w:t>-----</w:t>
            </w:r>
          </w:p>
        </w:tc>
        <w:tc>
          <w:tcPr>
            <w:tcW w:w="56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Courier New" w:cs="Courier New" w:eastAsia="Courier New" w:hAnsi="Courier New"/>
                <w:sz w:val="13"/>
                <w:szCs w:val="13"/>
                <w:b w:val="1"/>
                <w:bCs w:val="1"/>
                <w:color w:val="auto"/>
              </w:rPr>
              <w:t>----</w:t>
            </w: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463"/>
        </w:trPr>
        <w:tc>
          <w:tcPr>
            <w:tcW w:w="410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Courier New" w:cs="Courier New" w:eastAsia="Courier New" w:hAnsi="Courier New"/>
                <w:sz w:val="13"/>
                <w:szCs w:val="13"/>
                <w:color w:val="auto"/>
              </w:rPr>
              <w:t>Chairman, Chief Executive Officer,</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4"/>
        </w:trPr>
        <w:tc>
          <w:tcPr>
            <w:tcW w:w="410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Courier New" w:cs="Courier New" w:eastAsia="Courier New" w:hAnsi="Courier New"/>
                <w:sz w:val="13"/>
                <w:szCs w:val="13"/>
                <w:color w:val="auto"/>
              </w:rPr>
              <w:t>President and Director (Principal</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4"/>
        </w:trPr>
        <w:tc>
          <w:tcPr>
            <w:tcW w:w="4100" w:type="dxa"/>
            <w:vAlign w:val="bottom"/>
          </w:tcPr>
          <w:p>
            <w:pPr>
              <w:jc w:val="center"/>
              <w:ind w:right="193"/>
              <w:spacing w:after="0"/>
              <w:rPr>
                <w:sz w:val="20"/>
                <w:szCs w:val="20"/>
                <w:color w:val="auto"/>
              </w:rPr>
            </w:pPr>
            <w:r>
              <w:rPr>
                <w:rFonts w:ascii="Courier New" w:cs="Courier New" w:eastAsia="Courier New" w:hAnsi="Courier New"/>
                <w:sz w:val="13"/>
                <w:szCs w:val="13"/>
                <w:color w:val="auto"/>
              </w:rPr>
              <w:t>/S/ RODERICK R. BATY</w:t>
            </w:r>
          </w:p>
        </w:tc>
        <w:tc>
          <w:tcPr>
            <w:tcW w:w="3440" w:type="dxa"/>
            <w:vAlign w:val="bottom"/>
          </w:tcPr>
          <w:p>
            <w:pPr>
              <w:ind w:left="160"/>
              <w:spacing w:after="0"/>
              <w:rPr>
                <w:sz w:val="20"/>
                <w:szCs w:val="20"/>
                <w:color w:val="auto"/>
              </w:rPr>
            </w:pPr>
            <w:r>
              <w:rPr>
                <w:rFonts w:ascii="Courier New" w:cs="Courier New" w:eastAsia="Courier New" w:hAnsi="Courier New"/>
                <w:sz w:val="13"/>
                <w:szCs w:val="13"/>
                <w:color w:val="auto"/>
              </w:rPr>
              <w:t>Executive Officer)</w:t>
            </w:r>
          </w:p>
        </w:tc>
        <w:tc>
          <w:tcPr>
            <w:tcW w:w="3920" w:type="dxa"/>
            <w:vAlign w:val="bottom"/>
            <w:gridSpan w:val="4"/>
          </w:tcPr>
          <w:p>
            <w:pPr>
              <w:spacing w:after="0"/>
              <w:rPr>
                <w:sz w:val="20"/>
                <w:szCs w:val="20"/>
                <w:color w:val="auto"/>
              </w:rPr>
            </w:pPr>
            <w:r>
              <w:rPr>
                <w:rFonts w:ascii="Courier New" w:cs="Courier New" w:eastAsia="Courier New" w:hAnsi="Courier New"/>
                <w:sz w:val="13"/>
                <w:szCs w:val="13"/>
                <w:color w:val="auto"/>
              </w:rPr>
              <w:t>January 30,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-2752090</wp:posOffset>
            </wp:positionV>
            <wp:extent cx="3175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-2752090</wp:posOffset>
            </wp:positionV>
            <wp:extent cx="3175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ind w:left="160" w:hanging="158"/>
        <w:spacing w:after="0"/>
        <w:tabs>
          <w:tab w:leader="none" w:pos="160"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Roderick R. Baty</w:t>
      </w:r>
    </w:p>
    <w:p>
      <w:pPr>
        <w:sectPr>
          <w:pgSz w:w="11900" w:h="16838" w:orient="portrait"/>
          <w:cols w:equalWidth="0" w:num="1">
            <w:col w:w="11460"/>
          </w:cols>
          <w:pgMar w:left="220" w:top="296" w:right="219" w:bottom="0" w:gutter="0" w:footer="0" w:header="0"/>
        </w:sectPr>
      </w:pP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Treasurer, Secretary and Chief</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3"/>
          <w:szCs w:val="13"/>
          <w:color w:val="auto"/>
        </w:rPr>
        <w:t>Administrative Officer (Principal</w:t>
      </w:r>
    </w:p>
    <w:p>
      <w:pPr>
        <w:spacing w:after="0" w:line="7" w:lineRule="exact"/>
        <w:rPr>
          <w:sz w:val="20"/>
          <w:szCs w:val="20"/>
          <w:color w:val="auto"/>
        </w:rPr>
      </w:pPr>
    </w:p>
    <w:p>
      <w:pPr>
        <w:ind w:left="960"/>
        <w:spacing w:after="0"/>
        <w:tabs>
          <w:tab w:leader="none" w:pos="4240" w:val="left"/>
        </w:tabs>
        <w:rPr>
          <w:sz w:val="20"/>
          <w:szCs w:val="20"/>
          <w:color w:val="auto"/>
        </w:rPr>
      </w:pPr>
      <w:r>
        <w:rPr>
          <w:rFonts w:ascii="Courier New" w:cs="Courier New" w:eastAsia="Courier New" w:hAnsi="Courier New"/>
          <w:sz w:val="13"/>
          <w:szCs w:val="13"/>
          <w:color w:val="auto"/>
        </w:rPr>
        <w:t>/S/ WILLIAM C. KELLY, JR.</w:t>
      </w:r>
      <w:r>
        <w:rPr>
          <w:sz w:val="20"/>
          <w:szCs w:val="20"/>
          <w:color w:val="auto"/>
        </w:rPr>
        <w:tab/>
      </w:r>
      <w:r>
        <w:rPr>
          <w:rFonts w:ascii="Courier New" w:cs="Courier New" w:eastAsia="Courier New" w:hAnsi="Courier New"/>
          <w:sz w:val="13"/>
          <w:szCs w:val="13"/>
          <w:color w:val="auto"/>
        </w:rPr>
        <w:t>Accounting Officer)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30, 2004</w:t>
      </w:r>
    </w:p>
    <w:p>
      <w:pPr>
        <w:spacing w:after="0" w:line="7" w:lineRule="exact"/>
        <w:rPr>
          <w:sz w:val="20"/>
          <w:szCs w:val="20"/>
          <w:color w:val="auto"/>
        </w:rPr>
      </w:pPr>
    </w:p>
    <w:p>
      <w:pPr>
        <w:sectPr>
          <w:pgSz w:w="11900" w:h="16838" w:orient="portrait"/>
          <w:cols w:equalWidth="0" w:num="2">
            <w:col w:w="6900" w:space="640"/>
            <w:col w:w="3920"/>
          </w:cols>
          <w:pgMar w:left="220" w:top="296" w:right="219" w:bottom="0" w:gutter="0" w:footer="0" w:header="0"/>
          <w:type w:val="continuous"/>
        </w:sectPr>
      </w:pPr>
    </w:p>
    <w:p>
      <w:pPr>
        <w:ind w:left="160" w:hanging="158"/>
        <w:spacing w:after="0"/>
        <w:tabs>
          <w:tab w:leader="none" w:pos="160"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1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William C. Kelly, Jr.</w:t>
      </w:r>
    </w:p>
    <w:p>
      <w:pPr>
        <w:sectPr>
          <w:pgSz w:w="11900" w:h="16838" w:orient="portrait"/>
          <w:cols w:equalWidth="0" w:num="1">
            <w:col w:w="11460"/>
          </w:cols>
          <w:pgMar w:left="220" w:top="296" w:right="219" w:bottom="0" w:gutter="0" w:footer="0" w:header="0"/>
          <w:type w:val="continuous"/>
        </w:sectPr>
      </w:pP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Vice President - Corporate Development</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3"/>
          <w:szCs w:val="13"/>
          <w:color w:val="auto"/>
        </w:rPr>
        <w:t>and Chief Financial Officer (Principal</w:t>
      </w:r>
    </w:p>
    <w:p>
      <w:pPr>
        <w:spacing w:after="0" w:line="7" w:lineRule="exact"/>
        <w:rPr>
          <w:sz w:val="20"/>
          <w:szCs w:val="20"/>
          <w:color w:val="auto"/>
        </w:rPr>
      </w:pPr>
    </w:p>
    <w:p>
      <w:pPr>
        <w:ind w:left="1120"/>
        <w:spacing w:after="0"/>
        <w:tabs>
          <w:tab w:leader="none" w:pos="4240" w:val="left"/>
        </w:tabs>
        <w:rPr>
          <w:sz w:val="20"/>
          <w:szCs w:val="20"/>
          <w:color w:val="auto"/>
        </w:rPr>
      </w:pPr>
      <w:r>
        <w:rPr>
          <w:rFonts w:ascii="Courier New" w:cs="Courier New" w:eastAsia="Courier New" w:hAnsi="Courier New"/>
          <w:sz w:val="13"/>
          <w:szCs w:val="13"/>
          <w:color w:val="auto"/>
        </w:rPr>
        <w:t>/S/ DAVID L. DYCKMAN</w:t>
      </w:r>
      <w:r>
        <w:rPr>
          <w:sz w:val="20"/>
          <w:szCs w:val="20"/>
          <w:color w:val="auto"/>
        </w:rPr>
        <w:tab/>
      </w:r>
      <w:r>
        <w:rPr>
          <w:rFonts w:ascii="Courier New" w:cs="Courier New" w:eastAsia="Courier New" w:hAnsi="Courier New"/>
          <w:sz w:val="13"/>
          <w:szCs w:val="13"/>
          <w:color w:val="auto"/>
        </w:rPr>
        <w:t>Financial Officer)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30, 2004</w:t>
      </w:r>
    </w:p>
    <w:p>
      <w:pPr>
        <w:spacing w:after="0" w:line="7" w:lineRule="exact"/>
        <w:rPr>
          <w:sz w:val="20"/>
          <w:szCs w:val="20"/>
          <w:color w:val="auto"/>
        </w:rPr>
      </w:pPr>
    </w:p>
    <w:p>
      <w:pPr>
        <w:sectPr>
          <w:pgSz w:w="11900" w:h="16838" w:orient="portrait"/>
          <w:cols w:equalWidth="0" w:num="2">
            <w:col w:w="7300" w:space="240"/>
            <w:col w:w="3920"/>
          </w:cols>
          <w:pgMar w:left="220" w:top="296" w:right="219" w:bottom="0" w:gutter="0" w:footer="0" w:header="0"/>
          <w:type w:val="continuous"/>
        </w:sectPr>
      </w:pPr>
    </w:p>
    <w:p>
      <w:pPr>
        <w:ind w:left="160" w:hanging="158"/>
        <w:spacing w:after="0"/>
        <w:tabs>
          <w:tab w:leader="none" w:pos="160" w:val="left"/>
        </w:tabs>
        <w:numPr>
          <w:ilvl w:val="0"/>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David L. Dyckman</w:t>
      </w:r>
    </w:p>
    <w:p>
      <w:pPr>
        <w:spacing w:after="0" w:line="161" w:lineRule="exact"/>
        <w:rPr>
          <w:sz w:val="20"/>
          <w:szCs w:val="20"/>
          <w:color w:val="auto"/>
        </w:rPr>
      </w:pPr>
    </w:p>
    <w:p>
      <w:pPr>
        <w:ind w:left="1200"/>
        <w:spacing w:after="0"/>
        <w:tabs>
          <w:tab w:leader="none" w:pos="4080" w:val="left"/>
          <w:tab w:leader="none" w:pos="7520" w:val="left"/>
        </w:tabs>
        <w:rPr>
          <w:sz w:val="20"/>
          <w:szCs w:val="20"/>
          <w:color w:val="auto"/>
        </w:rPr>
      </w:pPr>
      <w:r>
        <w:rPr>
          <w:rFonts w:ascii="Courier New" w:cs="Courier New" w:eastAsia="Courier New" w:hAnsi="Courier New"/>
          <w:sz w:val="13"/>
          <w:szCs w:val="13"/>
          <w:color w:val="auto"/>
        </w:rPr>
        <w:t>/S/ MICHAEL D. HUFF</w:t>
      </w:r>
      <w:r>
        <w:rPr>
          <w:sz w:val="20"/>
          <w:szCs w:val="20"/>
          <w:color w:val="auto"/>
        </w:rPr>
        <w:tab/>
      </w:r>
      <w:r>
        <w:rPr>
          <w:rFonts w:ascii="Courier New" w:cs="Courier New" w:eastAsia="Courier New" w:hAnsi="Courier New"/>
          <w:sz w:val="13"/>
          <w:szCs w:val="13"/>
          <w:color w:val="auto"/>
        </w:rPr>
        <w:t>Director</w:t>
      </w:r>
      <w:r>
        <w:rPr>
          <w:sz w:val="20"/>
          <w:szCs w:val="20"/>
          <w:color w:val="auto"/>
        </w:rPr>
        <w:tab/>
      </w:r>
      <w:r>
        <w:rPr>
          <w:rFonts w:ascii="Courier New" w:cs="Courier New" w:eastAsia="Courier New" w:hAnsi="Courier New"/>
          <w:sz w:val="13"/>
          <w:szCs w:val="13"/>
          <w:color w:val="auto"/>
        </w:rPr>
        <w:t>January 30, 2004</w:t>
      </w:r>
    </w:p>
    <w:p>
      <w:pPr>
        <w:spacing w:after="0" w:line="7" w:lineRule="exact"/>
        <w:rPr>
          <w:sz w:val="20"/>
          <w:szCs w:val="20"/>
          <w:color w:val="auto"/>
        </w:rPr>
      </w:pPr>
    </w:p>
    <w:p>
      <w:pPr>
        <w:ind w:left="160" w:hanging="158"/>
        <w:spacing w:after="0"/>
        <w:tabs>
          <w:tab w:leader="none" w:pos="16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36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Michael D. Huff</w:t>
      </w:r>
    </w:p>
    <w:p>
      <w:pPr>
        <w:spacing w:after="0" w:line="161" w:lineRule="exact"/>
        <w:rPr>
          <w:sz w:val="20"/>
          <w:szCs w:val="20"/>
          <w:color w:val="auto"/>
        </w:rPr>
      </w:pPr>
    </w:p>
    <w:p>
      <w:pPr>
        <w:ind w:left="4100"/>
        <w:spacing w:after="0"/>
        <w:tabs>
          <w:tab w:leader="none" w:pos="7520" w:val="left"/>
        </w:tabs>
        <w:rPr>
          <w:sz w:val="20"/>
          <w:szCs w:val="20"/>
          <w:color w:val="auto"/>
        </w:rPr>
      </w:pPr>
      <w:r>
        <w:rPr>
          <w:rFonts w:ascii="Courier New" w:cs="Courier New" w:eastAsia="Courier New" w:hAnsi="Courier New"/>
          <w:sz w:val="13"/>
          <w:szCs w:val="13"/>
          <w:color w:val="auto"/>
        </w:rPr>
        <w:t>Director</w:t>
      </w:r>
      <w:r>
        <w:rPr>
          <w:sz w:val="20"/>
          <w:szCs w:val="20"/>
          <w:color w:val="auto"/>
        </w:rPr>
        <w:tab/>
      </w:r>
      <w:r>
        <w:rPr>
          <w:rFonts w:ascii="Courier New" w:cs="Courier New" w:eastAsia="Courier New" w:hAnsi="Courier New"/>
          <w:sz w:val="13"/>
          <w:szCs w:val="13"/>
          <w:color w:val="auto"/>
        </w:rPr>
        <w:t>January 30, 2004</w:t>
      </w:r>
    </w:p>
    <w:p>
      <w:pPr>
        <w:spacing w:after="0" w:line="7" w:lineRule="exact"/>
        <w:rPr>
          <w:sz w:val="20"/>
          <w:szCs w:val="20"/>
          <w:color w:val="auto"/>
        </w:rPr>
      </w:pPr>
    </w:p>
    <w:p>
      <w:pPr>
        <w:ind w:left="160" w:hanging="158"/>
        <w:spacing w:after="0"/>
        <w:tabs>
          <w:tab w:leader="none" w:pos="160" w:val="left"/>
        </w:tabs>
        <w:numPr>
          <w:ilvl w:val="0"/>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G. Ronald Morris</w:t>
      </w:r>
    </w:p>
    <w:p>
      <w:pPr>
        <w:spacing w:after="0" w:line="161" w:lineRule="exact"/>
        <w:rPr>
          <w:sz w:val="20"/>
          <w:szCs w:val="20"/>
          <w:color w:val="auto"/>
        </w:rPr>
      </w:pPr>
    </w:p>
    <w:p>
      <w:pPr>
        <w:ind w:left="1120"/>
        <w:spacing w:after="0"/>
        <w:tabs>
          <w:tab w:leader="none" w:pos="4080" w:val="left"/>
          <w:tab w:leader="none" w:pos="7520" w:val="left"/>
        </w:tabs>
        <w:rPr>
          <w:sz w:val="20"/>
          <w:szCs w:val="20"/>
          <w:color w:val="auto"/>
        </w:rPr>
      </w:pPr>
      <w:r>
        <w:rPr>
          <w:rFonts w:ascii="Courier New" w:cs="Courier New" w:eastAsia="Courier New" w:hAnsi="Courier New"/>
          <w:sz w:val="13"/>
          <w:szCs w:val="13"/>
          <w:color w:val="auto"/>
        </w:rPr>
        <w:t>/S/ MICHAEL E. WERNER</w:t>
      </w:r>
      <w:r>
        <w:rPr>
          <w:sz w:val="20"/>
          <w:szCs w:val="20"/>
          <w:color w:val="auto"/>
        </w:rPr>
        <w:tab/>
      </w:r>
      <w:r>
        <w:rPr>
          <w:rFonts w:ascii="Courier New" w:cs="Courier New" w:eastAsia="Courier New" w:hAnsi="Courier New"/>
          <w:sz w:val="13"/>
          <w:szCs w:val="13"/>
          <w:color w:val="auto"/>
        </w:rPr>
        <w:t>Director</w:t>
      </w:r>
      <w:r>
        <w:rPr>
          <w:sz w:val="20"/>
          <w:szCs w:val="20"/>
          <w:color w:val="auto"/>
        </w:rPr>
        <w:tab/>
      </w:r>
      <w:r>
        <w:rPr>
          <w:rFonts w:ascii="Courier New" w:cs="Courier New" w:eastAsia="Courier New" w:hAnsi="Courier New"/>
          <w:sz w:val="13"/>
          <w:szCs w:val="13"/>
          <w:color w:val="auto"/>
        </w:rPr>
        <w:t>January 30, 2004</w:t>
      </w:r>
    </w:p>
    <w:p>
      <w:pPr>
        <w:spacing w:after="0" w:line="7" w:lineRule="exact"/>
        <w:rPr>
          <w:sz w:val="20"/>
          <w:szCs w:val="20"/>
          <w:color w:val="auto"/>
        </w:rPr>
      </w:pPr>
    </w:p>
    <w:p>
      <w:pPr>
        <w:ind w:left="160" w:hanging="158"/>
        <w:spacing w:after="0"/>
        <w:tabs>
          <w:tab w:leader="none" w:pos="160"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Michael E. Werner</w:t>
      </w:r>
    </w:p>
    <w:p>
      <w:pPr>
        <w:sectPr>
          <w:pgSz w:w="11900" w:h="16838" w:orient="portrait"/>
          <w:cols w:equalWidth="0" w:num="1">
            <w:col w:w="11460"/>
          </w:cols>
          <w:pgMar w:left="220" w:top="296" w:right="219" w:bottom="0" w:gutter="0" w:footer="0" w:header="0"/>
          <w:type w:val="continuous"/>
        </w:sectPr>
      </w:pPr>
    </w:p>
    <w:bookmarkStart w:id="43" w:name="page44"/>
    <w:bookmarkEnd w:id="43"/>
    <w:p>
      <w:pPr>
        <w:jc w:val="right"/>
        <w:ind w:right="1419"/>
        <w:spacing w:after="0"/>
        <w:tabs>
          <w:tab w:leader="none" w:pos="4700" w:val="left"/>
          <w:tab w:leader="none" w:pos="1260" w:val="left"/>
        </w:tabs>
        <w:rPr>
          <w:sz w:val="20"/>
          <w:szCs w:val="20"/>
          <w:color w:val="auto"/>
        </w:rPr>
      </w:pPr>
      <w:r>
        <w:rPr>
          <w:rFonts w:ascii="Courier New" w:cs="Courier New" w:eastAsia="Courier New" w:hAnsi="Courier New"/>
          <w:sz w:val="13"/>
          <w:szCs w:val="13"/>
          <w:color w:val="auto"/>
        </w:rPr>
        <w:t>/S/ STEVEN T. WARSHAW</w:t>
      </w:r>
      <w:r>
        <w:rPr>
          <w:sz w:val="20"/>
          <w:szCs w:val="20"/>
          <w:color w:val="auto"/>
        </w:rPr>
        <w:tab/>
      </w:r>
      <w:r>
        <w:rPr>
          <w:rFonts w:ascii="Courier New" w:cs="Courier New" w:eastAsia="Courier New" w:hAnsi="Courier New"/>
          <w:sz w:val="13"/>
          <w:szCs w:val="13"/>
          <w:color w:val="auto"/>
        </w:rPr>
        <w:t>Director</w:t>
      </w:r>
      <w:r>
        <w:rPr>
          <w:sz w:val="20"/>
          <w:szCs w:val="20"/>
          <w:color w:val="auto"/>
        </w:rPr>
        <w:tab/>
      </w:r>
      <w:r>
        <w:rPr>
          <w:rFonts w:ascii="Courier New" w:cs="Courier New" w:eastAsia="Courier New" w:hAnsi="Courier New"/>
          <w:sz w:val="13"/>
          <w:szCs w:val="13"/>
          <w:color w:val="auto"/>
        </w:rPr>
        <w:t>January 30, 2004</w:t>
      </w:r>
    </w:p>
    <w:p>
      <w:pPr>
        <w:spacing w:after="0" w:line="7" w:lineRule="exact"/>
        <w:rPr>
          <w:sz w:val="20"/>
          <w:szCs w:val="20"/>
          <w:color w:val="auto"/>
        </w:rPr>
      </w:pPr>
    </w:p>
    <w:p>
      <w:pPr>
        <w:ind w:left="158" w:hanging="158"/>
        <w:spacing w:after="0"/>
        <w:tabs>
          <w:tab w:leader="none" w:pos="158"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78"/>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Steven T. Warshaw</w:t>
      </w:r>
    </w:p>
    <w:p>
      <w:pPr>
        <w:spacing w:after="0" w:line="161" w:lineRule="exact"/>
        <w:rPr>
          <w:sz w:val="20"/>
          <w:szCs w:val="20"/>
          <w:color w:val="auto"/>
        </w:rPr>
      </w:pPr>
    </w:p>
    <w:p>
      <w:pPr>
        <w:jc w:val="right"/>
        <w:ind w:right="1419"/>
        <w:spacing w:after="0"/>
        <w:tabs>
          <w:tab w:leader="none" w:pos="4700" w:val="left"/>
          <w:tab w:leader="none" w:pos="1260" w:val="left"/>
        </w:tabs>
        <w:rPr>
          <w:sz w:val="20"/>
          <w:szCs w:val="20"/>
          <w:color w:val="auto"/>
        </w:rPr>
      </w:pPr>
      <w:r>
        <w:rPr>
          <w:rFonts w:ascii="Courier New" w:cs="Courier New" w:eastAsia="Courier New" w:hAnsi="Courier New"/>
          <w:sz w:val="13"/>
          <w:szCs w:val="13"/>
          <w:color w:val="auto"/>
        </w:rPr>
        <w:t>/S/ JAMES L. EARSLEY</w:t>
      </w:r>
      <w:r>
        <w:rPr>
          <w:sz w:val="20"/>
          <w:szCs w:val="20"/>
          <w:color w:val="auto"/>
        </w:rPr>
        <w:tab/>
      </w:r>
      <w:r>
        <w:rPr>
          <w:rFonts w:ascii="Courier New" w:cs="Courier New" w:eastAsia="Courier New" w:hAnsi="Courier New"/>
          <w:sz w:val="13"/>
          <w:szCs w:val="13"/>
          <w:color w:val="auto"/>
        </w:rPr>
        <w:t>Director</w:t>
      </w:r>
      <w:r>
        <w:rPr>
          <w:sz w:val="20"/>
          <w:szCs w:val="20"/>
          <w:color w:val="auto"/>
        </w:rPr>
        <w:tab/>
      </w:r>
      <w:r>
        <w:rPr>
          <w:rFonts w:ascii="Courier New" w:cs="Courier New" w:eastAsia="Courier New" w:hAnsi="Courier New"/>
          <w:sz w:val="13"/>
          <w:szCs w:val="13"/>
          <w:color w:val="auto"/>
        </w:rPr>
        <w:t>January 30, 2004</w:t>
      </w:r>
    </w:p>
    <w:p>
      <w:pPr>
        <w:spacing w:after="0" w:line="7" w:lineRule="exact"/>
        <w:rPr>
          <w:sz w:val="20"/>
          <w:szCs w:val="20"/>
          <w:color w:val="auto"/>
        </w:rPr>
      </w:pPr>
    </w:p>
    <w:p>
      <w:pPr>
        <w:ind w:left="158" w:hanging="158"/>
        <w:spacing w:after="0"/>
        <w:tabs>
          <w:tab w:leader="none" w:pos="158"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278"/>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James L. Earsley</w:t>
      </w:r>
    </w:p>
    <w:p>
      <w:pPr>
        <w:spacing w:after="0" w:line="161" w:lineRule="exact"/>
        <w:rPr>
          <w:sz w:val="20"/>
          <w:szCs w:val="20"/>
          <w:color w:val="auto"/>
        </w:rPr>
      </w:pPr>
    </w:p>
    <w:p>
      <w:pPr>
        <w:jc w:val="right"/>
        <w:ind w:right="1419"/>
        <w:spacing w:after="0"/>
        <w:tabs>
          <w:tab w:leader="none" w:pos="4700" w:val="left"/>
          <w:tab w:leader="none" w:pos="1260" w:val="left"/>
        </w:tabs>
        <w:rPr>
          <w:sz w:val="20"/>
          <w:szCs w:val="20"/>
          <w:color w:val="auto"/>
        </w:rPr>
      </w:pPr>
      <w:r>
        <w:rPr>
          <w:rFonts w:ascii="Courier New" w:cs="Courier New" w:eastAsia="Courier New" w:hAnsi="Courier New"/>
          <w:sz w:val="13"/>
          <w:szCs w:val="13"/>
          <w:color w:val="auto"/>
        </w:rPr>
        <w:t>/S/ ROBERT M. AIKEN, JR..</w:t>
      </w:r>
      <w:r>
        <w:rPr>
          <w:sz w:val="20"/>
          <w:szCs w:val="20"/>
          <w:color w:val="auto"/>
        </w:rPr>
        <w:tab/>
      </w:r>
      <w:r>
        <w:rPr>
          <w:rFonts w:ascii="Courier New" w:cs="Courier New" w:eastAsia="Courier New" w:hAnsi="Courier New"/>
          <w:sz w:val="13"/>
          <w:szCs w:val="13"/>
          <w:color w:val="auto"/>
        </w:rPr>
        <w:t>Director</w:t>
      </w:r>
      <w:r>
        <w:rPr>
          <w:sz w:val="20"/>
          <w:szCs w:val="20"/>
          <w:color w:val="auto"/>
        </w:rPr>
        <w:tab/>
      </w:r>
      <w:r>
        <w:rPr>
          <w:rFonts w:ascii="Courier New" w:cs="Courier New" w:eastAsia="Courier New" w:hAnsi="Courier New"/>
          <w:sz w:val="13"/>
          <w:szCs w:val="13"/>
          <w:color w:val="auto"/>
        </w:rPr>
        <w:t>January 30, 2004</w:t>
      </w:r>
    </w:p>
    <w:p>
      <w:pPr>
        <w:spacing w:after="0" w:line="7" w:lineRule="exact"/>
        <w:rPr>
          <w:sz w:val="20"/>
          <w:szCs w:val="20"/>
          <w:color w:val="auto"/>
        </w:rPr>
      </w:pPr>
    </w:p>
    <w:p>
      <w:pPr>
        <w:ind w:left="158" w:hanging="158"/>
        <w:spacing w:after="0"/>
        <w:tabs>
          <w:tab w:leader="none" w:pos="158"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6" w:lineRule="exact"/>
        <w:rPr>
          <w:rFonts w:ascii="Courier New" w:cs="Courier New" w:eastAsia="Courier New" w:hAnsi="Courier New"/>
          <w:sz w:val="13"/>
          <w:szCs w:val="13"/>
          <w:color w:val="auto"/>
        </w:rPr>
      </w:pPr>
    </w:p>
    <w:p>
      <w:pPr>
        <w:ind w:left="1118"/>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Robert M. Aiken, Jr.</w:t>
      </w:r>
    </w:p>
    <w:p>
      <w:pPr>
        <w:spacing w:after="0" w:line="200" w:lineRule="exact"/>
        <w:rPr>
          <w:sz w:val="20"/>
          <w:szCs w:val="20"/>
          <w:color w:val="auto"/>
        </w:rPr>
      </w:pPr>
    </w:p>
    <w:p>
      <w:pPr>
        <w:spacing w:after="0" w:line="270" w:lineRule="exact"/>
        <w:rPr>
          <w:sz w:val="20"/>
          <w:szCs w:val="20"/>
          <w:color w:val="auto"/>
        </w:rPr>
      </w:pPr>
    </w:p>
    <w:p>
      <w:pPr>
        <w:ind w:left="3118"/>
        <w:spacing w:after="0"/>
        <w:rPr>
          <w:sz w:val="20"/>
          <w:szCs w:val="20"/>
          <w:color w:val="auto"/>
        </w:rPr>
      </w:pPr>
      <w:r>
        <w:rPr>
          <w:rFonts w:ascii="Courier New" w:cs="Courier New" w:eastAsia="Courier New" w:hAnsi="Courier New"/>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3044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
        <w:spacing w:after="0"/>
        <w:rPr>
          <w:sz w:val="20"/>
          <w:szCs w:val="20"/>
          <w:color w:val="auto"/>
        </w:rPr>
      </w:pPr>
      <w:r>
        <w:rPr>
          <w:rFonts w:ascii="Courier New" w:cs="Courier New" w:eastAsia="Courier New" w:hAnsi="Courier New"/>
          <w:sz w:val="13"/>
          <w:szCs w:val="13"/>
          <w:b w:val="1"/>
          <w:bCs w:val="1"/>
          <w:color w:val="auto"/>
        </w:rPr>
        <w:t>Index to Exhibits</w:t>
      </w:r>
    </w:p>
    <w:p>
      <w:pPr>
        <w:spacing w:after="0" w:line="161" w:lineRule="exact"/>
        <w:rPr>
          <w:sz w:val="20"/>
          <w:szCs w:val="20"/>
          <w:color w:val="auto"/>
        </w:rPr>
      </w:pPr>
    </w:p>
    <w:p>
      <w:pPr>
        <w:ind w:left="798" w:right="3819"/>
        <w:spacing w:after="0" w:line="253" w:lineRule="auto"/>
        <w:rPr>
          <w:sz w:val="20"/>
          <w:szCs w:val="20"/>
          <w:color w:val="auto"/>
        </w:rPr>
      </w:pPr>
      <w:r>
        <w:rPr>
          <w:rFonts w:ascii="Courier New" w:cs="Courier New" w:eastAsia="Courier New" w:hAnsi="Courier New"/>
          <w:sz w:val="13"/>
          <w:szCs w:val="13"/>
          <w:color w:val="auto"/>
        </w:rPr>
        <w:t>3.1 Restated Certificate of Incorporation of the Company (incorporated by reference to Exhibit 3.1 of the Company's Registration Statement No. 333-89950 on Form S-3 filed June 6, 2002)</w:t>
      </w:r>
    </w:p>
    <w:p>
      <w:pPr>
        <w:spacing w:after="0" w:line="151" w:lineRule="exact"/>
        <w:rPr>
          <w:sz w:val="20"/>
          <w:szCs w:val="20"/>
          <w:color w:val="auto"/>
        </w:rPr>
      </w:pPr>
    </w:p>
    <w:p>
      <w:pPr>
        <w:ind w:left="798" w:right="3979"/>
        <w:spacing w:after="0" w:line="253" w:lineRule="auto"/>
        <w:rPr>
          <w:sz w:val="20"/>
          <w:szCs w:val="20"/>
          <w:color w:val="auto"/>
        </w:rPr>
      </w:pPr>
      <w:r>
        <w:rPr>
          <w:rFonts w:ascii="Courier New" w:cs="Courier New" w:eastAsia="Courier New" w:hAnsi="Courier New"/>
          <w:sz w:val="13"/>
          <w:szCs w:val="13"/>
          <w:color w:val="auto"/>
        </w:rPr>
        <w:t>3.2 Restated By-Laws of the Company (incorporated by reference to Exhibit 3.2 of the Company's Registration Statement No. 333-89950 on Form S-3 filed June 6, 2002)</w:t>
      </w:r>
    </w:p>
    <w:p>
      <w:pPr>
        <w:spacing w:after="0" w:line="151" w:lineRule="exact"/>
        <w:rPr>
          <w:sz w:val="20"/>
          <w:szCs w:val="20"/>
          <w:color w:val="auto"/>
        </w:rPr>
      </w:pPr>
    </w:p>
    <w:p>
      <w:pPr>
        <w:ind w:left="798" w:right="3819"/>
        <w:spacing w:after="0" w:line="252" w:lineRule="auto"/>
        <w:rPr>
          <w:sz w:val="20"/>
          <w:szCs w:val="20"/>
          <w:color w:val="auto"/>
        </w:rPr>
      </w:pPr>
      <w:r>
        <w:rPr>
          <w:rFonts w:ascii="Courier New" w:cs="Courier New" w:eastAsia="Courier New" w:hAnsi="Courier New"/>
          <w:sz w:val="13"/>
          <w:szCs w:val="13"/>
          <w:color w:val="auto"/>
        </w:rPr>
        <w:t>4.1 The specimen stock certificate representing the Company's Common Stock, par value $0.01 per share (incorporated by reference to Exhibit 4.1 of the Company's Registration Statement No. 333-89950 on Form S-3 filed June 6, 2002)</w:t>
      </w:r>
    </w:p>
    <w:p>
      <w:pPr>
        <w:spacing w:after="0" w:line="153" w:lineRule="exact"/>
        <w:rPr>
          <w:sz w:val="20"/>
          <w:szCs w:val="20"/>
          <w:color w:val="auto"/>
        </w:rPr>
      </w:pPr>
    </w:p>
    <w:p>
      <w:pPr>
        <w:ind w:left="798"/>
        <w:spacing w:after="0"/>
        <w:rPr>
          <w:sz w:val="20"/>
          <w:szCs w:val="20"/>
          <w:color w:val="auto"/>
        </w:rPr>
      </w:pPr>
      <w:r>
        <w:rPr>
          <w:rFonts w:ascii="Courier New" w:cs="Courier New" w:eastAsia="Courier New" w:hAnsi="Courier New"/>
          <w:sz w:val="13"/>
          <w:szCs w:val="13"/>
          <w:color w:val="auto"/>
        </w:rPr>
        <w:t>4.2 Article IV, Article V (Sections 3 through 6), Article VI (Section</w:t>
      </w:r>
    </w:p>
    <w:p>
      <w:pPr>
        <w:spacing w:after="0" w:line="7" w:lineRule="exact"/>
        <w:rPr>
          <w:sz w:val="20"/>
          <w:szCs w:val="20"/>
          <w:color w:val="auto"/>
        </w:rPr>
      </w:pPr>
    </w:p>
    <w:p>
      <w:pPr>
        <w:ind w:left="798" w:right="3979" w:firstLine="4"/>
        <w:spacing w:after="0" w:line="254" w:lineRule="auto"/>
        <w:tabs>
          <w:tab w:leader="none" w:pos="1038"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and Article VII (Sections 1 and 3) of the Restated Certificate of Incorporation of the Company (included in Exhibit 3.1)</w:t>
      </w:r>
    </w:p>
    <w:p>
      <w:pPr>
        <w:spacing w:after="0" w:line="151" w:lineRule="exact"/>
        <w:rPr>
          <w:sz w:val="20"/>
          <w:szCs w:val="20"/>
          <w:color w:val="auto"/>
        </w:rPr>
      </w:pPr>
    </w:p>
    <w:p>
      <w:pPr>
        <w:ind w:left="798" w:right="4059"/>
        <w:spacing w:after="0" w:line="253" w:lineRule="auto"/>
        <w:rPr>
          <w:sz w:val="20"/>
          <w:szCs w:val="20"/>
          <w:color w:val="auto"/>
        </w:rPr>
      </w:pPr>
      <w:r>
        <w:rPr>
          <w:rFonts w:ascii="Courier New" w:cs="Courier New" w:eastAsia="Courier New" w:hAnsi="Courier New"/>
          <w:sz w:val="13"/>
          <w:szCs w:val="13"/>
          <w:color w:val="auto"/>
        </w:rPr>
        <w:t>4.3 Article II (Sections 7 and 12), Article III (Sections 2 and 15) and Article VI of the Restated By-Laws of the Company (included in Exhibit 3.2)</w:t>
      </w:r>
    </w:p>
    <w:p>
      <w:pPr>
        <w:spacing w:after="0" w:line="151" w:lineRule="exact"/>
        <w:rPr>
          <w:sz w:val="20"/>
          <w:szCs w:val="20"/>
          <w:color w:val="auto"/>
        </w:rPr>
      </w:pPr>
    </w:p>
    <w:p>
      <w:pPr>
        <w:ind w:left="798" w:right="3899"/>
        <w:spacing w:after="0" w:line="252" w:lineRule="auto"/>
        <w:rPr>
          <w:sz w:val="20"/>
          <w:szCs w:val="20"/>
          <w:color w:val="auto"/>
        </w:rPr>
      </w:pPr>
      <w:r>
        <w:rPr>
          <w:rFonts w:ascii="Courier New" w:cs="Courier New" w:eastAsia="Courier New" w:hAnsi="Courier New"/>
          <w:sz w:val="13"/>
          <w:szCs w:val="13"/>
          <w:color w:val="auto"/>
        </w:rPr>
        <w:t>10.1 NN, Inc. Stock Incentive Plan and Form of Incentive Stock Option Agreement pursuant to the Plan (incorporated by reference to Exhibit 10.1 of the Company's Registration Statement No. 333-89950 on Form S-3/A filed July 15, 2002)*</w:t>
      </w:r>
    </w:p>
    <w:p>
      <w:pPr>
        <w:spacing w:after="0" w:line="153" w:lineRule="exact"/>
        <w:rPr>
          <w:sz w:val="20"/>
          <w:szCs w:val="20"/>
          <w:color w:val="auto"/>
        </w:rPr>
      </w:pPr>
    </w:p>
    <w:p>
      <w:pPr>
        <w:ind w:left="798" w:right="3819"/>
        <w:spacing w:after="0" w:line="254" w:lineRule="auto"/>
        <w:rPr>
          <w:sz w:val="20"/>
          <w:szCs w:val="20"/>
          <w:color w:val="auto"/>
        </w:rPr>
      </w:pPr>
      <w:r>
        <w:rPr>
          <w:rFonts w:ascii="Courier New" w:cs="Courier New" w:eastAsia="Courier New" w:hAnsi="Courier New"/>
          <w:sz w:val="13"/>
          <w:szCs w:val="13"/>
          <w:color w:val="auto"/>
        </w:rPr>
        <w:t>10.2 Amendment No. 1 to the NN, Inc. Stock Incentive Plan (incorporated by reference to Exhibit 4.6 of the Company's Registration Statement No. 333-50934 on Form S-8 filed on November 30, 2000)*</w:t>
      </w:r>
    </w:p>
    <w:p>
      <w:pPr>
        <w:spacing w:after="0" w:line="304" w:lineRule="exact"/>
        <w:rPr>
          <w:sz w:val="20"/>
          <w:szCs w:val="20"/>
          <w:color w:val="auto"/>
        </w:rPr>
      </w:pPr>
    </w:p>
    <w:p>
      <w:pPr>
        <w:ind w:left="798" w:right="4059"/>
        <w:spacing w:after="0" w:line="252" w:lineRule="auto"/>
        <w:rPr>
          <w:sz w:val="20"/>
          <w:szCs w:val="20"/>
          <w:color w:val="auto"/>
        </w:rPr>
      </w:pPr>
      <w:r>
        <w:rPr>
          <w:rFonts w:ascii="Courier New" w:cs="Courier New" w:eastAsia="Courier New" w:hAnsi="Courier New"/>
          <w:sz w:val="13"/>
          <w:szCs w:val="13"/>
          <w:color w:val="auto"/>
        </w:rPr>
        <w:t>10.3 Amendment No. 2 to the NN, Inc. Stock Incentive Plan (incorporated by reference to Exhibit 4.7 of the Company's Registration Statement No. 333-69588 on Form S-8 filed on September 18, 2001)*</w:t>
      </w:r>
    </w:p>
    <w:p>
      <w:pPr>
        <w:spacing w:after="0" w:line="153" w:lineRule="exact"/>
        <w:rPr>
          <w:sz w:val="20"/>
          <w:szCs w:val="20"/>
          <w:color w:val="auto"/>
        </w:rPr>
      </w:pPr>
    </w:p>
    <w:p>
      <w:pPr>
        <w:ind w:left="798" w:right="3899"/>
        <w:spacing w:after="0" w:line="252" w:lineRule="auto"/>
        <w:rPr>
          <w:sz w:val="20"/>
          <w:szCs w:val="20"/>
          <w:color w:val="auto"/>
        </w:rPr>
      </w:pPr>
      <w:r>
        <w:rPr>
          <w:rFonts w:ascii="Courier New" w:cs="Courier New" w:eastAsia="Courier New" w:hAnsi="Courier New"/>
          <w:sz w:val="13"/>
          <w:szCs w:val="13"/>
          <w:color w:val="auto"/>
        </w:rPr>
        <w:t>10.4 Form of Non-Competition and Confidentiality Agreement for Executive Officers of the Company (incorporated by reference to Exhibit 10.4 of the Company's Registration Statement No. 333-89950 on Form S-3/A filed July 15, 2002)*</w:t>
      </w:r>
    </w:p>
    <w:p>
      <w:pPr>
        <w:spacing w:after="0" w:line="153" w:lineRule="exact"/>
        <w:rPr>
          <w:sz w:val="20"/>
          <w:szCs w:val="20"/>
          <w:color w:val="auto"/>
        </w:rPr>
      </w:pPr>
    </w:p>
    <w:p>
      <w:pPr>
        <w:ind w:left="798" w:right="3819"/>
        <w:spacing w:after="0" w:line="252" w:lineRule="auto"/>
        <w:rPr>
          <w:sz w:val="20"/>
          <w:szCs w:val="20"/>
          <w:color w:val="auto"/>
        </w:rPr>
      </w:pPr>
      <w:r>
        <w:rPr>
          <w:rFonts w:ascii="Courier New" w:cs="Courier New" w:eastAsia="Courier New" w:hAnsi="Courier New"/>
          <w:sz w:val="13"/>
          <w:szCs w:val="13"/>
          <w:color w:val="auto"/>
        </w:rPr>
        <w:t>10.5 Stockholders Agreement dated February 22, 1994, among certain stockholders of the Company (incorporated by reference to Exhibit 10.5 of the Company's Registration Statement No. 333-89950 on Form S-3/A filed July 15, 2002)</w:t>
      </w:r>
    </w:p>
    <w:p>
      <w:pPr>
        <w:spacing w:after="0" w:line="153" w:lineRule="exact"/>
        <w:rPr>
          <w:sz w:val="20"/>
          <w:szCs w:val="20"/>
          <w:color w:val="auto"/>
        </w:rPr>
      </w:pPr>
    </w:p>
    <w:p>
      <w:pPr>
        <w:ind w:left="798" w:right="3899"/>
        <w:spacing w:after="0" w:line="253" w:lineRule="auto"/>
        <w:rPr>
          <w:sz w:val="20"/>
          <w:szCs w:val="20"/>
          <w:color w:val="auto"/>
        </w:rPr>
      </w:pPr>
      <w:r>
        <w:rPr>
          <w:rFonts w:ascii="Courier New" w:cs="Courier New" w:eastAsia="Courier New" w:hAnsi="Courier New"/>
          <w:sz w:val="13"/>
          <w:szCs w:val="13"/>
          <w:color w:val="auto"/>
        </w:rPr>
        <w:t>10.6 Form of Indemnification Agreement (incorporated by reference to Exhibit 10.6 of the Company's Registration Statement No. 333-89950 on Form S-3/A filed July 15, 2002)</w:t>
      </w:r>
    </w:p>
    <w:p>
      <w:pPr>
        <w:spacing w:after="0" w:line="151" w:lineRule="exact"/>
        <w:rPr>
          <w:sz w:val="20"/>
          <w:szCs w:val="20"/>
          <w:color w:val="auto"/>
        </w:rPr>
      </w:pPr>
    </w:p>
    <w:p>
      <w:pPr>
        <w:ind w:left="798" w:right="3819"/>
        <w:spacing w:after="0" w:line="252" w:lineRule="auto"/>
        <w:rPr>
          <w:sz w:val="20"/>
          <w:szCs w:val="20"/>
          <w:color w:val="auto"/>
        </w:rPr>
      </w:pPr>
      <w:r>
        <w:rPr>
          <w:rFonts w:ascii="Courier New" w:cs="Courier New" w:eastAsia="Courier New" w:hAnsi="Courier New"/>
          <w:sz w:val="13"/>
          <w:szCs w:val="13"/>
          <w:color w:val="auto"/>
        </w:rPr>
        <w:t>10.7 Credit Agreement dated as of July 20, 2001 among NN, Inc., as the Borrower, the Lenders identified therein, Bank One, Kentucky, NA, as Co-Agent and AmSouth Bank, as Administrative Agent (incorporated by reference to Exhibit 10.7 of the Company's Registration Statement No. 333-89950 on Form S-3/A filed July 15, 2002)</w:t>
      </w:r>
    </w:p>
    <w:p>
      <w:pPr>
        <w:spacing w:after="0" w:line="152" w:lineRule="exact"/>
        <w:rPr>
          <w:sz w:val="20"/>
          <w:szCs w:val="20"/>
          <w:color w:val="auto"/>
        </w:rPr>
      </w:pPr>
    </w:p>
    <w:p>
      <w:pPr>
        <w:ind w:left="798" w:right="4219"/>
        <w:spacing w:after="0" w:line="252" w:lineRule="auto"/>
        <w:rPr>
          <w:sz w:val="20"/>
          <w:szCs w:val="20"/>
          <w:color w:val="auto"/>
        </w:rPr>
      </w:pPr>
      <w:r>
        <w:rPr>
          <w:rFonts w:ascii="Courier New" w:cs="Courier New" w:eastAsia="Courier New" w:hAnsi="Courier New"/>
          <w:sz w:val="13"/>
          <w:szCs w:val="13"/>
          <w:color w:val="auto"/>
        </w:rPr>
        <w:t>10.8 First Amendment to Credit Agreement, dated October 4, 2001 (incorporated by reference to Exhibit 10.8 of the Company's Registration Statement No. 333-89950 on Form S-3/A filed July 15, 2002)</w:t>
      </w:r>
    </w:p>
    <w:p>
      <w:pPr>
        <w:spacing w:after="0" w:line="153" w:lineRule="exact"/>
        <w:rPr>
          <w:sz w:val="20"/>
          <w:szCs w:val="20"/>
          <w:color w:val="auto"/>
        </w:rPr>
      </w:pPr>
    </w:p>
    <w:p>
      <w:pPr>
        <w:ind w:left="798" w:right="4219"/>
        <w:spacing w:after="0" w:line="252" w:lineRule="auto"/>
        <w:rPr>
          <w:sz w:val="20"/>
          <w:szCs w:val="20"/>
          <w:color w:val="auto"/>
        </w:rPr>
      </w:pPr>
      <w:r>
        <w:rPr>
          <w:rFonts w:ascii="Courier New" w:cs="Courier New" w:eastAsia="Courier New" w:hAnsi="Courier New"/>
          <w:sz w:val="13"/>
          <w:szCs w:val="13"/>
          <w:color w:val="auto"/>
        </w:rPr>
        <w:t>10.9 Second Amendment to Credit Agreement, dated July 12, 2002 (incorporated by reference to Exhibit 10.9 of the Company's Registration Statement No. 333-89950 on Form S-3/A filed July 15, 2002)</w:t>
      </w:r>
    </w:p>
    <w:p>
      <w:pPr>
        <w:spacing w:after="0" w:line="153" w:lineRule="exact"/>
        <w:rPr>
          <w:sz w:val="20"/>
          <w:szCs w:val="20"/>
          <w:color w:val="auto"/>
        </w:rPr>
      </w:pPr>
    </w:p>
    <w:p>
      <w:pPr>
        <w:ind w:left="798" w:right="3899"/>
        <w:spacing w:after="0" w:line="253" w:lineRule="auto"/>
        <w:rPr>
          <w:sz w:val="20"/>
          <w:szCs w:val="20"/>
          <w:color w:val="auto"/>
        </w:rPr>
      </w:pPr>
      <w:r>
        <w:rPr>
          <w:rFonts w:ascii="Courier New" w:cs="Courier New" w:eastAsia="Courier New" w:hAnsi="Courier New"/>
          <w:sz w:val="13"/>
          <w:szCs w:val="13"/>
          <w:color w:val="auto"/>
        </w:rPr>
        <w:t>10.10 Third Amendment to Credit Agreement dated July 31, 2002 (incorporated by reference to Exhibit 10.1 of the Company's Form 10-Q filed August 13, 2002).</w:t>
      </w:r>
    </w:p>
    <w:p>
      <w:pPr>
        <w:spacing w:after="0" w:line="151" w:lineRule="exact"/>
        <w:rPr>
          <w:sz w:val="20"/>
          <w:szCs w:val="20"/>
          <w:color w:val="auto"/>
        </w:rPr>
      </w:pPr>
    </w:p>
    <w:p>
      <w:pPr>
        <w:ind w:left="798" w:right="3899"/>
        <w:spacing w:after="0" w:line="252" w:lineRule="auto"/>
        <w:rPr>
          <w:sz w:val="20"/>
          <w:szCs w:val="20"/>
          <w:color w:val="auto"/>
        </w:rPr>
      </w:pPr>
      <w:r>
        <w:rPr>
          <w:rFonts w:ascii="Courier New" w:cs="Courier New" w:eastAsia="Courier New" w:hAnsi="Courier New"/>
          <w:sz w:val="13"/>
          <w:szCs w:val="13"/>
          <w:color w:val="auto"/>
        </w:rPr>
        <w:t>10.11 Form of Stock Option Agreement, dated December 7, 1998, between the Company and the non-employee directors of the Company (incorporated by reference to Exhibit 10.15 of the Company's Annual Report on Form 10-K filed March 31, 1999)*</w:t>
      </w:r>
    </w:p>
    <w:p>
      <w:pPr>
        <w:spacing w:after="0" w:line="153" w:lineRule="exact"/>
        <w:rPr>
          <w:sz w:val="20"/>
          <w:szCs w:val="20"/>
          <w:color w:val="auto"/>
        </w:rPr>
      </w:pPr>
    </w:p>
    <w:p>
      <w:pPr>
        <w:ind w:left="798" w:right="4059"/>
        <w:spacing w:after="0" w:line="253" w:lineRule="auto"/>
        <w:rPr>
          <w:sz w:val="20"/>
          <w:szCs w:val="20"/>
          <w:color w:val="auto"/>
        </w:rPr>
      </w:pPr>
      <w:r>
        <w:rPr>
          <w:rFonts w:ascii="Courier New" w:cs="Courier New" w:eastAsia="Courier New" w:hAnsi="Courier New"/>
          <w:sz w:val="13"/>
          <w:szCs w:val="13"/>
          <w:color w:val="auto"/>
        </w:rPr>
        <w:t>10.12 Elective Deferred Compensation Plan, dated February 26, 1999 (incorporated by reference to Exhibit 10.16 of the Company's Annual Report on Form 10-K filed March 31, 1999)*</w:t>
      </w:r>
    </w:p>
    <w:p>
      <w:pPr>
        <w:spacing w:after="0" w:line="305" w:lineRule="exact"/>
        <w:rPr>
          <w:sz w:val="20"/>
          <w:szCs w:val="20"/>
          <w:color w:val="auto"/>
        </w:rPr>
      </w:pPr>
    </w:p>
    <w:p>
      <w:pPr>
        <w:ind w:left="3118"/>
        <w:spacing w:after="0"/>
        <w:rPr>
          <w:sz w:val="20"/>
          <w:szCs w:val="20"/>
          <w:color w:val="auto"/>
        </w:rPr>
      </w:pPr>
      <w:r>
        <w:rPr>
          <w:rFonts w:ascii="Courier New" w:cs="Courier New" w:eastAsia="Courier New" w:hAnsi="Courier New"/>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3044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38735"/>
                    </a:xfrm>
                    <a:prstGeom prst="rect">
                      <a:avLst/>
                    </a:prstGeom>
                    <a:noFill/>
                  </pic:spPr>
                </pic:pic>
              </a:graphicData>
            </a:graphic>
          </wp:anchor>
        </w:drawing>
      </w:r>
    </w:p>
    <w:p>
      <w:pPr>
        <w:sectPr>
          <w:pgSz w:w="11900" w:h="16838" w:orient="portrait"/>
          <w:cols w:equalWidth="0" w:num="1">
            <w:col w:w="10237"/>
          </w:cols>
          <w:pgMar w:left="222" w:top="295" w:right="1440" w:bottom="275" w:gutter="0" w:footer="0" w:header="0"/>
        </w:sectPr>
      </w:pPr>
    </w:p>
    <w:bookmarkStart w:id="44" w:name="page45"/>
    <w:bookmarkEnd w:id="44"/>
    <w:p>
      <w:pPr>
        <w:ind w:left="800" w:right="3899"/>
        <w:spacing w:after="0" w:line="253" w:lineRule="auto"/>
        <w:rPr>
          <w:sz w:val="20"/>
          <w:szCs w:val="20"/>
          <w:color w:val="auto"/>
        </w:rPr>
      </w:pPr>
      <w:r>
        <w:rPr>
          <w:rFonts w:ascii="Courier New" w:cs="Courier New" w:eastAsia="Courier New" w:hAnsi="Courier New"/>
          <w:sz w:val="13"/>
          <w:szCs w:val="13"/>
          <w:color w:val="auto"/>
        </w:rPr>
        <w:t>10.13 Employment Agreement, dated August 1, 1997, between the Company and Roderick R. Baty (incorporated by reference to Exhibit 10.14 of the Company's Form 10-Q filed November 14, 1997)*</w:t>
      </w:r>
    </w:p>
    <w:p>
      <w:pPr>
        <w:spacing w:after="0" w:line="151" w:lineRule="exact"/>
        <w:rPr>
          <w:sz w:val="20"/>
          <w:szCs w:val="20"/>
          <w:color w:val="auto"/>
        </w:rPr>
      </w:pPr>
    </w:p>
    <w:p>
      <w:pPr>
        <w:jc w:val="both"/>
        <w:ind w:left="800" w:right="3819"/>
        <w:spacing w:after="0" w:line="252" w:lineRule="auto"/>
        <w:rPr>
          <w:sz w:val="20"/>
          <w:szCs w:val="20"/>
          <w:color w:val="auto"/>
        </w:rPr>
      </w:pPr>
      <w:r>
        <w:rPr>
          <w:rFonts w:ascii="Courier New" w:cs="Courier New" w:eastAsia="Courier New" w:hAnsi="Courier New"/>
          <w:sz w:val="13"/>
          <w:szCs w:val="13"/>
          <w:color w:val="auto"/>
        </w:rPr>
        <w:t>10.14 Amendment No. 1 to Employment Agreement between the Company and Roderick R. Baty, dated January 21, 2002 (incorporated by reference to Exhibit 10.18 of the Company's Annual Report on Form 10-K filed March 29, 2002)*</w:t>
      </w:r>
    </w:p>
    <w:p>
      <w:pPr>
        <w:spacing w:after="0" w:line="153" w:lineRule="exact"/>
        <w:rPr>
          <w:sz w:val="20"/>
          <w:szCs w:val="20"/>
          <w:color w:val="auto"/>
        </w:rPr>
      </w:pPr>
    </w:p>
    <w:p>
      <w:pPr>
        <w:ind w:left="800" w:right="3819"/>
        <w:spacing w:after="0" w:line="252" w:lineRule="auto"/>
        <w:rPr>
          <w:sz w:val="20"/>
          <w:szCs w:val="20"/>
          <w:color w:val="auto"/>
        </w:rPr>
      </w:pPr>
      <w:r>
        <w:rPr>
          <w:rFonts w:ascii="Courier New" w:cs="Courier New" w:eastAsia="Courier New" w:hAnsi="Courier New"/>
          <w:sz w:val="13"/>
          <w:szCs w:val="13"/>
          <w:color w:val="auto"/>
        </w:rPr>
        <w:t>10.15 Change of Control and Noncompetition Agreement dated January 21, 2002 between the Company and Roderick R. Baty (incorporated by reference to Exhibit 10.19 of the Company's Annual Report on Form 10-K filed March 29, 2002)*</w:t>
      </w:r>
    </w:p>
    <w:p>
      <w:pPr>
        <w:spacing w:after="0" w:line="153" w:lineRule="exact"/>
        <w:rPr>
          <w:sz w:val="20"/>
          <w:szCs w:val="20"/>
          <w:color w:val="auto"/>
        </w:rPr>
      </w:pPr>
    </w:p>
    <w:p>
      <w:pPr>
        <w:ind w:left="800" w:right="3819"/>
        <w:spacing w:after="0" w:line="253" w:lineRule="auto"/>
        <w:rPr>
          <w:sz w:val="20"/>
          <w:szCs w:val="20"/>
          <w:color w:val="auto"/>
        </w:rPr>
      </w:pPr>
      <w:r>
        <w:rPr>
          <w:rFonts w:ascii="Courier New" w:cs="Courier New" w:eastAsia="Courier New" w:hAnsi="Courier New"/>
          <w:sz w:val="13"/>
          <w:szCs w:val="13"/>
          <w:color w:val="auto"/>
        </w:rPr>
        <w:t>10.16 Employment Agreement, dated May 7, 1998, between the Company and Frank T. Gentry (incorporated by reference to Exhibit 10.14 of the Company's Annual Report on Form 10-K filed March 31, 1999)*</w:t>
      </w:r>
    </w:p>
    <w:p>
      <w:pPr>
        <w:spacing w:after="0" w:line="151" w:lineRule="exact"/>
        <w:rPr>
          <w:sz w:val="20"/>
          <w:szCs w:val="20"/>
          <w:color w:val="auto"/>
        </w:rPr>
      </w:pPr>
    </w:p>
    <w:p>
      <w:pPr>
        <w:jc w:val="both"/>
        <w:ind w:left="800" w:right="3899"/>
        <w:spacing w:after="0" w:line="252" w:lineRule="auto"/>
        <w:rPr>
          <w:sz w:val="20"/>
          <w:szCs w:val="20"/>
          <w:color w:val="auto"/>
        </w:rPr>
      </w:pPr>
      <w:r>
        <w:rPr>
          <w:rFonts w:ascii="Courier New" w:cs="Courier New" w:eastAsia="Courier New" w:hAnsi="Courier New"/>
          <w:sz w:val="13"/>
          <w:szCs w:val="13"/>
          <w:color w:val="auto"/>
        </w:rPr>
        <w:t>10.17 Amendment No. 1 to Employment Agreement between the Company and Frank T. Gentry, dated January 21, 2002 (incorporated by reference to Exhibit 10.16 of the Company's Annual Report on Form 10-K filed March 29, 2002)*</w:t>
      </w:r>
    </w:p>
    <w:p>
      <w:pPr>
        <w:spacing w:after="0" w:line="153" w:lineRule="exact"/>
        <w:rPr>
          <w:sz w:val="20"/>
          <w:szCs w:val="20"/>
          <w:color w:val="auto"/>
        </w:rPr>
      </w:pPr>
    </w:p>
    <w:p>
      <w:pPr>
        <w:ind w:left="800" w:right="3819"/>
        <w:spacing w:after="0" w:line="252" w:lineRule="auto"/>
        <w:rPr>
          <w:sz w:val="20"/>
          <w:szCs w:val="20"/>
          <w:color w:val="auto"/>
        </w:rPr>
      </w:pPr>
      <w:r>
        <w:rPr>
          <w:rFonts w:ascii="Courier New" w:cs="Courier New" w:eastAsia="Courier New" w:hAnsi="Courier New"/>
          <w:sz w:val="13"/>
          <w:szCs w:val="13"/>
          <w:color w:val="auto"/>
        </w:rPr>
        <w:t>10.18 Change of Control and Noncompetition Agreement dated January 21, 2002 between the Company and Frank T. Gentry (incorporated by reference to Exhibit 10.17 to the Company's Annual Report on Form 10-K filed March 29, 2002)*</w:t>
      </w:r>
    </w:p>
    <w:p>
      <w:pPr>
        <w:spacing w:after="0" w:line="153" w:lineRule="exact"/>
        <w:rPr>
          <w:sz w:val="20"/>
          <w:szCs w:val="20"/>
          <w:color w:val="auto"/>
        </w:rPr>
      </w:pPr>
    </w:p>
    <w:p>
      <w:pPr>
        <w:ind w:left="800" w:right="3819"/>
        <w:spacing w:after="0" w:line="253" w:lineRule="auto"/>
        <w:rPr>
          <w:sz w:val="20"/>
          <w:szCs w:val="20"/>
          <w:color w:val="auto"/>
        </w:rPr>
      </w:pPr>
      <w:r>
        <w:rPr>
          <w:rFonts w:ascii="Courier New" w:cs="Courier New" w:eastAsia="Courier New" w:hAnsi="Courier New"/>
          <w:sz w:val="13"/>
          <w:szCs w:val="13"/>
          <w:color w:val="auto"/>
        </w:rPr>
        <w:t>10.19 Employment Agreement, dated January 21, 2002, between the Company and Robert R. Sams (incorporated by reference to Exhibit 10.20 of the Company's Annual Report on Form 10-K filed March 29, 2002)*</w:t>
      </w:r>
    </w:p>
    <w:p>
      <w:pPr>
        <w:spacing w:after="0" w:line="151" w:lineRule="exact"/>
        <w:rPr>
          <w:sz w:val="20"/>
          <w:szCs w:val="20"/>
          <w:color w:val="auto"/>
        </w:rPr>
      </w:pPr>
    </w:p>
    <w:p>
      <w:pPr>
        <w:ind w:left="800" w:right="3819"/>
        <w:spacing w:after="0" w:line="252" w:lineRule="auto"/>
        <w:rPr>
          <w:sz w:val="20"/>
          <w:szCs w:val="20"/>
          <w:color w:val="auto"/>
        </w:rPr>
      </w:pPr>
      <w:r>
        <w:rPr>
          <w:rFonts w:ascii="Courier New" w:cs="Courier New" w:eastAsia="Courier New" w:hAnsi="Courier New"/>
          <w:sz w:val="13"/>
          <w:szCs w:val="13"/>
          <w:color w:val="auto"/>
        </w:rPr>
        <w:t>10.20 Change of Control and Noncompetition Agreement dated January 21, 2002 between the Company and Robert R. Sams (incorporated by reference to Exhibit 10.21 of the Company's Annual Report on Form 10-K filed March 29, 2002)*</w:t>
      </w:r>
    </w:p>
    <w:p>
      <w:pPr>
        <w:spacing w:after="0" w:line="153" w:lineRule="exact"/>
        <w:rPr>
          <w:sz w:val="20"/>
          <w:szCs w:val="20"/>
          <w:color w:val="auto"/>
        </w:rPr>
      </w:pPr>
    </w:p>
    <w:p>
      <w:pPr>
        <w:ind w:left="800" w:right="4139"/>
        <w:spacing w:after="0" w:line="252" w:lineRule="auto"/>
        <w:rPr>
          <w:sz w:val="20"/>
          <w:szCs w:val="20"/>
          <w:color w:val="auto"/>
        </w:rPr>
      </w:pPr>
      <w:r>
        <w:rPr>
          <w:rFonts w:ascii="Courier New" w:cs="Courier New" w:eastAsia="Courier New" w:hAnsi="Courier New"/>
          <w:sz w:val="13"/>
          <w:szCs w:val="13"/>
          <w:color w:val="auto"/>
        </w:rPr>
        <w:t>10.21 Employment Agreement, dated January 21, 2002, between the Company and David L. Dyckman (incorporated by reference to Exhibit 10.22 of the Company's Annual Report on Form 10-K filed March 29, 2002)*</w:t>
      </w:r>
    </w:p>
    <w:p>
      <w:pPr>
        <w:spacing w:after="0" w:line="153" w:lineRule="exact"/>
        <w:rPr>
          <w:sz w:val="20"/>
          <w:szCs w:val="20"/>
          <w:color w:val="auto"/>
        </w:rPr>
      </w:pPr>
    </w:p>
    <w:p>
      <w:pPr>
        <w:ind w:left="800" w:right="3819"/>
        <w:spacing w:after="0" w:line="252" w:lineRule="auto"/>
        <w:rPr>
          <w:sz w:val="20"/>
          <w:szCs w:val="20"/>
          <w:color w:val="auto"/>
        </w:rPr>
      </w:pPr>
      <w:r>
        <w:rPr>
          <w:rFonts w:ascii="Courier New" w:cs="Courier New" w:eastAsia="Courier New" w:hAnsi="Courier New"/>
          <w:sz w:val="13"/>
          <w:szCs w:val="13"/>
          <w:color w:val="auto"/>
        </w:rPr>
        <w:t>10.22 Change of Control and Noncompetition Agreement, dated January 21, 2002, between the Company and David L. Dyckman (incorporated by reference to Exhibit 10.25 of the Company's Annual Report on Form 10-K filed March 29, 2002)*</w:t>
      </w:r>
    </w:p>
    <w:p>
      <w:pPr>
        <w:spacing w:after="0" w:line="153" w:lineRule="exact"/>
        <w:rPr>
          <w:sz w:val="20"/>
          <w:szCs w:val="20"/>
          <w:color w:val="auto"/>
        </w:rPr>
      </w:pPr>
    </w:p>
    <w:p>
      <w:pPr>
        <w:jc w:val="both"/>
        <w:ind w:left="800" w:right="3819"/>
        <w:spacing w:after="0" w:line="253" w:lineRule="auto"/>
        <w:rPr>
          <w:sz w:val="20"/>
          <w:szCs w:val="20"/>
          <w:color w:val="auto"/>
        </w:rPr>
      </w:pPr>
      <w:r>
        <w:rPr>
          <w:rFonts w:ascii="Courier New" w:cs="Courier New" w:eastAsia="Courier New" w:hAnsi="Courier New"/>
          <w:sz w:val="13"/>
          <w:szCs w:val="13"/>
          <w:color w:val="auto"/>
        </w:rPr>
        <w:t>10.23 Employment Agreement dated January 21, 2002, between the Company and William C. Kelly, Jr. (incorporated by reference to Exhibit 10.22 of the Company's Annual Report on Form 10-K filed March 29, 2002)*</w:t>
      </w:r>
    </w:p>
    <w:p>
      <w:pPr>
        <w:spacing w:after="0" w:line="151" w:lineRule="exact"/>
        <w:rPr>
          <w:sz w:val="20"/>
          <w:szCs w:val="20"/>
          <w:color w:val="auto"/>
        </w:rPr>
      </w:pPr>
    </w:p>
    <w:p>
      <w:pPr>
        <w:ind w:left="800" w:right="3899"/>
        <w:spacing w:after="0" w:line="252" w:lineRule="auto"/>
        <w:rPr>
          <w:sz w:val="20"/>
          <w:szCs w:val="20"/>
          <w:color w:val="auto"/>
        </w:rPr>
      </w:pPr>
      <w:r>
        <w:rPr>
          <w:rFonts w:ascii="Courier New" w:cs="Courier New" w:eastAsia="Courier New" w:hAnsi="Courier New"/>
          <w:sz w:val="13"/>
          <w:szCs w:val="13"/>
          <w:color w:val="auto"/>
        </w:rPr>
        <w:t>10.24 Change of Control and Noncompetition Agreement, dated January 21, 2002, between the Company and William C. Kelly, Jr. (incorporated by reference to Exhibit 10.23 of the Company's Annual Report on Form 10-K filed March 29, 2002)*</w:t>
      </w:r>
    </w:p>
    <w:p>
      <w:pPr>
        <w:spacing w:after="0" w:line="153" w:lineRule="exact"/>
        <w:rPr>
          <w:sz w:val="20"/>
          <w:szCs w:val="20"/>
          <w:color w:val="auto"/>
        </w:rPr>
      </w:pPr>
    </w:p>
    <w:p>
      <w:pPr>
        <w:jc w:val="both"/>
        <w:ind w:left="800" w:right="3819"/>
        <w:spacing w:after="0" w:line="252" w:lineRule="auto"/>
        <w:rPr>
          <w:sz w:val="20"/>
          <w:szCs w:val="20"/>
          <w:color w:val="auto"/>
        </w:rPr>
      </w:pPr>
      <w:r>
        <w:rPr>
          <w:rFonts w:ascii="Courier New" w:cs="Courier New" w:eastAsia="Courier New" w:hAnsi="Courier New"/>
          <w:sz w:val="13"/>
          <w:szCs w:val="13"/>
          <w:color w:val="auto"/>
        </w:rPr>
        <w:t>10.25 NN Euroball, ApS Shareholder Agreement dated April 6, 2000 among NN, Inc., AB SKF and FAG Kugelfischer Georg Shafer AG (incorporated by reference to Exhibit 10.26 of the Company's Annual Report on Form 10-K filed March 29, 2002)*</w:t>
      </w:r>
    </w:p>
    <w:p>
      <w:pPr>
        <w:spacing w:after="0" w:line="153" w:lineRule="exact"/>
        <w:rPr>
          <w:sz w:val="20"/>
          <w:szCs w:val="20"/>
          <w:color w:val="auto"/>
        </w:rPr>
      </w:pPr>
    </w:p>
    <w:p>
      <w:pPr>
        <w:ind w:left="800" w:right="3819"/>
        <w:spacing w:after="0" w:line="251" w:lineRule="auto"/>
        <w:rPr>
          <w:sz w:val="20"/>
          <w:szCs w:val="20"/>
          <w:color w:val="auto"/>
        </w:rPr>
      </w:pPr>
      <w:r>
        <w:rPr>
          <w:rFonts w:ascii="Courier New" w:cs="Courier New" w:eastAsia="Courier New" w:hAnsi="Courier New"/>
          <w:sz w:val="13"/>
          <w:szCs w:val="13"/>
          <w:color w:val="auto"/>
        </w:rPr>
        <w:t>10.26.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w:t>
      </w:r>
    </w:p>
    <w:p>
      <w:pPr>
        <w:spacing w:after="0" w:line="310"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21.1 List of Subsidiaries of the Company.</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23.1 Consent of KPMG, LLP, Independent Auditors</w:t>
      </w:r>
    </w:p>
    <w:p>
      <w:pPr>
        <w:spacing w:after="0" w:line="161"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color w:val="auto"/>
        </w:rPr>
        <w:t>31.1 Certification of Chief Executive Officer pursuant to Section 302 of Sarbanes-Oxley Act</w:t>
      </w:r>
    </w:p>
    <w:p>
      <w:pPr>
        <w:spacing w:after="0" w:line="151"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color w:val="auto"/>
        </w:rPr>
        <w:t>31.2 Certification of Chief Financial Officer pursuant to Section 302 of Sarbanes-Oxley Act</w:t>
      </w:r>
    </w:p>
    <w:p>
      <w:pPr>
        <w:spacing w:after="0" w:line="151"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color w:val="auto"/>
        </w:rPr>
        <w:t>32.1 Certification of Chief Executive Officer pursuant to Section 906 of Sarbanes-Oxley Act</w:t>
      </w:r>
    </w:p>
    <w:p>
      <w:pPr>
        <w:spacing w:after="0" w:line="151" w:lineRule="exact"/>
        <w:rPr>
          <w:sz w:val="20"/>
          <w:szCs w:val="20"/>
          <w:color w:val="auto"/>
        </w:rPr>
      </w:pPr>
    </w:p>
    <w:p>
      <w:pPr>
        <w:ind w:left="800" w:right="3899"/>
        <w:spacing w:after="0" w:line="254" w:lineRule="auto"/>
        <w:rPr>
          <w:sz w:val="20"/>
          <w:szCs w:val="20"/>
          <w:color w:val="auto"/>
        </w:rPr>
      </w:pPr>
      <w:r>
        <w:rPr>
          <w:rFonts w:ascii="Courier New" w:cs="Courier New" w:eastAsia="Courier New" w:hAnsi="Courier New"/>
          <w:sz w:val="13"/>
          <w:szCs w:val="13"/>
          <w:color w:val="auto"/>
        </w:rPr>
        <w:t>32.2 Certification of Chief Financial Officer pursuant to Section 906 of Sarbanes-Oxley Act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7" w:lineRule="exact"/>
        <w:rPr>
          <w:sz w:val="20"/>
          <w:szCs w:val="20"/>
          <w:color w:val="auto"/>
        </w:rPr>
      </w:pPr>
    </w:p>
    <w:p>
      <w:pPr>
        <w:ind w:left="3120" w:right="5019" w:hanging="3118"/>
        <w:spacing w:after="0" w:line="757" w:lineRule="auto"/>
        <w:tabs>
          <w:tab w:leader="none" w:pos="714"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Management contract or compensatory plan or arrangement. 61</w:t>
      </w:r>
    </w:p>
    <w:p>
      <w:pPr>
        <w:sectPr>
          <w:pgSz w:w="11900" w:h="16838" w:orient="portrait"/>
          <w:cols w:equalWidth="0" w:num="1">
            <w:col w:w="10239"/>
          </w:cols>
          <w:pgMar w:left="220" w:top="450" w:right="1440" w:bottom="1440" w:gutter="0" w:footer="0" w:header="0"/>
        </w:sectPr>
      </w:pPr>
    </w:p>
    <w:bookmarkStart w:id="45" w:name="page46"/>
    <w:bookmarkEnd w:id="45"/>
    <w:p>
      <w:pPr>
        <w:ind w:left="5140"/>
        <w:spacing w:after="0"/>
        <w:rPr>
          <w:sz w:val="20"/>
          <w:szCs w:val="20"/>
          <w:color w:val="auto"/>
        </w:rPr>
      </w:pPr>
      <w:r>
        <w:rPr>
          <w:rFonts w:ascii="Courier New" w:cs="Courier New" w:eastAsia="Courier New" w:hAnsi="Courier New"/>
          <w:sz w:val="13"/>
          <w:szCs w:val="13"/>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color w:val="auto"/>
        </w:rPr>
        <w:t>Independent Auditors' Consent</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NN, Inc.:</w:t>
      </w:r>
    </w:p>
    <w:p>
      <w:pPr>
        <w:spacing w:after="0" w:line="161"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3"/>
          <w:szCs w:val="13"/>
          <w:color w:val="auto"/>
        </w:rPr>
        <w:t>We consent to the incorporation by reference in the registration statements (No. 33-87572, No. 333-50934, No. 333-69588) on Form S-8 and the registration statement (No. 333-100119) on Form S-3 of NN, Inc. of our report dated February 24, 2003, except as to Note 1, which is as of January 29, 2004 with respect to the consolidated balance sheets of NN, Inc. and Subsidiaries as of December 31, 2002, 2001, and 2000 and the related consolidated statements of income and comprehensive income, consolidated statements of changes in stockholders' equity, and consolidated statements of cash flows for each of the years in the three year period ended December 31, 2002, which report appears in the December 31, 2002 annual report on Form 10-K/A of NN, Inc. and Subsidiaries. Our report refers to a change in the Company's method of accounting for goodwill and other intangible assets in 2002 and a change in the Company's method of accounting for derivative instruments and hedging activities in 2001. Also, our report refers to the Company's restatement of the consolidated financial statements as of and for the years ended December 31, 2002, 2001, and 2000.</w:t>
      </w:r>
    </w:p>
    <w:p>
      <w:pPr>
        <w:spacing w:after="0" w:line="157"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/s/ KPMG LLP</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Charlotte, North Carolina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29, 2004</w:t>
      </w:r>
    </w:p>
    <w:p>
      <w:pPr>
        <w:sectPr>
          <w:pgSz w:w="11900" w:h="16838" w:orient="portrait"/>
          <w:cols w:equalWidth="0" w:num="1">
            <w:col w:w="10239"/>
          </w:cols>
          <w:pgMar w:left="220" w:top="295" w:right="1440" w:bottom="1440" w:gutter="0" w:footer="0" w:header="0"/>
        </w:sectPr>
      </w:pPr>
    </w:p>
    <w:bookmarkStart w:id="46" w:name="page47"/>
    <w:bookmarkEnd w:id="46"/>
    <w:p>
      <w:pPr>
        <w:jc w:val="center"/>
        <w:ind w:right="-360"/>
        <w:spacing w:after="0"/>
        <w:rPr>
          <w:sz w:val="20"/>
          <w:szCs w:val="20"/>
          <w:color w:val="auto"/>
        </w:rPr>
      </w:pPr>
      <w:r>
        <w:rPr>
          <w:rFonts w:ascii="Courier New" w:cs="Courier New" w:eastAsia="Courier New" w:hAnsi="Courier New"/>
          <w:sz w:val="13"/>
          <w:szCs w:val="13"/>
          <w:color w:val="auto"/>
        </w:rPr>
        <w:t>Exhibit 31.1</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color w:val="auto"/>
        </w:rPr>
        <w:t>CERTIFICATIONS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 Roderick R. Baty, certify that:</w:t>
      </w:r>
    </w:p>
    <w:p>
      <w:pPr>
        <w:spacing w:after="0" w:line="7" w:lineRule="exact"/>
        <w:rPr>
          <w:sz w:val="20"/>
          <w:szCs w:val="20"/>
          <w:color w:val="auto"/>
        </w:rPr>
      </w:pPr>
    </w:p>
    <w:p>
      <w:pPr>
        <w:ind w:left="400" w:hanging="398"/>
        <w:spacing w:after="0"/>
        <w:tabs>
          <w:tab w:leader="none" w:pos="4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10-K/A of NN, Inc.;</w:t>
      </w:r>
    </w:p>
    <w:p>
      <w:pPr>
        <w:spacing w:after="0" w:line="6" w:lineRule="exact"/>
        <w:rPr>
          <w:rFonts w:ascii="Courier New" w:cs="Courier New" w:eastAsia="Courier New" w:hAnsi="Courier New"/>
          <w:sz w:val="13"/>
          <w:szCs w:val="13"/>
          <w:color w:val="auto"/>
        </w:rPr>
      </w:pPr>
    </w:p>
    <w:p>
      <w:pPr>
        <w:ind w:left="400" w:hanging="398"/>
        <w:spacing w:after="0"/>
        <w:tabs>
          <w:tab w:leader="none" w:pos="4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report does not contain any untrue</w:t>
      </w:r>
    </w:p>
    <w:p>
      <w:pPr>
        <w:spacing w:after="0" w:line="6" w:lineRule="exact"/>
        <w:rPr>
          <w:rFonts w:ascii="Courier New" w:cs="Courier New" w:eastAsia="Courier New" w:hAnsi="Courier New"/>
          <w:sz w:val="13"/>
          <w:szCs w:val="13"/>
          <w:color w:val="auto"/>
        </w:rPr>
      </w:pPr>
    </w:p>
    <w:p>
      <w:pPr>
        <w:ind w:left="400" w:right="3899"/>
        <w:spacing w:after="0" w:line="25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statement of a material fact or omit to state a material fact necessary to make the statements made, in light of the circumstances under which such statements were made, not misleading with respect to the period covered by this report;</w:t>
      </w:r>
    </w:p>
    <w:p>
      <w:pPr>
        <w:ind w:left="400" w:right="3899" w:hanging="398"/>
        <w:spacing w:after="0" w:line="251" w:lineRule="auto"/>
        <w:tabs>
          <w:tab w:leader="none" w:pos="4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ind w:left="400" w:right="3819" w:hanging="398"/>
        <w:spacing w:after="0" w:line="251" w:lineRule="auto"/>
        <w:tabs>
          <w:tab w:leader="none" w:pos="4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are responsible for establishing and maintaining disclosure controls and procedures (as defined in Exchange Act Rules 13a-15(e) and 15d-15(e) for the registrant and have:</w:t>
      </w:r>
    </w:p>
    <w:p>
      <w:pPr>
        <w:ind w:left="720" w:right="3979" w:hanging="317"/>
        <w:spacing w:after="0" w:line="251" w:lineRule="auto"/>
        <w:tabs>
          <w:tab w:leader="none" w:pos="720"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 w:lineRule="exact"/>
        <w:rPr>
          <w:rFonts w:ascii="Courier New" w:cs="Courier New" w:eastAsia="Courier New" w:hAnsi="Courier New"/>
          <w:sz w:val="13"/>
          <w:szCs w:val="13"/>
          <w:color w:val="auto"/>
        </w:rPr>
      </w:pPr>
    </w:p>
    <w:p>
      <w:pPr>
        <w:ind w:left="720" w:right="3819" w:hanging="317"/>
        <w:spacing w:after="0" w:line="251" w:lineRule="auto"/>
        <w:tabs>
          <w:tab w:leader="none" w:pos="720"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and presented in this report our conclusions about</w:t>
      </w:r>
    </w:p>
    <w:p>
      <w:pPr>
        <w:ind w:left="720" w:right="3899"/>
        <w:spacing w:after="0" w:line="25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effectiveness of the controls and procedures, as of the end of the period covered by this report based on such evaluation; and</w:t>
      </w:r>
    </w:p>
    <w:p>
      <w:pPr>
        <w:ind w:left="720" w:right="3899" w:hanging="317"/>
        <w:spacing w:after="0" w:line="251" w:lineRule="auto"/>
        <w:tabs>
          <w:tab w:leader="none" w:pos="720"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w:t>
      </w:r>
    </w:p>
    <w:p>
      <w:pPr>
        <w:spacing w:after="0" w:line="1" w:lineRule="exact"/>
        <w:rPr>
          <w:rFonts w:ascii="Courier New" w:cs="Courier New" w:eastAsia="Courier New" w:hAnsi="Courier New"/>
          <w:sz w:val="13"/>
          <w:szCs w:val="13"/>
          <w:color w:val="auto"/>
        </w:rPr>
      </w:pPr>
    </w:p>
    <w:p>
      <w:pPr>
        <w:ind w:left="400" w:right="3579" w:hanging="398"/>
        <w:spacing w:after="0" w:line="251" w:lineRule="auto"/>
        <w:tabs>
          <w:tab w:leader="none" w:pos="40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a) all significant deficiencies and material weaknesses in the design or operation of internal control over</w:t>
      </w:r>
    </w:p>
    <w:p>
      <w:pPr>
        <w:spacing w:after="0" w:line="1" w:lineRule="exact"/>
        <w:rPr>
          <w:rFonts w:ascii="Courier New" w:cs="Courier New" w:eastAsia="Courier New" w:hAnsi="Courier New"/>
          <w:sz w:val="13"/>
          <w:szCs w:val="13"/>
          <w:color w:val="auto"/>
        </w:rPr>
      </w:pPr>
    </w:p>
    <w:p>
      <w:pPr>
        <w:jc w:val="both"/>
        <w:ind w:left="720" w:right="3819"/>
        <w:spacing w:after="0" w:line="25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financial reporting which are reasonably likely to adversely affect the registrant's ability to record, process, summarize and report financial information; and</w:t>
      </w:r>
    </w:p>
    <w:p>
      <w:pPr>
        <w:ind w:left="720" w:right="3979" w:hanging="317"/>
        <w:spacing w:after="0" w:line="253" w:lineRule="auto"/>
        <w:tabs>
          <w:tab w:leader="none" w:pos="720"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296" w:right="1440" w:bottom="1440" w:gutter="0" w:footer="0" w:header="0"/>
        </w:sect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340"/>
        <w:spacing w:after="0" w:line="254" w:lineRule="auto"/>
        <w:rPr>
          <w:sz w:val="20"/>
          <w:szCs w:val="20"/>
          <w:color w:val="auto"/>
        </w:rPr>
      </w:pPr>
      <w:r>
        <w:rPr>
          <w:rFonts w:ascii="Courier New" w:cs="Courier New" w:eastAsia="Courier New" w:hAnsi="Courier New"/>
          <w:sz w:val="13"/>
          <w:szCs w:val="13"/>
          <w:color w:val="auto"/>
        </w:rPr>
        <w:t>January 30, 2004 ---------------------------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Roderick R. Baty</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Roderick R. Baty</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Chairman, President and Chief Executive</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Officer</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(principal executive officer)</w:t>
      </w:r>
    </w:p>
    <w:p>
      <w:pPr>
        <w:sectPr>
          <w:pgSz w:w="11900" w:h="16838" w:orient="portrait"/>
          <w:cols w:equalWidth="0" w:num="3">
            <w:col w:w="400" w:space="320"/>
            <w:col w:w="2500" w:space="720"/>
            <w:col w:w="6299"/>
          </w:cols>
          <w:pgMar w:left="220" w:top="296" w:right="1440" w:bottom="1440" w:gutter="0" w:footer="0" w:header="0"/>
          <w:type w:val="continuous"/>
        </w:sectPr>
      </w:pPr>
    </w:p>
    <w:bookmarkStart w:id="47" w:name="page48"/>
    <w:bookmarkEnd w:id="47"/>
    <w:p>
      <w:pPr>
        <w:ind w:left="5140"/>
        <w:spacing w:after="0"/>
        <w:rPr>
          <w:sz w:val="20"/>
          <w:szCs w:val="20"/>
          <w:color w:val="auto"/>
        </w:rPr>
      </w:pPr>
      <w:r>
        <w:rPr>
          <w:rFonts w:ascii="Courier New" w:cs="Courier New" w:eastAsia="Courier New" w:hAnsi="Courier New"/>
          <w:sz w:val="13"/>
          <w:szCs w:val="13"/>
          <w:color w:val="auto"/>
        </w:rPr>
        <w:t>Exhibit 31.2</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 David L. Dyckman, certify that:</w:t>
      </w:r>
    </w:p>
    <w:p>
      <w:pPr>
        <w:spacing w:after="0" w:line="7" w:lineRule="exact"/>
        <w:rPr>
          <w:sz w:val="20"/>
          <w:szCs w:val="20"/>
          <w:color w:val="auto"/>
        </w:rPr>
      </w:pPr>
    </w:p>
    <w:p>
      <w:pPr>
        <w:ind w:left="400" w:hanging="398"/>
        <w:spacing w:after="0"/>
        <w:tabs>
          <w:tab w:leader="none" w:pos="4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10-K/A of NN, Inc.;</w:t>
      </w:r>
    </w:p>
    <w:p>
      <w:pPr>
        <w:spacing w:after="0" w:line="6" w:lineRule="exact"/>
        <w:rPr>
          <w:rFonts w:ascii="Courier New" w:cs="Courier New" w:eastAsia="Courier New" w:hAnsi="Courier New"/>
          <w:sz w:val="13"/>
          <w:szCs w:val="13"/>
          <w:color w:val="auto"/>
        </w:rPr>
      </w:pPr>
    </w:p>
    <w:p>
      <w:pPr>
        <w:ind w:left="400" w:hanging="398"/>
        <w:spacing w:after="0"/>
        <w:tabs>
          <w:tab w:leader="none" w:pos="4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report does not contain any untrue</w:t>
      </w:r>
    </w:p>
    <w:p>
      <w:pPr>
        <w:spacing w:after="0" w:line="6" w:lineRule="exact"/>
        <w:rPr>
          <w:rFonts w:ascii="Courier New" w:cs="Courier New" w:eastAsia="Courier New" w:hAnsi="Courier New"/>
          <w:sz w:val="13"/>
          <w:szCs w:val="13"/>
          <w:color w:val="auto"/>
        </w:rPr>
      </w:pPr>
    </w:p>
    <w:p>
      <w:pPr>
        <w:ind w:left="400" w:right="3899"/>
        <w:spacing w:after="0" w:line="25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statement of a material fact or omit to state a material fact necessary to make the statements made, in light of the circumstances under which such statements were made, not misleading with respect to the period covered by this report;</w:t>
      </w:r>
    </w:p>
    <w:p>
      <w:pPr>
        <w:ind w:left="400" w:right="3899" w:hanging="398"/>
        <w:spacing w:after="0" w:line="251" w:lineRule="auto"/>
        <w:tabs>
          <w:tab w:leader="none" w:pos="4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ind w:left="400" w:right="3819" w:hanging="398"/>
        <w:spacing w:after="0" w:line="251" w:lineRule="auto"/>
        <w:tabs>
          <w:tab w:leader="none" w:pos="4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are responsible for establishing and maintaining disclosure controls and procedures (as defined in Exchange Act Rules 13a-15(e) and 15d 15(e) for the registrant and have:</w:t>
      </w:r>
    </w:p>
    <w:p>
      <w:pPr>
        <w:ind w:left="720" w:right="3979" w:hanging="317"/>
        <w:spacing w:after="0" w:line="251" w:lineRule="auto"/>
        <w:tabs>
          <w:tab w:leader="none" w:pos="720" w:val="left"/>
        </w:tabs>
        <w:numPr>
          <w:ilvl w:val="1"/>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 w:lineRule="exact"/>
        <w:rPr>
          <w:rFonts w:ascii="Courier New" w:cs="Courier New" w:eastAsia="Courier New" w:hAnsi="Courier New"/>
          <w:sz w:val="13"/>
          <w:szCs w:val="13"/>
          <w:color w:val="auto"/>
        </w:rPr>
      </w:pPr>
    </w:p>
    <w:p>
      <w:pPr>
        <w:ind w:left="720" w:right="3819" w:hanging="317"/>
        <w:spacing w:after="0" w:line="251" w:lineRule="auto"/>
        <w:tabs>
          <w:tab w:leader="none" w:pos="720" w:val="left"/>
        </w:tabs>
        <w:numPr>
          <w:ilvl w:val="1"/>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and presented in this report our conclusions about</w:t>
      </w:r>
    </w:p>
    <w:p>
      <w:pPr>
        <w:ind w:left="720" w:right="3899"/>
        <w:spacing w:after="0" w:line="25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effectiveness of the controls and procedures, as of the end of the period covered by this report based on such evaluation; and</w:t>
      </w:r>
    </w:p>
    <w:p>
      <w:pPr>
        <w:ind w:left="720" w:right="3899" w:hanging="317"/>
        <w:spacing w:after="0" w:line="251" w:lineRule="auto"/>
        <w:tabs>
          <w:tab w:leader="none" w:pos="720" w:val="left"/>
        </w:tabs>
        <w:numPr>
          <w:ilvl w:val="1"/>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w:t>
      </w:r>
    </w:p>
    <w:p>
      <w:pPr>
        <w:spacing w:after="0" w:line="1" w:lineRule="exact"/>
        <w:rPr>
          <w:rFonts w:ascii="Courier New" w:cs="Courier New" w:eastAsia="Courier New" w:hAnsi="Courier New"/>
          <w:sz w:val="13"/>
          <w:szCs w:val="13"/>
          <w:color w:val="auto"/>
        </w:rPr>
      </w:pPr>
    </w:p>
    <w:p>
      <w:pPr>
        <w:ind w:left="400" w:right="3579" w:hanging="398"/>
        <w:spacing w:after="0" w:line="251" w:lineRule="auto"/>
        <w:tabs>
          <w:tab w:leader="none" w:pos="4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a) all significant deficiencies and material weaknesses in the design or operation of internal control over</w:t>
      </w:r>
    </w:p>
    <w:p>
      <w:pPr>
        <w:spacing w:after="0" w:line="1" w:lineRule="exact"/>
        <w:rPr>
          <w:rFonts w:ascii="Courier New" w:cs="Courier New" w:eastAsia="Courier New" w:hAnsi="Courier New"/>
          <w:sz w:val="13"/>
          <w:szCs w:val="13"/>
          <w:color w:val="auto"/>
        </w:rPr>
      </w:pPr>
    </w:p>
    <w:p>
      <w:pPr>
        <w:jc w:val="both"/>
        <w:ind w:left="720" w:right="3819"/>
        <w:spacing w:after="0" w:line="25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financial reporting which are reasonably likely to adversely affect the registrant's ability to record, process, summarize and report financial information; and</w:t>
      </w:r>
    </w:p>
    <w:p>
      <w:pPr>
        <w:ind w:left="720" w:right="3979" w:hanging="317"/>
        <w:spacing w:after="0" w:line="253" w:lineRule="auto"/>
        <w:tabs>
          <w:tab w:leader="none" w:pos="720" w:val="left"/>
        </w:tabs>
        <w:numPr>
          <w:ilvl w:val="1"/>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758" w:right="1440" w:bottom="1440" w:gutter="0" w:footer="0" w:header="0"/>
        </w:sect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260"/>
        <w:spacing w:after="0" w:line="254" w:lineRule="auto"/>
        <w:rPr>
          <w:sz w:val="20"/>
          <w:szCs w:val="20"/>
          <w:color w:val="auto"/>
        </w:rPr>
      </w:pPr>
      <w:r>
        <w:rPr>
          <w:rFonts w:ascii="Courier New" w:cs="Courier New" w:eastAsia="Courier New" w:hAnsi="Courier New"/>
          <w:sz w:val="13"/>
          <w:szCs w:val="13"/>
          <w:color w:val="auto"/>
        </w:rPr>
        <w:t>January 30, 2004 ---------------------------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financial officer)</w:t>
      </w:r>
    </w:p>
    <w:p>
      <w:pPr>
        <w:sectPr>
          <w:pgSz w:w="11900" w:h="16838" w:orient="portrait"/>
          <w:cols w:equalWidth="0" w:num="4">
            <w:col w:w="400" w:space="320"/>
            <w:col w:w="2420" w:space="720"/>
            <w:col w:w="240" w:space="160"/>
            <w:col w:w="5979"/>
          </w:cols>
          <w:pgMar w:left="220" w:top="758" w:right="1440" w:bottom="1440" w:gutter="0" w:footer="0" w:header="0"/>
          <w:type w:val="continuous"/>
        </w:sectPr>
      </w:pPr>
    </w:p>
    <w:bookmarkStart w:id="48" w:name="page49"/>
    <w:bookmarkEnd w:id="48"/>
    <w:p>
      <w:pPr>
        <w:ind w:left="5300"/>
        <w:spacing w:after="0"/>
        <w:rPr>
          <w:sz w:val="20"/>
          <w:szCs w:val="20"/>
          <w:color w:val="auto"/>
        </w:rPr>
      </w:pPr>
      <w:r>
        <w:rPr>
          <w:rFonts w:ascii="Courier New" w:cs="Courier New" w:eastAsia="Courier New" w:hAnsi="Courier New"/>
          <w:sz w:val="13"/>
          <w:szCs w:val="13"/>
          <w:color w:val="auto"/>
        </w:rPr>
        <w:t>Exhibit 32.1</w:t>
      </w:r>
    </w:p>
    <w:p>
      <w:pPr>
        <w:spacing w:after="0" w:line="161"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CERTIFICATION OF CHIEF EXECUTIVE OFFICER PURSUANT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TO SECTION 906 OF THE SARBANES-OXLEY ACT OF 2002</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connection with the Annual Report of NN, Inc. (the "Company") on Form 10-K/A for the annual period ended December 31, 2002,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296" w:right="1440" w:bottom="144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30,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Chairman,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Executive Officer</w:t>
      </w:r>
    </w:p>
    <w:p>
      <w:pPr>
        <w:spacing w:after="0" w:line="200" w:lineRule="exact"/>
        <w:rPr>
          <w:sz w:val="20"/>
          <w:szCs w:val="20"/>
          <w:color w:val="auto"/>
        </w:rPr>
      </w:pPr>
    </w:p>
    <w:p>
      <w:pPr>
        <w:sectPr>
          <w:pgSz w:w="11900" w:h="16838" w:orient="portrait"/>
          <w:cols w:equalWidth="0" w:num="3">
            <w:col w:w="400" w:space="160"/>
            <w:col w:w="2740" w:space="720"/>
            <w:col w:w="6219"/>
          </w:cols>
          <w:pgMar w:left="220" w:top="296" w:right="1440" w:bottom="1440" w:gutter="0" w:footer="0" w:header="0"/>
          <w:type w:val="continuous"/>
        </w:sectPr>
      </w:pPr>
    </w:p>
    <w:p>
      <w:pPr>
        <w:spacing w:after="0" w:line="115" w:lineRule="exact"/>
        <w:rPr>
          <w:sz w:val="20"/>
          <w:szCs w:val="20"/>
          <w:color w:val="auto"/>
        </w:rPr>
      </w:pPr>
    </w:p>
    <w:p>
      <w:pPr>
        <w:ind w:right="4059"/>
        <w:spacing w:after="0" w:line="253" w:lineRule="auto"/>
        <w:rPr>
          <w:sz w:val="20"/>
          <w:szCs w:val="20"/>
          <w:color w:val="auto"/>
        </w:rPr>
      </w:pPr>
      <w:r>
        <w:rPr>
          <w:rFonts w:ascii="Courier New" w:cs="Courier New" w:eastAsia="Courier New" w:hAnsi="Courier New"/>
          <w:sz w:val="13"/>
          <w:szCs w:val="13"/>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296" w:right="1440" w:bottom="1440" w:gutter="0" w:footer="0" w:header="0"/>
          <w:type w:val="continuous"/>
        </w:sectPr>
      </w:pPr>
    </w:p>
    <w:bookmarkStart w:id="49" w:name="page50"/>
    <w:bookmarkEnd w:id="49"/>
    <w:p>
      <w:pPr>
        <w:ind w:left="5380"/>
        <w:spacing w:after="0"/>
        <w:rPr>
          <w:sz w:val="20"/>
          <w:szCs w:val="20"/>
          <w:color w:val="auto"/>
        </w:rPr>
      </w:pPr>
      <w:r>
        <w:rPr>
          <w:rFonts w:ascii="Courier New" w:cs="Courier New" w:eastAsia="Courier New" w:hAnsi="Courier New"/>
          <w:sz w:val="13"/>
          <w:szCs w:val="13"/>
          <w:color w:val="auto"/>
        </w:rPr>
        <w:t>Exhibit 32.2</w:t>
      </w:r>
    </w:p>
    <w:p>
      <w:pPr>
        <w:spacing w:after="0" w:line="161"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CERTIFICATION OF CHIEF FINANCIAL OFFICER PURSUANT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TO SECTION 906 OF THE SARBANES-OXLEY ACT OF 2002</w:t>
      </w:r>
    </w:p>
    <w:p>
      <w:pPr>
        <w:spacing w:after="0" w:line="161" w:lineRule="exact"/>
        <w:rPr>
          <w:sz w:val="20"/>
          <w:szCs w:val="20"/>
          <w:color w:val="auto"/>
        </w:rPr>
      </w:pPr>
    </w:p>
    <w:p>
      <w:pPr>
        <w:ind w:right="3819" w:firstLine="722"/>
        <w:spacing w:after="0" w:line="251" w:lineRule="auto"/>
        <w:rPr>
          <w:sz w:val="20"/>
          <w:szCs w:val="20"/>
          <w:color w:val="auto"/>
        </w:rPr>
      </w:pPr>
      <w:r>
        <w:rPr>
          <w:rFonts w:ascii="Courier New" w:cs="Courier New" w:eastAsia="Courier New" w:hAnsi="Courier New"/>
          <w:sz w:val="13"/>
          <w:szCs w:val="13"/>
          <w:color w:val="auto"/>
        </w:rPr>
        <w:t>In connection with the Annual Report of NN, Inc. (the "Company") on Form 10-K/A for the annual period ended December 31, 2002,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296" w:right="1440" w:bottom="144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30,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Financial Officer</w:t>
      </w:r>
    </w:p>
    <w:p>
      <w:pPr>
        <w:spacing w:after="0" w:line="161" w:lineRule="exact"/>
        <w:rPr>
          <w:sz w:val="20"/>
          <w:szCs w:val="20"/>
          <w:color w:val="auto"/>
        </w:rPr>
      </w:pPr>
    </w:p>
    <w:p>
      <w:pPr>
        <w:sectPr>
          <w:pgSz w:w="11900" w:h="16838" w:orient="portrait"/>
          <w:cols w:equalWidth="0" w:num="3">
            <w:col w:w="400" w:space="160"/>
            <w:col w:w="2660" w:space="720"/>
            <w:col w:w="6299"/>
          </w:cols>
          <w:pgMar w:left="220" w:top="296" w:right="1440" w:bottom="1440" w:gutter="0" w:footer="0" w:header="0"/>
          <w:type w:val="continuous"/>
        </w:sectPr>
      </w:pPr>
    </w:p>
    <w:p>
      <w:pPr>
        <w:ind w:right="4059"/>
        <w:spacing w:after="0" w:line="253" w:lineRule="auto"/>
        <w:rPr>
          <w:sz w:val="20"/>
          <w:szCs w:val="20"/>
          <w:color w:val="auto"/>
        </w:rPr>
      </w:pPr>
      <w:r>
        <w:rPr>
          <w:rFonts w:ascii="Courier New" w:cs="Courier New" w:eastAsia="Courier New" w:hAnsi="Courier New"/>
          <w:sz w:val="13"/>
          <w:szCs w:val="13"/>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29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o"/>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lvl w:ilvl="1">
      <w:lvlJc w:val="left"/>
      <w:lvlText w:val="(%2)"/>
      <w:numFmt w:val="lowerLetter"/>
      <w:start w:val="1"/>
    </w:lvl>
  </w:abstractNum>
  <w:abstractNum w:abstractNumId="5">
    <w:nsid w:val="75A2A8D4"/>
    <w:multiLevelType w:val="hybridMultilevel"/>
    <w:lvl w:ilvl="0">
      <w:lvlJc w:val="left"/>
      <w:lvlText w:val="(%1)"/>
      <w:numFmt w:val="lowerLetter"/>
      <w:start w:val="8"/>
    </w:lvl>
  </w:abstractNum>
  <w:abstractNum w:abstractNumId="6">
    <w:nsid w:val="8EDBDAB"/>
    <w:multiLevelType w:val="hybridMultilevel"/>
    <w:lvl w:ilvl="0">
      <w:lvlJc w:val="left"/>
      <w:lvlText w:val="(%1)"/>
      <w:numFmt w:val="lowerLetter"/>
      <w:start w:val="12"/>
    </w:lvl>
  </w:abstractNum>
  <w:abstractNum w:abstractNumId="7">
    <w:nsid w:val="79838CB2"/>
    <w:multiLevelType w:val="hybridMultilevel"/>
    <w:lvl w:ilvl="0">
      <w:lvlJc w:val="left"/>
      <w:lvlText w:val="(%1)"/>
      <w:numFmt w:val="lowerLetter"/>
      <w:start w:val="13"/>
    </w:lvl>
  </w:abstractNum>
  <w:abstractNum w:abstractNumId="8">
    <w:nsid w:val="4353D0CD"/>
    <w:multiLevelType w:val="hybridMultilevel"/>
    <w:lvl w:ilvl="0">
      <w:lvlJc w:val="left"/>
      <w:lvlText w:val="(%1)"/>
      <w:numFmt w:val="lowerLetter"/>
      <w:start w:val="16"/>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decimal"/>
      <w:start w:val="4"/>
    </w:lvl>
  </w:abstractNum>
  <w:abstractNum w:abstractNumId="11">
    <w:nsid w:val="54E49EB4"/>
    <w:multiLevelType w:val="hybridMultilevel"/>
    <w:lvl w:ilvl="0">
      <w:lvlJc w:val="left"/>
      <w:lvlText w:val="%1)"/>
      <w:numFmt w:val="decimal"/>
      <w:start w:val="5"/>
    </w:lvl>
  </w:abstractNum>
  <w:abstractNum w:abstractNumId="12">
    <w:nsid w:val="71F32454"/>
    <w:multiLevelType w:val="hybridMultilevel"/>
    <w:lvl w:ilvl="0">
      <w:lvlJc w:val="left"/>
      <w:lvlText w:val="%1)"/>
      <w:numFmt w:val="decimal"/>
      <w:start w:val="7"/>
    </w:lvl>
  </w:abstractNum>
  <w:abstractNum w:abstractNumId="13">
    <w:nsid w:val="2CA88611"/>
    <w:multiLevelType w:val="hybridMultilevel"/>
    <w:lvl w:ilvl="0">
      <w:lvlJc w:val="left"/>
      <w:lvlText w:val="%1)"/>
      <w:numFmt w:val="decimal"/>
      <w:start w:val="8"/>
    </w:lvl>
  </w:abstractNum>
  <w:abstractNum w:abstractNumId="14">
    <w:nsid w:val="836C40E"/>
    <w:multiLevelType w:val="hybridMultilevel"/>
    <w:lvl w:ilvl="0">
      <w:lvlJc w:val="left"/>
      <w:lvlText w:val="%1)"/>
      <w:numFmt w:val="decimal"/>
      <w:start w:val="9"/>
    </w:lvl>
    <w:lvl w:ilvl="1">
      <w:lvlJc w:val="left"/>
      <w:lvlText w:val="%2)"/>
      <w:numFmt w:val="lowerLetter"/>
      <w:start w:val="1"/>
    </w:lvl>
  </w:abstractNum>
  <w:abstractNum w:abstractNumId="15">
    <w:nsid w:val="2901D82"/>
    <w:multiLevelType w:val="hybridMultilevel"/>
    <w:lvl w:ilvl="0">
      <w:lvlJc w:val="left"/>
      <w:lvlText w:val="%1)"/>
      <w:numFmt w:val="lowerLetter"/>
      <w:start w:val="2"/>
    </w:lvl>
  </w:abstractNum>
  <w:abstractNum w:abstractNumId="16">
    <w:nsid w:val="3A95F874"/>
    <w:multiLevelType w:val="hybridMultilevel"/>
    <w:lvl w:ilvl="0">
      <w:lvlJc w:val="left"/>
      <w:lvlText w:val="%1"/>
      <w:numFmt w:val="upperLetter"/>
      <w:start w:val="40"/>
    </w:lvl>
  </w:abstractNum>
  <w:abstractNum w:abstractNumId="17">
    <w:nsid w:val="8138641"/>
    <w:multiLevelType w:val="hybridMultilevel"/>
    <w:lvl w:ilvl="0">
      <w:lvlJc w:val="left"/>
      <w:lvlText w:val="%1)"/>
      <w:numFmt w:val="decimal"/>
      <w:start w:val="10"/>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2"/>
    </w:lvl>
  </w:abstractNum>
  <w:abstractNum w:abstractNumId="20">
    <w:nsid w:val="737B8DDC"/>
    <w:multiLevelType w:val="hybridMultilevel"/>
    <w:lvl w:ilvl="0">
      <w:lvlJc w:val="left"/>
      <w:lvlText w:val="%1)"/>
      <w:numFmt w:val="decimal"/>
      <w:start w:val="13"/>
    </w:lvl>
  </w:abstractNum>
  <w:abstractNum w:abstractNumId="21">
    <w:nsid w:val="6CEAF087"/>
    <w:multiLevelType w:val="hybridMultilevel"/>
    <w:lvl w:ilvl="0">
      <w:lvlJc w:val="left"/>
      <w:lvlText w:val="%1)"/>
      <w:numFmt w:val="decimal"/>
      <w:start w:val="15"/>
    </w:lvl>
  </w:abstractNum>
  <w:abstractNum w:abstractNumId="22">
    <w:nsid w:val="22221A70"/>
    <w:multiLevelType w:val="hybridMultilevel"/>
    <w:lvl w:ilvl="0">
      <w:lvlJc w:val="left"/>
      <w:lvlText w:val="%1)"/>
      <w:numFmt w:val="decimal"/>
      <w:start w:val="16"/>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7"/>
    </w:lvl>
  </w:abstractNum>
  <w:abstractNum w:abstractNumId="25">
    <w:nsid w:val="614FD4A1"/>
    <w:multiLevelType w:val="hybridMultilevel"/>
    <w:lvl w:ilvl="0">
      <w:lvlJc w:val="left"/>
      <w:lvlText w:val="%1)"/>
      <w:numFmt w:val="decimal"/>
      <w:start w:val="20"/>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lvl w:ilvl="1">
      <w:lvlJc w:val="left"/>
      <w:lvlText w:val="%2"/>
      <w:numFmt w:val="upperLetter"/>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2"/>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2019-12-14T03:16:26Z</dcterms:created>
  <dcterms:modified xsi:type="dcterms:W3CDTF">2019-12-14T03:16:26Z</dcterms:modified>
</cp:coreProperties>
</file>