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6430" cy="430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43040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NIXON D. GAIL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ind w:left="340" w:hanging="340"/>
        <w:spacing w:after="0"/>
        <w:tabs>
          <w:tab w:leader="none" w:pos="340" w:val="left"/>
        </w:tabs>
        <w:numPr>
          <w:ilvl w:val="0"/>
          <w:numId w:val="1"/>
        </w:numPr>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04/01/2023</w:t>
      </w:r>
    </w:p>
    <w:p>
      <w:pPr>
        <w:spacing w:after="0" w:line="20" w:lineRule="exact"/>
        <w:rPr>
          <w:sz w:val="24"/>
          <w:szCs w:val="24"/>
          <w:color w:val="auto"/>
        </w:rPr>
      </w:pPr>
      <w:r>
        <w:rPr>
          <w:sz w:val="24"/>
          <w:szCs w:val="24"/>
          <w:color w:val="auto"/>
        </w:rPr>
        <w:br w:type="column"/>
      </w:r>
    </w:p>
    <w:p>
      <w:pPr>
        <w:ind w:left="-3" w:right="700" w:firstLine="3"/>
        <w:spacing w:after="0" w:line="249"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7"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17"/>
        <w:spacing w:after="0"/>
        <w:rPr>
          <w:sz w:val="20"/>
          <w:szCs w:val="20"/>
          <w:color w:val="auto"/>
        </w:rPr>
      </w:pPr>
      <w:r>
        <w:rPr>
          <w:rFonts w:ascii="Times New Roman" w:cs="Times New Roman" w:eastAsia="Times New Roman" w:hAnsi="Times New Roman"/>
          <w:sz w:val="16"/>
          <w:szCs w:val="16"/>
          <w:color w:val="0000FF"/>
        </w:rPr>
        <w:t>Senior VP, Human Resources</w:t>
      </w:r>
    </w:p>
    <w:p>
      <w:pPr>
        <w:spacing w:after="0" w:line="308" w:lineRule="exact"/>
        <w:rPr>
          <w:sz w:val="24"/>
          <w:szCs w:val="24"/>
          <w:color w:val="auto"/>
        </w:rPr>
      </w:pPr>
    </w:p>
    <w:p>
      <w:pPr>
        <w:sectPr>
          <w:pgSz w:w="11900" w:h="16838" w:orient="portrait"/>
          <w:cols w:equalWidth="0" w:num="3">
            <w:col w:w="3180" w:space="720"/>
            <w:col w:w="3103" w:space="720"/>
            <w:col w:w="3357"/>
          </w:cols>
          <w:pgMar w:left="460" w:top="215" w:right="359" w:bottom="1440" w:gutter="0" w:footer="0" w:header="0"/>
          <w:type w:val="continuous"/>
        </w:sectPr>
      </w:pP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28277</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6"/>
                <w:szCs w:val="16"/>
                <w:color w:val="0000FF"/>
              </w:rPr>
              <w:t>04/01/2023</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w w:val="99"/>
              </w:rPr>
              <w:t>61,760</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124,319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3"/>
                <w:szCs w:val="13"/>
                <w:color w:val="0000FF"/>
              </w:rPr>
              <w:t>04/01/2023</w:t>
            </w:r>
          </w:p>
        </w:tc>
        <w:tc>
          <w:tcPr>
            <w:tcW w:w="11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123,520</w:t>
            </w:r>
          </w:p>
        </w:tc>
        <w:tc>
          <w:tcPr>
            <w:tcW w:w="280" w:type="dxa"/>
            <w:vAlign w:val="bottom"/>
          </w:tcPr>
          <w:p>
            <w:pPr>
              <w:spacing w:after="0"/>
              <w:rPr>
                <w:sz w:val="20"/>
                <w:szCs w:val="20"/>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123,520</w:t>
            </w: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123,520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right"/>
              <w:ind w:right="14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-1638935</wp:posOffset>
            </wp:positionV>
            <wp:extent cx="28575" cy="164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440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restricted stock and vest in three equal annual installments beginning on April 1, 2024.</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right represents a contingent right to receive one share of common stock of NN, Inc. (the "Issuer").</w:t>
      </w:r>
    </w:p>
    <w:p>
      <w:pPr>
        <w:spacing w:after="0" w:line="39" w:lineRule="exact"/>
        <w:rPr>
          <w:rFonts w:ascii="Times New Roman" w:cs="Times New Roman" w:eastAsia="Times New Roman" w:hAnsi="Times New Roman"/>
          <w:sz w:val="13"/>
          <w:szCs w:val="13"/>
          <w:color w:val="008000"/>
        </w:rPr>
      </w:pPr>
    </w:p>
    <w:p>
      <w:pPr>
        <w:ind w:left="40" w:right="180" w:hanging="1"/>
        <w:spacing w:after="0" w:line="236" w:lineRule="auto"/>
        <w:tabs>
          <w:tab w:leader="none" w:pos="16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 rights will vest pursuant to the terms and subject to the conditions set forth in the Issuer's 2022 Omnibus Incentive Plan and the applicable Performance Share Unit Award Agreement based on the relative total shareholder return ("TSR") of the Issuer, as compared to the TSR of a custom S&amp;P "MicroCap" Capital Goods Index over the period beginning on January 1, 2023 and ending December 31, 2025. The performance rights granted represent the right to receive the target shares, and actual performance rights earned may be between 25% and 150% of the target shares.</w:t>
      </w:r>
    </w:p>
    <w:p>
      <w:pPr>
        <w:sectPr>
          <w:pgSz w:w="11900" w:h="16838" w:orient="portrait"/>
          <w:cols w:equalWidth="0" w:num="1">
            <w:col w:w="11080"/>
          </w:cols>
          <w:pgMar w:left="460" w:top="215" w:right="35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Richard F. Mattern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-3810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483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3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474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700" w:space="100"/>
            <w:col w:w="2280"/>
          </w:cols>
          <w:pgMar w:left="460" w:top="21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350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2023-04-04T17:46:44Z</dcterms:created>
  <dcterms:modified xsi:type="dcterms:W3CDTF">2023-04-04T17:46:44Z</dcterms:modified>
</cp:coreProperties>
</file>