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3296285</wp:posOffset>
            </wp:positionH>
            <wp:positionV relativeFrom="paragraph">
              <wp:posOffset>72390</wp:posOffset>
            </wp:positionV>
            <wp:extent cx="663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35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 PURSUANT TO</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SECTION 13 OR 15(d) OF THE</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Date of Report (Date of earliest event reported): November 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3329305</wp:posOffset>
            </wp:positionH>
            <wp:positionV relativeFrom="paragraph">
              <wp:posOffset>165100</wp:posOffset>
            </wp:positionV>
            <wp:extent cx="598170" cy="598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170" cy="598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u w:val="single" w:color="auto"/>
          <w:color w:val="auto"/>
        </w:rPr>
        <w:t>NN, INC.</w:t>
      </w:r>
    </w:p>
    <w:p>
      <w:pPr>
        <w:sectPr>
          <w:pgSz w:w="11900" w:h="16838" w:orient="portrait"/>
          <w:cols w:equalWidth="0" w:num="1">
            <w:col w:w="11420"/>
          </w:cols>
          <w:pgMar w:left="240" w:top="764" w:right="239" w:bottom="1440" w:gutter="0" w:footer="0" w:header="0"/>
        </w:sectPr>
      </w:pPr>
    </w:p>
    <w:p>
      <w:pPr>
        <w:spacing w:after="0" w:line="200" w:lineRule="exact"/>
        <w:rPr>
          <w:sz w:val="24"/>
          <w:szCs w:val="24"/>
          <w:color w:val="auto"/>
        </w:rPr>
      </w:pPr>
    </w:p>
    <w:p>
      <w:pPr>
        <w:spacing w:after="0" w:line="25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7"/>
          <w:szCs w:val="17"/>
          <w:color w:val="auto"/>
        </w:rPr>
        <w:t>Delaware</w:t>
      </w:r>
    </w:p>
    <w:p>
      <w:pPr>
        <w:spacing w:after="0" w:line="28"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2000 Waters Edge Drive, Johnson City, Tennessee</w:t>
      </w:r>
    </w:p>
    <w:p>
      <w:pPr>
        <w:spacing w:after="0" w:line="28"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16" w:lineRule="exact"/>
        <w:rPr>
          <w:sz w:val="24"/>
          <w:szCs w:val="24"/>
          <w:color w:val="auto"/>
        </w:rPr>
      </w:pPr>
    </w:p>
    <w:p>
      <w:pPr>
        <w:jc w:val="center"/>
        <w:ind w:left="-79"/>
        <w:spacing w:after="0"/>
        <w:rPr>
          <w:sz w:val="20"/>
          <w:szCs w:val="20"/>
          <w:color w:val="auto"/>
        </w:rPr>
      </w:pPr>
      <w:r>
        <w:rPr>
          <w:rFonts w:ascii="Times New Roman" w:cs="Times New Roman" w:eastAsia="Times New Roman" w:hAnsi="Times New Roman"/>
          <w:sz w:val="17"/>
          <w:szCs w:val="17"/>
          <w:color w:val="auto"/>
        </w:rPr>
        <w:t>0-23486</w:t>
      </w:r>
    </w:p>
    <w:p>
      <w:pPr>
        <w:spacing w:after="0" w:line="28" w:lineRule="exact"/>
        <w:rPr>
          <w:sz w:val="24"/>
          <w:szCs w:val="24"/>
          <w:color w:val="auto"/>
        </w:rPr>
      </w:pPr>
    </w:p>
    <w:p>
      <w:pPr>
        <w:jc w:val="center"/>
        <w:ind w:left="-79"/>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62-1096725</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color w:val="auto"/>
        </w:rPr>
        <w:t>37604</w:t>
      </w:r>
    </w:p>
    <w:p>
      <w:pPr>
        <w:spacing w:after="0" w:line="28"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3">
            <w:col w:w="3780" w:space="180"/>
            <w:col w:w="3620" w:space="720"/>
            <w:col w:w="3120"/>
          </w:cols>
          <w:pgMar w:left="240" w:top="764" w:right="239" w:bottom="1440" w:gutter="0" w:footer="0" w:header="0"/>
          <w:type w:val="continuous"/>
        </w:sectPr>
      </w:pPr>
    </w:p>
    <w:p>
      <w:pPr>
        <w:spacing w:after="0" w:line="1"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(423) 743-9151</w:t>
      </w:r>
    </w:p>
    <w:p>
      <w:pPr>
        <w:spacing w:after="0" w:line="28"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420"/>
          </w:cols>
          <w:pgMar w:left="240" w:top="764" w:right="239" w:bottom="1440" w:gutter="0" w:footer="0" w:header="0"/>
          <w:type w:val="continuous"/>
        </w:sectPr>
      </w:pPr>
    </w:p>
    <w:p>
      <w:pPr>
        <w:spacing w:after="0" w:line="201"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if the Form 8-K filing is intended to simultaneously satisfy the filing obligation of the registrant under any of the following provisions (see</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General Instruction A.2. below):</w:t>
      </w:r>
    </w:p>
    <w:p>
      <w:pPr>
        <w:spacing w:after="0" w:line="227" w:lineRule="exact"/>
        <w:rPr>
          <w:sz w:val="24"/>
          <w:szCs w:val="24"/>
          <w:color w:val="auto"/>
        </w:rPr>
      </w:pPr>
    </w:p>
    <w:p>
      <w:pPr>
        <w:ind w:left="620" w:hanging="617"/>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640" w:hanging="637"/>
        <w:spacing w:after="0"/>
        <w:tabs>
          <w:tab w:leader="none" w:pos="6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640" w:hanging="637"/>
        <w:spacing w:after="0"/>
        <w:tabs>
          <w:tab w:leader="none" w:pos="6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left="640" w:hanging="637"/>
        <w:spacing w:after="0"/>
        <w:tabs>
          <w:tab w:leader="none" w:pos="6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433070</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64" w:right="2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47" w:lineRule="exact"/>
        <w:rPr>
          <w:sz w:val="20"/>
          <w:szCs w:val="20"/>
          <w:color w:val="auto"/>
        </w:rPr>
      </w:pPr>
    </w:p>
    <w:p>
      <w:pPr>
        <w:ind w:firstLine="258"/>
        <w:spacing w:after="0" w:line="287" w:lineRule="auto"/>
        <w:rPr>
          <w:sz w:val="20"/>
          <w:szCs w:val="20"/>
          <w:color w:val="auto"/>
        </w:rPr>
      </w:pPr>
      <w:r>
        <w:rPr>
          <w:rFonts w:ascii="Times New Roman" w:cs="Times New Roman" w:eastAsia="Times New Roman" w:hAnsi="Times New Roman"/>
          <w:sz w:val="17"/>
          <w:szCs w:val="17"/>
          <w:color w:val="auto"/>
        </w:rPr>
        <w:t>On November 6, 2013, NN, Inc. (the “Company”) issued a press release, announcing the Company’s results of operations and financial condition for the third quarter ended September 30, 2013. The full text of the press release is furnished as Exhibit 99.1 and is incorporated herein by reference.</w:t>
      </w:r>
    </w:p>
    <w:p>
      <w:pPr>
        <w:spacing w:after="0" w:line="3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34"/>
          <w:szCs w:val="34"/>
          <w:b w:val="1"/>
          <w:bCs w:val="1"/>
          <w:u w:val="single" w:color="auto"/>
          <w:color w:val="auto"/>
          <w:vertAlign w:val="superscript"/>
        </w:rPr>
        <w:t>Exhibit</w:t>
      </w:r>
      <w:r>
        <w:rPr>
          <w:rFonts w:ascii="Times New Roman" w:cs="Times New Roman" w:eastAsia="Times New Roman" w:hAnsi="Times New Roman"/>
          <w:sz w:val="17"/>
          <w:szCs w:val="17"/>
          <w:b w:val="1"/>
          <w:bCs w:val="1"/>
          <w:u w:val="single" w:color="auto"/>
          <w:color w:val="auto"/>
        </w:rPr>
        <w:t>Description</w:t>
      </w: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w:t>
      </w:r>
    </w:p>
    <w:p>
      <w:pPr>
        <w:spacing w:after="0" w:line="200" w:lineRule="exact"/>
        <w:rPr>
          <w:sz w:val="20"/>
          <w:szCs w:val="20"/>
          <w:color w:val="auto"/>
        </w:rPr>
      </w:pPr>
    </w:p>
    <w:p>
      <w:pPr>
        <w:spacing w:after="0" w:line="23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99.1</w:t>
        <w:tab/>
        <w:t>Press Release of NN, Inc. dated November 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703580</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20"/>
          </w:cols>
          <w:pgMar w:left="240" w:top="700" w:right="5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6, 2013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NN,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u w:val="single" w:color="auto"/>
          <w:color w:val="auto"/>
        </w:rPr>
        <w:t>/s/ William C. Kelly, Jr.</w:t>
      </w:r>
    </w:p>
    <w:p>
      <w:pPr>
        <w:spacing w:after="0" w:line="2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7"/>
          <w:szCs w:val="17"/>
          <w:color w:val="auto"/>
        </w:rPr>
        <w:t>Name:</w:t>
        <w:tab/>
        <w:t>William C. Kelly, Jr.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Vice President and Chief Administrative Officer</w:t>
      </w:r>
    </w:p>
    <w:p>
      <w:pPr>
        <w:sectPr>
          <w:pgSz w:w="11900" w:h="16838" w:orient="portrait"/>
          <w:cols w:equalWidth="0" w:num="1">
            <w:col w:w="11360"/>
          </w:cols>
          <w:pgMar w:left="240" w:top="493" w:right="29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F I N A N C I A 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FURTHER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b w:val="1"/>
                <w:bCs w:val="1"/>
                <w:color w:val="auto"/>
                <w:w w:val="96"/>
              </w:rPr>
              <w:t>AT THE COMPANY</w:t>
            </w:r>
          </w:p>
        </w:tc>
        <w:tc>
          <w:tcPr>
            <w:tcW w:w="1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b w:val="1"/>
                <w:bCs w:val="1"/>
                <w:color w:val="auto"/>
                <w:w w:val="97"/>
              </w:rPr>
              <w:t>AT FINANCIAL RELATIONS BOARD</w:t>
            </w:r>
          </w:p>
        </w:tc>
      </w:tr>
      <w:tr>
        <w:trPr>
          <w:trHeight w:val="209"/>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 Kelly</w:t>
            </w:r>
          </w:p>
        </w:tc>
        <w:tc>
          <w:tcPr>
            <w:tcW w:w="38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Marilynn Meek</w:t>
            </w:r>
          </w:p>
        </w:tc>
      </w:tr>
      <w:tr>
        <w:trPr>
          <w:trHeight w:val="206"/>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Vice President and Chief Administrative Officer</w:t>
            </w:r>
          </w:p>
        </w:tc>
        <w:tc>
          <w:tcPr>
            <w:tcW w:w="38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(General info)</w:t>
            </w:r>
          </w:p>
        </w:tc>
      </w:tr>
      <w:tr>
        <w:trPr>
          <w:trHeight w:val="223"/>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(423) 743-9151</w:t>
            </w:r>
          </w:p>
        </w:tc>
        <w:tc>
          <w:tcPr>
            <w:tcW w:w="1720" w:type="dxa"/>
            <w:vAlign w:val="bottom"/>
          </w:tcPr>
          <w:p>
            <w:pPr>
              <w:spacing w:after="0"/>
              <w:rPr>
                <w:sz w:val="19"/>
                <w:szCs w:val="19"/>
                <w:color w:val="auto"/>
              </w:rPr>
            </w:pPr>
          </w:p>
        </w:tc>
        <w:tc>
          <w:tcPr>
            <w:tcW w:w="38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(212) 827-3773</w:t>
            </w: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59"/>
          <w:szCs w:val="59"/>
          <w:color w:val="auto"/>
        </w:rPr>
        <w:t>n e w s</w:t>
      </w: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RE: NN, Inc.</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2000 Waters Edge Drive</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Johnson City, TN 37604</w:t>
      </w:r>
    </w:p>
    <w:p>
      <w:pPr>
        <w:spacing w:after="0" w:line="2192" w:lineRule="exact"/>
        <w:rPr>
          <w:sz w:val="20"/>
          <w:szCs w:val="20"/>
          <w:color w:val="auto"/>
        </w:rPr>
      </w:pPr>
    </w:p>
    <w:p>
      <w:pPr>
        <w:sectPr>
          <w:pgSz w:w="11900" w:h="16838" w:orient="portrait"/>
          <w:cols w:equalWidth="0" w:num="2">
            <w:col w:w="8420" w:space="720"/>
            <w:col w:w="2280"/>
          </w:cols>
          <w:pgMar w:left="240" w:top="110" w:right="239" w:bottom="1440" w:gutter="0" w:footer="0" w:header="0"/>
        </w:sectPr>
      </w:pPr>
    </w:p>
    <w:p>
      <w:pPr>
        <w:spacing w:after="0"/>
        <w:rPr>
          <w:sz w:val="20"/>
          <w:szCs w:val="20"/>
          <w:color w:val="auto"/>
        </w:rPr>
      </w:pPr>
      <w:r>
        <w:rPr>
          <w:rFonts w:ascii="Times New Roman" w:cs="Times New Roman" w:eastAsia="Times New Roman" w:hAnsi="Times New Roman"/>
          <w:sz w:val="19"/>
          <w:szCs w:val="19"/>
          <w:b w:val="1"/>
          <w:bCs w:val="1"/>
          <w:color w:val="auto"/>
        </w:rPr>
        <w:t>FOR IMMEDIATE RELEASE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6, 2013</w:t>
      </w:r>
    </w:p>
    <w:p>
      <w:pPr>
        <w:spacing w:after="0" w:line="200" w:lineRule="exact"/>
        <w:rPr>
          <w:sz w:val="20"/>
          <w:szCs w:val="20"/>
          <w:color w:val="auto"/>
        </w:rPr>
      </w:pPr>
    </w:p>
    <w:p>
      <w:pPr>
        <w:spacing w:after="0" w:line="246" w:lineRule="exact"/>
        <w:rPr>
          <w:sz w:val="20"/>
          <w:szCs w:val="20"/>
          <w:color w:val="auto"/>
        </w:rPr>
      </w:pPr>
    </w:p>
    <w:p>
      <w:pPr>
        <w:ind w:left="3260" w:hanging="294"/>
        <w:spacing w:after="0"/>
        <w:tabs>
          <w:tab w:leader="none" w:pos="3260" w:val="left"/>
        </w:tabs>
        <w:numPr>
          <w:ilvl w:val="1"/>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REPORTS THIRD QUARTER AND NINE MONTHS 2013 RESULTS</w:t>
      </w:r>
    </w:p>
    <w:p>
      <w:pPr>
        <w:spacing w:after="0" w:line="31" w:lineRule="exact"/>
        <w:rPr>
          <w:rFonts w:ascii="Times New Roman" w:cs="Times New Roman" w:eastAsia="Times New Roman" w:hAnsi="Times New Roman"/>
          <w:sz w:val="17"/>
          <w:szCs w:val="17"/>
          <w:b w:val="1"/>
          <w:bCs w:val="1"/>
          <w:color w:val="auto"/>
        </w:rPr>
      </w:pPr>
    </w:p>
    <w:p>
      <w:pPr>
        <w:ind w:left="620" w:hanging="126"/>
        <w:spacing w:after="0"/>
        <w:tabs>
          <w:tab w:leader="none" w:pos="6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Quarterly net sales increase of $6.4 million represents real growth of $4.3 million or 5.0%</w:t>
      </w:r>
    </w:p>
    <w:p>
      <w:pPr>
        <w:spacing w:after="0" w:line="11" w:lineRule="exact"/>
        <w:rPr>
          <w:rFonts w:ascii="Times New Roman" w:cs="Times New Roman" w:eastAsia="Times New Roman" w:hAnsi="Times New Roman"/>
          <w:sz w:val="17"/>
          <w:szCs w:val="17"/>
          <w:b w:val="1"/>
          <w:bCs w:val="1"/>
          <w:color w:val="auto"/>
        </w:rPr>
      </w:pPr>
    </w:p>
    <w:p>
      <w:pPr>
        <w:ind w:left="620" w:hanging="126"/>
        <w:spacing w:after="0"/>
        <w:tabs>
          <w:tab w:leader="none" w:pos="6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Historical third quarter seasonality offset by better penetration and outgrowth of end markets</w:t>
      </w:r>
    </w:p>
    <w:p>
      <w:pPr>
        <w:spacing w:after="0" w:line="200" w:lineRule="exact"/>
        <w:rPr>
          <w:sz w:val="20"/>
          <w:szCs w:val="20"/>
          <w:color w:val="auto"/>
        </w:rPr>
      </w:pPr>
    </w:p>
    <w:p>
      <w:pPr>
        <w:spacing w:after="0" w:line="25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Johnson City, Tenn, November 6, 2013 – NN, Inc. </w:t>
      </w:r>
      <w:r>
        <w:rPr>
          <w:rFonts w:ascii="Times New Roman" w:cs="Times New Roman" w:eastAsia="Times New Roman" w:hAnsi="Times New Roman"/>
          <w:sz w:val="17"/>
          <w:szCs w:val="17"/>
          <w:color w:val="auto"/>
        </w:rPr>
        <w:t>(Nasdaq: NNBR) today reported its financial results for the third quarter and nine months ended September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2013. Net sales for the third quarter of 2013 were $93.0 million, an increase of $6.4 million or 7.4% compared to net sales of $86.6 million for the third quarter of</w:t>
      </w:r>
    </w:p>
    <w:p>
      <w:pPr>
        <w:ind w:right="500"/>
        <w:spacing w:after="0" w:line="260" w:lineRule="auto"/>
        <w:rPr>
          <w:sz w:val="20"/>
          <w:szCs w:val="20"/>
          <w:color w:val="auto"/>
        </w:rPr>
      </w:pPr>
      <w:r>
        <w:rPr>
          <w:rFonts w:ascii="Times New Roman" w:cs="Times New Roman" w:eastAsia="Times New Roman" w:hAnsi="Times New Roman"/>
          <w:sz w:val="17"/>
          <w:szCs w:val="17"/>
          <w:color w:val="auto"/>
        </w:rPr>
        <w:t>2012. This increase was due primarily to improved demand from North American and Asian automotive markets, better market penetration of our existing European customers and increased demand from European heavy truck markets. Offsetting these positive effects were continued low demand in the European automotive and industrial markets and the strategic deemphasizing of non-core, non-strategic business and unfavorable price and mix issues.</w:t>
      </w:r>
    </w:p>
    <w:p>
      <w:pPr>
        <w:spacing w:after="0" w:line="200" w:lineRule="exact"/>
        <w:rPr>
          <w:sz w:val="20"/>
          <w:szCs w:val="20"/>
          <w:color w:val="auto"/>
        </w:rPr>
      </w:pPr>
    </w:p>
    <w:p>
      <w:pPr>
        <w:spacing w:after="0" w:line="20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Net income for the third quarter was $5.1 million, or $0.29 per diluted share compared to $3.1 million, or $0.18 per diluted share for the same period last year. The increase of $2.0 million was mainly due to favorable benefits from higher sales volumes and improving incremental profitability. Partially offsetting the positive effect of these items was the recording of higher taxes in the third quarter of 2013 compared to the third quarter of 2012. The higher taxes are the result of the use of an effective tax rate of 32% for the third quarter of 2013 compared to an effective tax rate of 24% for the third quarter of 2012. This difference is due to the utilization of net operating losses, with full valuation allowances, in 2012 that completely offset U.S. based taxable income for the quarter. These allowances were reversed as of December 31, 2012.</w:t>
      </w:r>
    </w:p>
    <w:p>
      <w:pPr>
        <w:spacing w:after="0" w:line="20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Net sales for the first nine months of 2013 were $283.1 million, a decrease of $6.8 million, or 2.3% compared to net sales of $289.9 million for the first nine months of 2012. Approximately $6.6 million of the decrease was attributable to lower demand for the Company’s products in European automotive and industrial markets occurring primarily in the first quarter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type w:val="continuous"/>
        </w:sectPr>
      </w:pPr>
    </w:p>
    <w:bookmarkStart w:id="4" w:name="page5"/>
    <w:bookmarkEnd w:id="4"/>
    <w:p>
      <w:pPr>
        <w:spacing w:after="0" w:line="260" w:lineRule="auto"/>
        <w:rPr>
          <w:sz w:val="20"/>
          <w:szCs w:val="20"/>
          <w:color w:val="auto"/>
        </w:rPr>
      </w:pPr>
      <w:r>
        <w:rPr>
          <w:rFonts w:ascii="Times New Roman" w:cs="Times New Roman" w:eastAsia="Times New Roman" w:hAnsi="Times New Roman"/>
          <w:sz w:val="17"/>
          <w:szCs w:val="17"/>
          <w:color w:val="auto"/>
        </w:rPr>
        <w:t>Net income for the first nine months of 2013 was $12.7 million, or $0.74 per diluted share, compared to net income of $16.1 million, or $0.94 per diluted share, for the comparable period last year. The reduction of $3.4 million was mainly due to the effect of the recording of approximately $2.6 million in higher taxes in the first nine months of 2013 compared to the first nine months of 2012. The higher taxes were the result of the use of an effective tax rate of 34% for the first nine months of 2013 compared to an effective rate of 19% for the first nine months of 2012. This rate difference is due to the utilization of net operating losses, with full valuation allowances, in 2012 that completely offset U.S. based taxable income for the nine months ended September 2012. These allowances were reversed as of December 31, 2012. The remainder of the reduction was attributed to the effect of lower sales.</w:t>
      </w:r>
    </w:p>
    <w:p>
      <w:pPr>
        <w:spacing w:after="0" w:line="201"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As a percentage of net sales, cost of products sold for the quarter decreased to 78.5% from 79.0% for last year’s third quarter. Cost of products sold for the first nine months of this year was 78.9% as compared to 79.1% for the same period last year. This reflects the improving operational performance of our divisions.</w:t>
      </w:r>
    </w:p>
    <w:p>
      <w:pPr>
        <w:spacing w:after="0" w:line="178"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Debt, net of cash, was $34.2 million at September 30, 2013, a decrease of $16.3 million compared to $50.5 million at December 31, 2012. As of September 30, 2013, approximately $9.1 million, or 54% of the planned capital budget of $17.0 million for the full year had been utilized.</w:t>
      </w:r>
    </w:p>
    <w:p>
      <w:pPr>
        <w:spacing w:after="0" w:line="17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Richard D. Holder, President and Chief Executive Officer commented, “Despite being affected by generally weak economic conditions in Europe during the quarter, we continued to benefit from the positive revenue momentum that we experienced in the first half of the year. Our quarter over quarter revenues improved, increasing by $6.4 million, as compared to the same period in the prior year. Additionally, our third quarter has traditionally been the weakest of the year due to the normal seasonality in our business, particularly in Europe. This accounted for the sequential decrease in sales from the second quarter, however improved market penetration allowed us to dampen the normal impact of seasonality particularly in our European businesses. Further, we have continued to strategically shed non-core and non-strategic business. As previously mentioned, this strategy while having a short term negative impact on revenues, improves our profitability and better positions us for continued future, long term profitable growth."</w:t>
      </w:r>
    </w:p>
    <w:p>
      <w:pPr>
        <w:spacing w:after="0" w:line="200" w:lineRule="exact"/>
        <w:rPr>
          <w:sz w:val="20"/>
          <w:szCs w:val="20"/>
          <w:color w:val="auto"/>
        </w:rPr>
      </w:pPr>
    </w:p>
    <w:p>
      <w:pPr>
        <w:spacing w:after="0" w:line="20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positive revenue trend combined with our ability to leverage strong incremental profits for each additional dollar of revenue is encouraging. We continue to be sensitive to the prolonged general economic uncertainty hanging over the markets as well as the weakness in European automotive markets and in particular European industrial markets.”</w:t>
      </w:r>
    </w:p>
    <w:p>
      <w:pPr>
        <w:spacing w:after="0" w:line="19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Mr. Holder concluded, “We previously announced that we are currently revising and enhancing our business strategy. This strategy will include, among other components and initiatives, plans to more aggressively pursue acquisitive and organic growth opportunities in our core and adjacent markets. Everyone on the management team and the Board of Directors is excited about the new opportunities this process has identified and we are extremely eager to begin executing on the initiatives once complete. We will be sharing the details of this strategy early in 2014.”</w:t>
      </w:r>
    </w:p>
    <w:p>
      <w:pPr>
        <w:spacing w:after="0" w:line="19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$370 million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375920</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2012.</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261" w:right="2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NN,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Statements of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6"/>
        </w:trPr>
        <w:tc>
          <w:tcPr>
            <w:tcW w:w="4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gridSpan w:val="4"/>
          </w:tcPr>
          <w:p>
            <w:pPr>
              <w:jc w:val="center"/>
              <w:ind w:left="1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gridSpan w:val="3"/>
          </w:tcPr>
          <w:p>
            <w:pPr>
              <w:ind w:lef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3"/>
        </w:trPr>
        <w:tc>
          <w:tcPr>
            <w:tcW w:w="4820" w:type="dxa"/>
            <w:vAlign w:val="bottom"/>
          </w:tcPr>
          <w:p>
            <w:pPr>
              <w:spacing w:after="0"/>
              <w:rPr>
                <w:sz w:val="20"/>
                <w:szCs w:val="20"/>
                <w:color w:val="auto"/>
              </w:rPr>
            </w:pPr>
          </w:p>
        </w:tc>
        <w:tc>
          <w:tcPr>
            <w:tcW w:w="108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2013</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2012</w:t>
            </w:r>
          </w:p>
        </w:tc>
        <w:tc>
          <w:tcPr>
            <w:tcW w:w="640" w:type="dxa"/>
            <w:vAlign w:val="bottom"/>
          </w:tcPr>
          <w:p>
            <w:pPr>
              <w:spacing w:after="0"/>
              <w:rPr>
                <w:sz w:val="20"/>
                <w:szCs w:val="20"/>
                <w:color w:val="auto"/>
              </w:rPr>
            </w:pPr>
          </w:p>
        </w:tc>
        <w:tc>
          <w:tcPr>
            <w:tcW w:w="11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2013</w:t>
            </w:r>
          </w:p>
        </w:tc>
        <w:tc>
          <w:tcPr>
            <w:tcW w:w="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2012</w:t>
            </w:r>
          </w:p>
        </w:tc>
        <w:tc>
          <w:tcPr>
            <w:tcW w:w="460" w:type="dxa"/>
            <w:vAlign w:val="bottom"/>
          </w:tcPr>
          <w:p>
            <w:pPr>
              <w:spacing w:after="0"/>
              <w:rPr>
                <w:sz w:val="20"/>
                <w:szCs w:val="20"/>
                <w:color w:val="auto"/>
              </w:rPr>
            </w:pPr>
          </w:p>
        </w:tc>
      </w:tr>
      <w:tr>
        <w:trPr>
          <w:trHeight w:val="397"/>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Net sales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93,023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86,586</w:t>
            </w:r>
          </w:p>
        </w:tc>
        <w:tc>
          <w:tcPr>
            <w:tcW w:w="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283,125</w:t>
            </w:r>
          </w:p>
        </w:tc>
        <w:tc>
          <w:tcPr>
            <w:tcW w:w="3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w w:val="97"/>
              </w:rPr>
              <w:t>289,929</w:t>
            </w:r>
          </w:p>
        </w:tc>
      </w:tr>
      <w:tr>
        <w:trPr>
          <w:trHeight w:val="206"/>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Cost of products sold (exclusive of</w:t>
            </w: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6"/>
        </w:trPr>
        <w:tc>
          <w:tcPr>
            <w:tcW w:w="4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depreciation shown separately below)</w:t>
            </w:r>
          </w:p>
        </w:tc>
        <w:tc>
          <w:tcPr>
            <w:tcW w:w="5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73,020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68,426</w:t>
            </w:r>
          </w:p>
        </w:tc>
        <w:tc>
          <w:tcPr>
            <w:tcW w:w="4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223,288</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w w:val="97"/>
              </w:rPr>
              <w:t>229,243</w:t>
            </w:r>
          </w:p>
        </w:tc>
      </w:tr>
      <w:tr>
        <w:trPr>
          <w:trHeight w:val="206"/>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5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8,099</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7,886</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25,544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24,266</w:t>
            </w:r>
          </w:p>
        </w:tc>
      </w:tr>
      <w:tr>
        <w:trPr>
          <w:trHeight w:val="206"/>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4,357</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12,935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13,203</w:t>
            </w: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Loss (Gain) on disposal of assets</w:t>
            </w: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(8)</w:t>
            </w: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Income from operations</w:t>
            </w:r>
          </w:p>
        </w:tc>
        <w:tc>
          <w:tcPr>
            <w:tcW w:w="5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7,794</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5,917</w:t>
            </w:r>
          </w:p>
        </w:tc>
        <w:tc>
          <w:tcPr>
            <w:tcW w:w="6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21,353</w:t>
            </w:r>
          </w:p>
        </w:tc>
        <w:tc>
          <w:tcPr>
            <w:tcW w:w="4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23,225</w:t>
            </w:r>
          </w:p>
        </w:tc>
        <w:tc>
          <w:tcPr>
            <w:tcW w:w="460" w:type="dxa"/>
            <w:vAlign w:val="bottom"/>
          </w:tcPr>
          <w:p>
            <w:pPr>
              <w:spacing w:after="0"/>
              <w:rPr>
                <w:sz w:val="19"/>
                <w:szCs w:val="19"/>
                <w:color w:val="auto"/>
              </w:rPr>
            </w:pPr>
          </w:p>
        </w:tc>
      </w:tr>
      <w:tr>
        <w:trPr>
          <w:trHeight w:val="380"/>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5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2,149</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3,388</w:t>
            </w:r>
          </w:p>
        </w:tc>
      </w:tr>
      <w:tr>
        <w:trPr>
          <w:trHeight w:val="229"/>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 (income), net</w:t>
            </w: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765</w:t>
            </w:r>
          </w:p>
        </w:tc>
        <w:tc>
          <w:tcPr>
            <w:tcW w:w="4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84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(36)</w:t>
            </w:r>
          </w:p>
        </w:tc>
      </w:tr>
      <w:tr>
        <w:trPr>
          <w:trHeight w:val="190"/>
        </w:trPr>
        <w:tc>
          <w:tcPr>
            <w:tcW w:w="48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Income before provision for income taxes</w:t>
            </w:r>
          </w:p>
        </w:tc>
        <w:tc>
          <w:tcPr>
            <w:tcW w:w="5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7,420</w:t>
            </w:r>
          </w:p>
        </w:tc>
        <w:tc>
          <w:tcPr>
            <w:tcW w:w="6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4,091</w:t>
            </w:r>
          </w:p>
        </w:tc>
        <w:tc>
          <w:tcPr>
            <w:tcW w:w="64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19,120</w:t>
            </w:r>
          </w:p>
        </w:tc>
        <w:tc>
          <w:tcPr>
            <w:tcW w:w="4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19,873</w:t>
            </w:r>
          </w:p>
        </w:tc>
        <w:tc>
          <w:tcPr>
            <w:tcW w:w="460" w:type="dxa"/>
            <w:vAlign w:val="bottom"/>
          </w:tcPr>
          <w:p>
            <w:pPr>
              <w:spacing w:after="0"/>
              <w:rPr>
                <w:sz w:val="16"/>
                <w:szCs w:val="16"/>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976</w:t>
            </w:r>
          </w:p>
        </w:tc>
        <w:tc>
          <w:tcPr>
            <w:tcW w:w="4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6,427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3,811</w:t>
            </w:r>
          </w:p>
        </w:tc>
      </w:tr>
      <w:tr>
        <w:trPr>
          <w:trHeight w:val="26"/>
        </w:trPr>
        <w:tc>
          <w:tcPr>
            <w:tcW w:w="48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r>
      <w:tr>
        <w:trPr>
          <w:trHeight w:val="413"/>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3,115</w:t>
            </w:r>
          </w:p>
        </w:tc>
        <w:tc>
          <w:tcPr>
            <w:tcW w:w="64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12,693</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16,062</w:t>
            </w:r>
          </w:p>
        </w:tc>
      </w:tr>
      <w:tr>
        <w:trPr>
          <w:trHeight w:val="20"/>
        </w:trPr>
        <w:tc>
          <w:tcPr>
            <w:tcW w:w="4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05"/>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Diluted income per common share</w:t>
            </w:r>
          </w:p>
        </w:tc>
        <w:tc>
          <w:tcPr>
            <w:tcW w:w="5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64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0.74</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0.94</w:t>
            </w:r>
          </w:p>
        </w:tc>
      </w:tr>
      <w:tr>
        <w:trPr>
          <w:trHeight w:val="20"/>
        </w:trPr>
        <w:tc>
          <w:tcPr>
            <w:tcW w:w="4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05"/>
        </w:trPr>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diluted shares</w:t>
            </w:r>
          </w:p>
        </w:tc>
        <w:tc>
          <w:tcPr>
            <w:tcW w:w="5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17,450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color w:val="auto"/>
              </w:rPr>
              <w:t>17,150</w:t>
            </w:r>
          </w:p>
        </w:tc>
        <w:tc>
          <w:tcPr>
            <w:tcW w:w="48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17,180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17,105</w:t>
            </w:r>
          </w:p>
        </w:tc>
      </w:tr>
      <w:tr>
        <w:trPr>
          <w:trHeight w:val="20"/>
        </w:trPr>
        <w:tc>
          <w:tcPr>
            <w:tcW w:w="4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085"/>
        </w:trPr>
        <w:tc>
          <w:tcPr>
            <w:tcW w:w="48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NN,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40" w:type="dxa"/>
            <w:vAlign w:val="bottom"/>
          </w:tcPr>
          <w:p>
            <w:pPr>
              <w:spacing w:after="0"/>
              <w:rPr>
                <w:sz w:val="17"/>
                <w:szCs w:val="17"/>
                <w:color w:val="auto"/>
              </w:rPr>
            </w:pPr>
          </w:p>
        </w:tc>
        <w:tc>
          <w:tcPr>
            <w:tcW w:w="2700" w:type="dxa"/>
            <w:vAlign w:val="bottom"/>
            <w:gridSpan w:val="4"/>
          </w:tcPr>
          <w:p>
            <w:pPr>
              <w:ind w:left="4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88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3"/>
        </w:trPr>
        <w:tc>
          <w:tcPr>
            <w:tcW w:w="5840" w:type="dxa"/>
            <w:vAlign w:val="bottom"/>
          </w:tcPr>
          <w:p>
            <w:pPr>
              <w:spacing w:after="0"/>
              <w:rPr>
                <w:sz w:val="20"/>
                <w:szCs w:val="20"/>
                <w:color w:val="auto"/>
              </w:rPr>
            </w:pPr>
          </w:p>
        </w:tc>
        <w:tc>
          <w:tcPr>
            <w:tcW w:w="14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2013</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2012</w:t>
            </w:r>
          </w:p>
        </w:tc>
        <w:tc>
          <w:tcPr>
            <w:tcW w:w="600" w:type="dxa"/>
            <w:vAlign w:val="bottom"/>
            <w:tcBorders>
              <w:bottom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840" w:type="dxa"/>
            <w:vAlign w:val="bottom"/>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Assets</w:t>
            </w:r>
          </w:p>
        </w:tc>
        <w:tc>
          <w:tcPr>
            <w:tcW w:w="1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Cash</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4,468</w:t>
            </w:r>
          </w:p>
        </w:tc>
        <w:tc>
          <w:tcPr>
            <w:tcW w:w="700" w:type="dxa"/>
            <w:vAlign w:val="bottom"/>
          </w:tcPr>
          <w:p>
            <w:pPr>
              <w:spacing w:after="0"/>
              <w:rPr>
                <w:sz w:val="17"/>
                <w:szCs w:val="17"/>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18,990</w:t>
            </w:r>
          </w:p>
        </w:tc>
        <w:tc>
          <w:tcPr>
            <w:tcW w:w="0" w:type="dxa"/>
            <w:vAlign w:val="bottom"/>
          </w:tcPr>
          <w:p>
            <w:pPr>
              <w:spacing w:after="0"/>
              <w:rPr>
                <w:sz w:val="1"/>
                <w:szCs w:val="1"/>
                <w:color w:val="auto"/>
              </w:rPr>
            </w:pPr>
          </w:p>
        </w:tc>
      </w:tr>
      <w:tr>
        <w:trPr>
          <w:trHeight w:val="20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14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65,783</w:t>
            </w: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51,628</w:t>
            </w:r>
          </w:p>
        </w:tc>
        <w:tc>
          <w:tcPr>
            <w:tcW w:w="0" w:type="dxa"/>
            <w:vAlign w:val="bottom"/>
          </w:tcPr>
          <w:p>
            <w:pPr>
              <w:spacing w:after="0"/>
              <w:rPr>
                <w:sz w:val="1"/>
                <w:szCs w:val="1"/>
                <w:color w:val="auto"/>
              </w:rPr>
            </w:pPr>
          </w:p>
        </w:tc>
      </w:tr>
      <w:tr>
        <w:trPr>
          <w:trHeight w:val="20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Inventories</w:t>
            </w:r>
          </w:p>
        </w:tc>
        <w:tc>
          <w:tcPr>
            <w:tcW w:w="14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48,109</w:t>
            </w: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46,150</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14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8,411</w:t>
            </w: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10,528</w:t>
            </w:r>
          </w:p>
        </w:tc>
        <w:tc>
          <w:tcPr>
            <w:tcW w:w="0" w:type="dxa"/>
            <w:vAlign w:val="bottom"/>
          </w:tcPr>
          <w:p>
            <w:pPr>
              <w:spacing w:after="0"/>
              <w:rPr>
                <w:sz w:val="1"/>
                <w:szCs w:val="1"/>
                <w:color w:val="auto"/>
              </w:rPr>
            </w:pPr>
          </w:p>
        </w:tc>
      </w:tr>
      <w:tr>
        <w:trPr>
          <w:trHeight w:val="223"/>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current assets</w:t>
            </w:r>
          </w:p>
        </w:tc>
        <w:tc>
          <w:tcPr>
            <w:tcW w:w="14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126,771</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127,296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4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7"/>
              </w:rPr>
              <w:t>117,488</w:t>
            </w: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119,687</w:t>
            </w:r>
          </w:p>
        </w:tc>
        <w:tc>
          <w:tcPr>
            <w:tcW w:w="0" w:type="dxa"/>
            <w:vAlign w:val="bottom"/>
          </w:tcPr>
          <w:p>
            <w:pPr>
              <w:spacing w:after="0"/>
              <w:rPr>
                <w:sz w:val="1"/>
                <w:szCs w:val="1"/>
                <w:color w:val="auto"/>
              </w:rPr>
            </w:pPr>
          </w:p>
        </w:tc>
      </w:tr>
      <w:tr>
        <w:trPr>
          <w:trHeight w:val="20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Goodwill and intangible assets, net</w:t>
            </w:r>
          </w:p>
        </w:tc>
        <w:tc>
          <w:tcPr>
            <w:tcW w:w="14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9,337</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9,154</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7,834</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9,206</w:t>
            </w:r>
          </w:p>
        </w:tc>
        <w:tc>
          <w:tcPr>
            <w:tcW w:w="0" w:type="dxa"/>
            <w:vAlign w:val="bottom"/>
          </w:tcPr>
          <w:p>
            <w:pPr>
              <w:spacing w:after="0"/>
              <w:rPr>
                <w:sz w:val="1"/>
                <w:szCs w:val="1"/>
                <w:color w:val="auto"/>
              </w:rPr>
            </w:pPr>
          </w:p>
        </w:tc>
      </w:tr>
      <w:tr>
        <w:trPr>
          <w:trHeight w:val="206"/>
        </w:trPr>
        <w:tc>
          <w:tcPr>
            <w:tcW w:w="5840" w:type="dxa"/>
            <w:vAlign w:val="bottom"/>
          </w:tcPr>
          <w:p>
            <w:pPr>
              <w:ind w:left="120"/>
              <w:spacing w:after="0" w:line="186" w:lineRule="exact"/>
              <w:rPr>
                <w:sz w:val="20"/>
                <w:szCs w:val="20"/>
                <w:color w:val="auto"/>
              </w:rPr>
            </w:pPr>
            <w:r>
              <w:rPr>
                <w:rFonts w:ascii="Times New Roman" w:cs="Times New Roman" w:eastAsia="Times New Roman" w:hAnsi="Times New Roman"/>
                <w:sz w:val="17"/>
                <w:szCs w:val="17"/>
                <w:color w:val="auto"/>
              </w:rPr>
              <w:t>Total assets</w:t>
            </w:r>
          </w:p>
        </w:tc>
        <w:tc>
          <w:tcPr>
            <w:tcW w:w="1420" w:type="dxa"/>
            <w:vAlign w:val="bottom"/>
            <w:tcBorders>
              <w:top w:val="single" w:sz="8" w:color="auto"/>
              <w:bottom w:val="single" w:sz="8" w:color="auto"/>
            </w:tcBorders>
          </w:tcPr>
          <w:p>
            <w:pPr>
              <w:jc w:val="right"/>
              <w:ind w:right="54"/>
              <w:spacing w:after="0" w:line="186"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7"/>
              </w:rPr>
              <w:t>261,430</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ind w:right="14"/>
              <w:spacing w:after="0" w:line="186"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265,343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58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43,172</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37,000</w:t>
            </w:r>
          </w:p>
        </w:tc>
        <w:tc>
          <w:tcPr>
            <w:tcW w:w="0" w:type="dxa"/>
            <w:vAlign w:val="bottom"/>
          </w:tcPr>
          <w:p>
            <w:pPr>
              <w:spacing w:after="0"/>
              <w:rPr>
                <w:sz w:val="1"/>
                <w:szCs w:val="1"/>
                <w:color w:val="auto"/>
              </w:rPr>
            </w:pPr>
          </w:p>
        </w:tc>
      </w:tr>
      <w:tr>
        <w:trPr>
          <w:trHeight w:val="20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Accrued salaries, wages and benefits</w:t>
            </w:r>
          </w:p>
        </w:tc>
        <w:tc>
          <w:tcPr>
            <w:tcW w:w="14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11,716</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10,174</w:t>
            </w:r>
          </w:p>
        </w:tc>
        <w:tc>
          <w:tcPr>
            <w:tcW w:w="0" w:type="dxa"/>
            <w:vAlign w:val="bottom"/>
          </w:tcPr>
          <w:p>
            <w:pPr>
              <w:spacing w:after="0"/>
              <w:rPr>
                <w:sz w:val="1"/>
                <w:szCs w:val="1"/>
                <w:color w:val="auto"/>
              </w:rPr>
            </w:pPr>
          </w:p>
        </w:tc>
      </w:tr>
      <w:tr>
        <w:trPr>
          <w:trHeight w:val="20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14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5,714</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5,801</w:t>
            </w:r>
          </w:p>
        </w:tc>
        <w:tc>
          <w:tcPr>
            <w:tcW w:w="0" w:type="dxa"/>
            <w:vAlign w:val="bottom"/>
          </w:tcPr>
          <w:p>
            <w:pPr>
              <w:spacing w:after="0"/>
              <w:rPr>
                <w:sz w:val="1"/>
                <w:szCs w:val="1"/>
                <w:color w:val="auto"/>
              </w:rPr>
            </w:pPr>
          </w:p>
        </w:tc>
      </w:tr>
      <w:tr>
        <w:trPr>
          <w:trHeight w:val="20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Income taxes payable</w:t>
            </w:r>
          </w:p>
        </w:tc>
        <w:tc>
          <w:tcPr>
            <w:tcW w:w="14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2,194</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543</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6,438</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5,240</w:t>
            </w:r>
          </w:p>
        </w:tc>
        <w:tc>
          <w:tcPr>
            <w:tcW w:w="0" w:type="dxa"/>
            <w:vAlign w:val="bottom"/>
          </w:tcPr>
          <w:p>
            <w:pPr>
              <w:spacing w:after="0"/>
              <w:rPr>
                <w:sz w:val="1"/>
                <w:szCs w:val="1"/>
                <w:color w:val="auto"/>
              </w:rPr>
            </w:pPr>
          </w:p>
        </w:tc>
      </w:tr>
      <w:tr>
        <w:trPr>
          <w:trHeight w:val="223"/>
        </w:trPr>
        <w:tc>
          <w:tcPr>
            <w:tcW w:w="5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69,234</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58,758</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Non-current deferred tax liabilities</w:t>
            </w:r>
          </w:p>
        </w:tc>
        <w:tc>
          <w:tcPr>
            <w:tcW w:w="14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3,850</w:t>
            </w:r>
          </w:p>
        </w:tc>
        <w:tc>
          <w:tcPr>
            <w:tcW w:w="0" w:type="dxa"/>
            <w:vAlign w:val="bottom"/>
          </w:tcPr>
          <w:p>
            <w:pPr>
              <w:spacing w:after="0"/>
              <w:rPr>
                <w:sz w:val="1"/>
                <w:szCs w:val="1"/>
                <w:color w:val="auto"/>
              </w:rPr>
            </w:pPr>
          </w:p>
        </w:tc>
      </w:tr>
      <w:tr>
        <w:trPr>
          <w:trHeight w:val="206"/>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142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33,000</w:t>
            </w:r>
          </w:p>
        </w:tc>
        <w:tc>
          <w:tcPr>
            <w:tcW w:w="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63,715</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4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10,368</w:t>
            </w: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10,460</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4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7"/>
              </w:rPr>
              <w:t>116,577</w:t>
            </w:r>
          </w:p>
        </w:tc>
        <w:tc>
          <w:tcPr>
            <w:tcW w:w="7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136,783</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144,853</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128,560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261,430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1020"/>
              <w:spacing w:after="0"/>
              <w:rPr>
                <w:sz w:val="20"/>
                <w:szCs w:val="20"/>
                <w:color w:val="auto"/>
              </w:rPr>
            </w:pPr>
            <w:r>
              <w:rPr>
                <w:rFonts w:ascii="Times New Roman" w:cs="Times New Roman" w:eastAsia="Times New Roman" w:hAnsi="Times New Roman"/>
                <w:sz w:val="17"/>
                <w:szCs w:val="17"/>
                <w:color w:val="auto"/>
              </w:rPr>
              <w:t>265,343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58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NN,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Non-GAAP to GAAP Financial Measures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740" w:type="dxa"/>
            <w:vAlign w:val="bottom"/>
            <w:gridSpan w:val="5"/>
          </w:tcPr>
          <w:p>
            <w:pPr>
              <w:ind w:left="7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gridSpan w:val="4"/>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2740" w:type="dxa"/>
            <w:vAlign w:val="bottom"/>
            <w:gridSpan w:val="5"/>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September 30, 2013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00" w:type="dxa"/>
            <w:vAlign w:val="bottom"/>
            <w:gridSpan w:val="4"/>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September 30, 2012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center"/>
              <w:ind w:left="214"/>
              <w:spacing w:after="0"/>
              <w:rPr>
                <w:sz w:val="20"/>
                <w:szCs w:val="20"/>
                <w:color w:val="auto"/>
              </w:rPr>
            </w:pPr>
            <w:r>
              <w:rPr>
                <w:rFonts w:ascii="Times New Roman" w:cs="Times New Roman" w:eastAsia="Times New Roman" w:hAnsi="Times New Roman"/>
                <w:sz w:val="17"/>
                <w:szCs w:val="17"/>
                <w:b w:val="1"/>
                <w:bCs w:val="1"/>
                <w:color w:val="auto"/>
              </w:rPr>
              <w:t>Diluted</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center"/>
              <w:ind w:left="234"/>
              <w:spacing w:after="0"/>
              <w:rPr>
                <w:sz w:val="20"/>
                <w:szCs w:val="20"/>
                <w:color w:val="auto"/>
              </w:rPr>
            </w:pPr>
            <w:r>
              <w:rPr>
                <w:rFonts w:ascii="Times New Roman" w:cs="Times New Roman" w:eastAsia="Times New Roman" w:hAnsi="Times New Roman"/>
                <w:sz w:val="17"/>
                <w:szCs w:val="17"/>
                <w:b w:val="1"/>
                <w:bCs w:val="1"/>
                <w:color w:val="auto"/>
              </w:rPr>
              <w:t>Diluted</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860" w:type="dxa"/>
            <w:vAlign w:val="bottom"/>
          </w:tcPr>
          <w:p>
            <w:pPr>
              <w:jc w:val="center"/>
              <w:ind w:left="374"/>
              <w:spacing w:after="0"/>
              <w:rPr>
                <w:sz w:val="20"/>
                <w:szCs w:val="20"/>
                <w:color w:val="auto"/>
              </w:rPr>
            </w:pPr>
            <w:r>
              <w:rPr>
                <w:rFonts w:ascii="Times New Roman" w:cs="Times New Roman" w:eastAsia="Times New Roman" w:hAnsi="Times New Roman"/>
                <w:sz w:val="17"/>
                <w:szCs w:val="17"/>
                <w:b w:val="1"/>
                <w:bCs w:val="1"/>
                <w:color w:val="auto"/>
                <w:w w:val="99"/>
              </w:rPr>
              <w:t>In</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center"/>
              <w:ind w:left="214"/>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In</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center"/>
              <w:ind w:left="234"/>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3"/>
        </w:trPr>
        <w:tc>
          <w:tcPr>
            <w:tcW w:w="4800" w:type="dxa"/>
            <w:vAlign w:val="bottom"/>
          </w:tcPr>
          <w:p>
            <w:pPr>
              <w:spacing w:after="0"/>
              <w:rPr>
                <w:sz w:val="20"/>
                <w:szCs w:val="20"/>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Thousands</w:t>
            </w:r>
          </w:p>
        </w:tc>
        <w:tc>
          <w:tcPr>
            <w:tcW w:w="1040" w:type="dxa"/>
            <w:vAlign w:val="bottom"/>
          </w:tcPr>
          <w:p>
            <w:pPr>
              <w:jc w:val="center"/>
              <w:ind w:left="214"/>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gridSpan w:val="3"/>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Thousands</w:t>
            </w:r>
          </w:p>
        </w:tc>
        <w:tc>
          <w:tcPr>
            <w:tcW w:w="1060" w:type="dxa"/>
            <w:vAlign w:val="bottom"/>
          </w:tcPr>
          <w:p>
            <w:pPr>
              <w:jc w:val="center"/>
              <w:ind w:left="234"/>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0"/>
        </w:trPr>
        <w:tc>
          <w:tcPr>
            <w:tcW w:w="480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tcBorders>
              <w:top w:val="single" w:sz="8" w:color="auto"/>
            </w:tcBorders>
          </w:tcPr>
          <w:p>
            <w:pPr>
              <w:ind w:left="720"/>
              <w:spacing w:after="0" w:line="190" w:lineRule="exact"/>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5,052</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Borders>
              <w:top w:val="single" w:sz="8" w:color="auto"/>
            </w:tcBorders>
          </w:tcPr>
          <w:p>
            <w:pPr>
              <w:jc w:val="right"/>
              <w:ind w:right="94"/>
              <w:spacing w:after="0" w:line="190"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93"/>
              </w:rPr>
              <w:t>0.29</w:t>
            </w:r>
          </w:p>
        </w:tc>
        <w:tc>
          <w:tcPr>
            <w:tcW w:w="380" w:type="dxa"/>
            <w:vAlign w:val="bottom"/>
          </w:tcPr>
          <w:p>
            <w:pPr>
              <w:spacing w:after="0"/>
              <w:rPr>
                <w:sz w:val="16"/>
                <w:szCs w:val="16"/>
                <w:color w:val="auto"/>
              </w:rPr>
            </w:pPr>
          </w:p>
        </w:tc>
        <w:tc>
          <w:tcPr>
            <w:tcW w:w="102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3,115</w:t>
            </w:r>
          </w:p>
        </w:tc>
        <w:tc>
          <w:tcPr>
            <w:tcW w:w="380" w:type="dxa"/>
            <w:vAlign w:val="bottom"/>
          </w:tcPr>
          <w:p>
            <w:pPr>
              <w:spacing w:after="0"/>
              <w:rPr>
                <w:sz w:val="16"/>
                <w:szCs w:val="16"/>
                <w:color w:val="auto"/>
              </w:rPr>
            </w:pPr>
          </w:p>
        </w:tc>
        <w:tc>
          <w:tcPr>
            <w:tcW w:w="1060" w:type="dxa"/>
            <w:vAlign w:val="bottom"/>
            <w:tcBorders>
              <w:top w:val="single" w:sz="8" w:color="auto"/>
            </w:tcBorders>
          </w:tcPr>
          <w:p>
            <w:pPr>
              <w:jc w:val="right"/>
              <w:ind w:right="134"/>
              <w:spacing w:after="0" w:line="190"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93"/>
              </w:rPr>
              <w:t>0.18</w:t>
            </w:r>
          </w:p>
        </w:tc>
        <w:tc>
          <w:tcPr>
            <w:tcW w:w="20" w:type="dxa"/>
            <w:vAlign w:val="bottom"/>
          </w:tcPr>
          <w:p>
            <w:pPr>
              <w:spacing w:after="0"/>
              <w:rPr>
                <w:sz w:val="16"/>
                <w:szCs w:val="16"/>
                <w:color w:val="auto"/>
              </w:rPr>
            </w:pPr>
          </w:p>
        </w:tc>
      </w:tr>
      <w:tr>
        <w:trPr>
          <w:trHeight w:val="206"/>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Foreign exchange (gain) loss on intercompany</w:t>
            </w: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loans</w:t>
            </w:r>
          </w:p>
        </w:tc>
        <w:tc>
          <w:tcPr>
            <w:tcW w:w="8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w:t>
            </w:r>
          </w:p>
        </w:tc>
        <w:tc>
          <w:tcPr>
            <w:tcW w:w="3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659</w:t>
            </w:r>
          </w:p>
        </w:tc>
        <w:tc>
          <w:tcPr>
            <w:tcW w:w="10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0.04</w:t>
            </w:r>
          </w:p>
        </w:tc>
      </w:tr>
      <w:tr>
        <w:trPr>
          <w:trHeight w:val="26"/>
        </w:trPr>
        <w:tc>
          <w:tcPr>
            <w:tcW w:w="48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gridSpan w:val="2"/>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13"/>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Net Income from normal operations</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5,008</w:t>
            </w:r>
          </w:p>
        </w:tc>
        <w:tc>
          <w:tcPr>
            <w:tcW w:w="360" w:type="dxa"/>
            <w:vAlign w:val="bottom"/>
          </w:tcPr>
          <w:p>
            <w:pPr>
              <w:spacing w:after="0"/>
              <w:rPr>
                <w:sz w:val="24"/>
                <w:szCs w:val="24"/>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0.29</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3,774</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0.22</w:t>
            </w:r>
          </w:p>
        </w:tc>
      </w:tr>
      <w:tr>
        <w:trPr>
          <w:trHeight w:val="20"/>
        </w:trPr>
        <w:tc>
          <w:tcPr>
            <w:tcW w:w="4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80" w:type="dxa"/>
            <w:vAlign w:val="bottom"/>
            <w:gridSpan w:val="4"/>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40" w:type="dxa"/>
            <w:vAlign w:val="bottom"/>
            <w:gridSpan w:val="3"/>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80" w:type="dxa"/>
            <w:vAlign w:val="bottom"/>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September 30, 2013</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40" w:type="dxa"/>
            <w:vAlign w:val="bottom"/>
            <w:gridSpan w:val="3"/>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September 30, 2012</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center"/>
              <w:ind w:left="214"/>
              <w:spacing w:after="0"/>
              <w:rPr>
                <w:sz w:val="20"/>
                <w:szCs w:val="20"/>
                <w:color w:val="auto"/>
              </w:rPr>
            </w:pPr>
            <w:r>
              <w:rPr>
                <w:rFonts w:ascii="Times New Roman" w:cs="Times New Roman" w:eastAsia="Times New Roman" w:hAnsi="Times New Roman"/>
                <w:sz w:val="17"/>
                <w:szCs w:val="17"/>
                <w:b w:val="1"/>
                <w:bCs w:val="1"/>
                <w:color w:val="auto"/>
              </w:rPr>
              <w:t>Diluted</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center"/>
              <w:ind w:left="234"/>
              <w:spacing w:after="0"/>
              <w:rPr>
                <w:sz w:val="20"/>
                <w:szCs w:val="20"/>
                <w:color w:val="auto"/>
              </w:rPr>
            </w:pPr>
            <w:r>
              <w:rPr>
                <w:rFonts w:ascii="Times New Roman" w:cs="Times New Roman" w:eastAsia="Times New Roman" w:hAnsi="Times New Roman"/>
                <w:sz w:val="17"/>
                <w:szCs w:val="17"/>
                <w:b w:val="1"/>
                <w:bCs w:val="1"/>
                <w:color w:val="auto"/>
              </w:rPr>
              <w:t>Diluted</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spacing w:after="0"/>
              <w:rPr>
                <w:sz w:val="17"/>
                <w:szCs w:val="17"/>
                <w:color w:val="auto"/>
              </w:rPr>
            </w:pPr>
          </w:p>
        </w:tc>
        <w:tc>
          <w:tcPr>
            <w:tcW w:w="760" w:type="dxa"/>
            <w:vAlign w:val="bottom"/>
          </w:tcPr>
          <w:p>
            <w:pPr>
              <w:jc w:val="center"/>
              <w:ind w:left="474"/>
              <w:spacing w:after="0"/>
              <w:rPr>
                <w:sz w:val="20"/>
                <w:szCs w:val="20"/>
                <w:color w:val="auto"/>
              </w:rPr>
            </w:pPr>
            <w:r>
              <w:rPr>
                <w:rFonts w:ascii="Times New Roman" w:cs="Times New Roman" w:eastAsia="Times New Roman" w:hAnsi="Times New Roman"/>
                <w:sz w:val="17"/>
                <w:szCs w:val="17"/>
                <w:b w:val="1"/>
                <w:bCs w:val="1"/>
                <w:color w:val="auto"/>
                <w:w w:val="99"/>
              </w:rPr>
              <w:t>In</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center"/>
              <w:ind w:left="214"/>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In</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center"/>
              <w:ind w:left="234"/>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3"/>
        </w:trPr>
        <w:tc>
          <w:tcPr>
            <w:tcW w:w="4800" w:type="dxa"/>
            <w:vAlign w:val="bottom"/>
          </w:tcPr>
          <w:p>
            <w:pPr>
              <w:spacing w:after="0"/>
              <w:rPr>
                <w:sz w:val="20"/>
                <w:szCs w:val="20"/>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Thousands</w:t>
            </w:r>
          </w:p>
        </w:tc>
        <w:tc>
          <w:tcPr>
            <w:tcW w:w="1040" w:type="dxa"/>
            <w:vAlign w:val="bottom"/>
          </w:tcPr>
          <w:p>
            <w:pPr>
              <w:jc w:val="center"/>
              <w:ind w:left="214"/>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gridSpan w:val="3"/>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Thousands</w:t>
            </w:r>
          </w:p>
        </w:tc>
        <w:tc>
          <w:tcPr>
            <w:tcW w:w="1060" w:type="dxa"/>
            <w:vAlign w:val="bottom"/>
          </w:tcPr>
          <w:p>
            <w:pPr>
              <w:jc w:val="center"/>
              <w:ind w:left="234"/>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0"/>
        </w:trPr>
        <w:tc>
          <w:tcPr>
            <w:tcW w:w="480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Net Income</w:t>
            </w:r>
          </w:p>
        </w:tc>
        <w:tc>
          <w:tcPr>
            <w:tcW w:w="760" w:type="dxa"/>
            <w:vAlign w:val="bottom"/>
            <w:tcBorders>
              <w:top w:val="single" w:sz="8" w:color="auto"/>
            </w:tcBorders>
          </w:tcPr>
          <w:p>
            <w:pPr>
              <w:jc w:val="center"/>
              <w:ind w:left="514"/>
              <w:spacing w:after="0" w:line="190" w:lineRule="exact"/>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12,693</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Borders>
              <w:top w:val="single" w:sz="8" w:color="auto"/>
            </w:tcBorders>
          </w:tcPr>
          <w:p>
            <w:pPr>
              <w:jc w:val="right"/>
              <w:ind w:right="94"/>
              <w:spacing w:after="0" w:line="190"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93"/>
              </w:rPr>
              <w:t>0.74</w:t>
            </w:r>
          </w:p>
        </w:tc>
        <w:tc>
          <w:tcPr>
            <w:tcW w:w="380" w:type="dxa"/>
            <w:vAlign w:val="bottom"/>
          </w:tcPr>
          <w:p>
            <w:pPr>
              <w:spacing w:after="0"/>
              <w:rPr>
                <w:sz w:val="16"/>
                <w:szCs w:val="16"/>
                <w:color w:val="auto"/>
              </w:rPr>
            </w:pPr>
          </w:p>
        </w:tc>
        <w:tc>
          <w:tcPr>
            <w:tcW w:w="86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16,062</w:t>
            </w:r>
          </w:p>
        </w:tc>
        <w:tc>
          <w:tcPr>
            <w:tcW w:w="380" w:type="dxa"/>
            <w:vAlign w:val="bottom"/>
          </w:tcPr>
          <w:p>
            <w:pPr>
              <w:spacing w:after="0"/>
              <w:rPr>
                <w:sz w:val="16"/>
                <w:szCs w:val="16"/>
                <w:color w:val="auto"/>
              </w:rPr>
            </w:pPr>
          </w:p>
        </w:tc>
        <w:tc>
          <w:tcPr>
            <w:tcW w:w="1060" w:type="dxa"/>
            <w:vAlign w:val="bottom"/>
            <w:tcBorders>
              <w:top w:val="single" w:sz="8" w:color="auto"/>
            </w:tcBorders>
          </w:tcPr>
          <w:p>
            <w:pPr>
              <w:jc w:val="right"/>
              <w:ind w:right="134"/>
              <w:spacing w:after="0" w:line="190"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w w:val="93"/>
              </w:rPr>
              <w:t>0.94</w:t>
            </w:r>
          </w:p>
        </w:tc>
        <w:tc>
          <w:tcPr>
            <w:tcW w:w="20" w:type="dxa"/>
            <w:vAlign w:val="bottom"/>
          </w:tcPr>
          <w:p>
            <w:pPr>
              <w:spacing w:after="0"/>
              <w:rPr>
                <w:sz w:val="16"/>
                <w:szCs w:val="16"/>
                <w:color w:val="auto"/>
              </w:rPr>
            </w:pPr>
          </w:p>
        </w:tc>
      </w:tr>
      <w:tr>
        <w:trPr>
          <w:trHeight w:val="206"/>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Foreign exchange loss on intercompany</w:t>
            </w: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loans</w:t>
            </w:r>
          </w:p>
        </w:tc>
        <w:tc>
          <w:tcPr>
            <w:tcW w:w="76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168</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w w:val="93"/>
              </w:rPr>
              <w:t>0.01</w:t>
            </w:r>
          </w:p>
        </w:tc>
        <w:tc>
          <w:tcPr>
            <w:tcW w:w="86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284</w:t>
            </w:r>
          </w:p>
        </w:tc>
        <w:tc>
          <w:tcPr>
            <w:tcW w:w="106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0.02</w:t>
            </w: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After-tax restructuring and other non-recurring item</w:t>
            </w:r>
          </w:p>
        </w:tc>
        <w:tc>
          <w:tcPr>
            <w:tcW w:w="7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399</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0.02</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4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13"/>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Net Income from normal operations</w:t>
            </w:r>
          </w:p>
        </w:tc>
        <w:tc>
          <w:tcPr>
            <w:tcW w:w="7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13,260</w:t>
            </w:r>
          </w:p>
        </w:tc>
        <w:tc>
          <w:tcPr>
            <w:tcW w:w="360" w:type="dxa"/>
            <w:vAlign w:val="bottom"/>
          </w:tcPr>
          <w:p>
            <w:pPr>
              <w:spacing w:after="0"/>
              <w:rPr>
                <w:sz w:val="24"/>
                <w:szCs w:val="24"/>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0.77</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16,346</w:t>
            </w: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0.96</w:t>
            </w:r>
          </w:p>
        </w:tc>
      </w:tr>
      <w:tr>
        <w:trPr>
          <w:trHeight w:val="20"/>
        </w:trPr>
        <w:tc>
          <w:tcPr>
            <w:tcW w:w="4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sectPr>
      <w:pgSz w:w="11900" w:h="16838" w:orient="portrait"/>
      <w:cols w:equalWidth="0" w:num="1">
        <w:col w:w="11420"/>
      </w:cols>
      <w:pgMar w:left="240" w:top="49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upperLetter"/>
      <w:start w:val="4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2019-12-06T11:17:32Z</dcterms:created>
  <dcterms:modified xsi:type="dcterms:W3CDTF">2019-12-06T11:17:32Z</dcterms:modified>
</cp:coreProperties>
</file>