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51435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40005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72" w:lineRule="exact"/>
        <w:rPr>
          <w:sz w:val="24"/>
          <w:szCs w:val="24"/>
          <w:color w:val="auto"/>
        </w:rPr>
      </w:pPr>
    </w:p>
    <w:p>
      <w:pPr>
        <w:ind w:left="3980" w:right="2080" w:hanging="3954"/>
        <w:spacing w:after="0" w:line="371" w:lineRule="auto"/>
        <w:tabs>
          <w:tab w:leader="none" w:pos="6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PURSUANT TO SECTION 13 OR 15(d) OF THE SECURITIES EXCHANGE ACT OF 1934 For the fiscal year ended </w:t>
      </w:r>
      <w:r>
        <w:rPr>
          <w:rFonts w:ascii="Arial" w:cs="Arial" w:eastAsia="Arial" w:hAnsi="Arial"/>
          <w:sz w:val="18"/>
          <w:szCs w:val="18"/>
          <w:b w:val="1"/>
          <w:bCs w:val="1"/>
          <w:color w:val="auto"/>
        </w:rPr>
        <w:t>December 31, 2021</w:t>
      </w:r>
    </w:p>
    <w:p>
      <w:pPr>
        <w:spacing w:after="0" w:line="29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2" w:lineRule="exact"/>
        <w:rPr>
          <w:sz w:val="24"/>
          <w:szCs w:val="24"/>
          <w:color w:val="auto"/>
        </w:rPr>
      </w:pPr>
    </w:p>
    <w:p>
      <w:pPr>
        <w:ind w:left="35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3620135</wp:posOffset>
            </wp:positionH>
            <wp:positionV relativeFrom="paragraph">
              <wp:posOffset>-10160</wp:posOffset>
            </wp:positionV>
            <wp:extent cx="1288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137160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240030</wp:posOffset>
            </wp:positionV>
            <wp:extent cx="428625"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NN, Inc.</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90805</wp:posOffset>
            </wp:positionV>
            <wp:extent cx="2631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620" w:type="dxa"/>
            <w:vAlign w:val="bottom"/>
            <w:gridSpan w:val="3"/>
          </w:tcPr>
          <w:p>
            <w:pPr>
              <w:jc w:val="center"/>
              <w:ind w:left="576"/>
              <w:spacing w:after="0"/>
              <w:rPr>
                <w:sz w:val="20"/>
                <w:szCs w:val="20"/>
                <w:color w:val="auto"/>
              </w:rPr>
            </w:pPr>
            <w:r>
              <w:rPr>
                <w:rFonts w:ascii="Arial" w:cs="Arial" w:eastAsia="Arial" w:hAnsi="Arial"/>
                <w:sz w:val="18"/>
                <w:szCs w:val="18"/>
                <w:b w:val="1"/>
                <w:bCs w:val="1"/>
                <w:color w:val="auto"/>
                <w:w w:val="91"/>
              </w:rPr>
              <w:t>Delaware</w:t>
            </w:r>
          </w:p>
        </w:tc>
        <w:tc>
          <w:tcPr>
            <w:tcW w:w="26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62-1096725</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620" w:type="dxa"/>
            <w:vAlign w:val="bottom"/>
            <w:gridSpan w:val="3"/>
          </w:tcPr>
          <w:p>
            <w:pPr>
              <w:jc w:val="center"/>
              <w:ind w:left="57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700" w:type="dxa"/>
            <w:vAlign w:val="bottom"/>
            <w:gridSpan w:val="5"/>
          </w:tcPr>
          <w:p>
            <w:pPr>
              <w:jc w:val="right"/>
              <w:spacing w:after="0"/>
              <w:rPr>
                <w:sz w:val="20"/>
                <w:szCs w:val="20"/>
                <w:color w:val="auto"/>
              </w:rPr>
            </w:pPr>
            <w:r>
              <w:rPr>
                <w:rFonts w:ascii="Arial" w:cs="Arial" w:eastAsia="Arial" w:hAnsi="Arial"/>
                <w:sz w:val="14"/>
                <w:szCs w:val="14"/>
                <w:color w:val="auto"/>
              </w:rPr>
              <w:t>(I.R.S. Employer Identification Number)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20" w:type="dxa"/>
            <w:vAlign w:val="bottom"/>
            <w:gridSpan w:val="3"/>
          </w:tcPr>
          <w:p>
            <w:pPr>
              <w:jc w:val="center"/>
              <w:ind w:left="576"/>
              <w:spacing w:after="0"/>
              <w:rPr>
                <w:sz w:val="20"/>
                <w:szCs w:val="20"/>
                <w:color w:val="auto"/>
              </w:rPr>
            </w:pPr>
            <w:r>
              <w:rPr>
                <w:rFonts w:ascii="Arial" w:cs="Arial" w:eastAsia="Arial" w:hAnsi="Arial"/>
                <w:sz w:val="18"/>
                <w:szCs w:val="18"/>
                <w:b w:val="1"/>
                <w:bCs w:val="1"/>
                <w:color w:val="auto"/>
                <w:w w:val="91"/>
              </w:rPr>
              <w:t>6210 Ardrey Kell Road, Suite 600</w:t>
            </w:r>
          </w:p>
        </w:tc>
        <w:tc>
          <w:tcPr>
            <w:tcW w:w="2680" w:type="dxa"/>
            <w:vAlign w:val="bottom"/>
          </w:tcPr>
          <w:p>
            <w:pPr>
              <w:spacing w:after="0"/>
              <w:rPr>
                <w:sz w:val="21"/>
                <w:szCs w:val="21"/>
                <w:color w:val="auto"/>
              </w:rPr>
            </w:pPr>
          </w:p>
        </w:tc>
        <w:tc>
          <w:tcPr>
            <w:tcW w:w="1320" w:type="dxa"/>
            <w:vAlign w:val="bottom"/>
            <w:gridSpan w:val="3"/>
            <w:vMerge w:val="restart"/>
          </w:tcPr>
          <w:p>
            <w:pPr>
              <w:jc w:val="right"/>
              <w:ind w:right="188"/>
              <w:spacing w:after="0"/>
              <w:rPr>
                <w:sz w:val="20"/>
                <w:szCs w:val="20"/>
                <w:color w:val="auto"/>
              </w:rPr>
            </w:pPr>
            <w:r>
              <w:rPr>
                <w:rFonts w:ascii="Arial" w:cs="Arial" w:eastAsia="Arial" w:hAnsi="Arial"/>
                <w:sz w:val="18"/>
                <w:szCs w:val="18"/>
                <w:b w:val="1"/>
                <w:bCs w:val="1"/>
                <w:color w:val="auto"/>
              </w:rPr>
              <w:t>28277</w:t>
            </w: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20" w:type="dxa"/>
            <w:vAlign w:val="bottom"/>
            <w:gridSpan w:val="3"/>
          </w:tcPr>
          <w:p>
            <w:pPr>
              <w:jc w:val="center"/>
              <w:ind w:left="576"/>
              <w:spacing w:after="0"/>
              <w:rPr>
                <w:sz w:val="20"/>
                <w:szCs w:val="20"/>
                <w:color w:val="auto"/>
              </w:rPr>
            </w:pPr>
            <w:r>
              <w:rPr>
                <w:rFonts w:ascii="Arial" w:cs="Arial" w:eastAsia="Arial" w:hAnsi="Arial"/>
                <w:sz w:val="18"/>
                <w:szCs w:val="18"/>
                <w:b w:val="1"/>
                <w:bCs w:val="1"/>
                <w:color w:val="auto"/>
                <w:w w:val="93"/>
              </w:rPr>
              <w:t>Charlotte, North Carolina</w:t>
            </w:r>
          </w:p>
        </w:tc>
        <w:tc>
          <w:tcPr>
            <w:tcW w:w="2680" w:type="dxa"/>
            <w:vAlign w:val="bottom"/>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620" w:type="dxa"/>
            <w:vAlign w:val="bottom"/>
            <w:gridSpan w:val="3"/>
          </w:tcPr>
          <w:p>
            <w:pPr>
              <w:jc w:val="center"/>
              <w:ind w:left="576"/>
              <w:spacing w:after="0"/>
              <w:rPr>
                <w:sz w:val="20"/>
                <w:szCs w:val="20"/>
                <w:color w:val="auto"/>
              </w:rPr>
            </w:pPr>
            <w:r>
              <w:rPr>
                <w:rFonts w:ascii="Arial" w:cs="Arial" w:eastAsia="Arial" w:hAnsi="Arial"/>
                <w:sz w:val="14"/>
                <w:szCs w:val="14"/>
                <w:color w:val="auto"/>
                <w:w w:val="95"/>
              </w:rPr>
              <w:t>(Address of principal executive offices)</w:t>
            </w:r>
          </w:p>
        </w:tc>
        <w:tc>
          <w:tcPr>
            <w:tcW w:w="2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(Zip Code)</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tcPr>
          <w:p>
            <w:pPr>
              <w:jc w:val="center"/>
              <w:ind w:right="599"/>
              <w:spacing w:after="0"/>
              <w:rPr>
                <w:sz w:val="20"/>
                <w:szCs w:val="20"/>
                <w:color w:val="auto"/>
              </w:rPr>
            </w:pPr>
            <w:r>
              <w:rPr>
                <w:rFonts w:ascii="Arial" w:cs="Arial" w:eastAsia="Arial" w:hAnsi="Arial"/>
                <w:sz w:val="18"/>
                <w:szCs w:val="18"/>
                <w:b w:val="1"/>
                <w:bCs w:val="1"/>
                <w:color w:val="auto"/>
                <w:w w:val="90"/>
              </w:rPr>
              <w:t>(980) 264-4300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gridSpan w:val="2"/>
          </w:tcPr>
          <w:p>
            <w:pPr>
              <w:jc w:val="center"/>
              <w:ind w:left="308"/>
              <w:spacing w:after="0"/>
              <w:rPr>
                <w:sz w:val="20"/>
                <w:szCs w:val="20"/>
                <w:color w:val="auto"/>
              </w:rPr>
            </w:pPr>
            <w:r>
              <w:rPr>
                <w:rFonts w:ascii="Arial" w:cs="Arial" w:eastAsia="Arial" w:hAnsi="Arial"/>
                <w:sz w:val="14"/>
                <w:szCs w:val="14"/>
                <w:color w:val="auto"/>
                <w:w w:val="92"/>
              </w:rPr>
              <w:t>(Registrant’s telephone number, including area code)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2"/>
          </w:tcPr>
          <w:p>
            <w:pPr>
              <w:jc w:val="center"/>
              <w:ind w:left="3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20" w:type="dxa"/>
            <w:vAlign w:val="bottom"/>
            <w:gridSpan w:val="3"/>
          </w:tcPr>
          <w:p>
            <w:pPr>
              <w:jc w:val="center"/>
              <w:ind w:right="388"/>
              <w:spacing w:after="0"/>
              <w:rPr>
                <w:sz w:val="20"/>
                <w:szCs w:val="20"/>
                <w:color w:val="auto"/>
              </w:rPr>
            </w:pPr>
            <w:r>
              <w:rPr>
                <w:rFonts w:ascii="Arial" w:cs="Arial" w:eastAsia="Arial" w:hAnsi="Arial"/>
                <w:sz w:val="14"/>
                <w:szCs w:val="14"/>
                <w:i w:val="1"/>
                <w:iCs w:val="1"/>
                <w:color w:val="auto"/>
                <w:w w:val="92"/>
              </w:rPr>
              <w:t>Title of each class</w:t>
            </w:r>
          </w:p>
        </w:tc>
        <w:tc>
          <w:tcPr>
            <w:tcW w:w="2680" w:type="dxa"/>
            <w:vAlign w:val="bottom"/>
          </w:tcPr>
          <w:p>
            <w:pPr>
              <w:jc w:val="center"/>
              <w:ind w:right="1179"/>
              <w:spacing w:after="0"/>
              <w:rPr>
                <w:sz w:val="20"/>
                <w:szCs w:val="20"/>
                <w:color w:val="auto"/>
              </w:rPr>
            </w:pPr>
            <w:r>
              <w:rPr>
                <w:rFonts w:ascii="Arial" w:cs="Arial" w:eastAsia="Arial" w:hAnsi="Arial"/>
                <w:sz w:val="14"/>
                <w:szCs w:val="14"/>
                <w:i w:val="1"/>
                <w:iCs w:val="1"/>
                <w:color w:val="auto"/>
                <w:w w:val="94"/>
              </w:rPr>
              <w:t>Trading symbol</w:t>
            </w:r>
          </w:p>
        </w:tc>
        <w:tc>
          <w:tcPr>
            <w:tcW w:w="2660" w:type="dxa"/>
            <w:vAlign w:val="bottom"/>
            <w:gridSpan w:val="5"/>
          </w:tcPr>
          <w:p>
            <w:pPr>
              <w:jc w:val="center"/>
              <w:ind w:right="10"/>
              <w:spacing w:after="0"/>
              <w:rPr>
                <w:sz w:val="20"/>
                <w:szCs w:val="20"/>
                <w:color w:val="auto"/>
              </w:rPr>
            </w:pPr>
            <w:r>
              <w:rPr>
                <w:rFonts w:ascii="Arial" w:cs="Arial" w:eastAsia="Arial" w:hAnsi="Arial"/>
                <w:sz w:val="14"/>
                <w:szCs w:val="14"/>
                <w:i w:val="1"/>
                <w:iCs w:val="1"/>
                <w:color w:val="auto"/>
                <w:w w:val="90"/>
              </w:rPr>
              <w:t>Name of each exchange on which registered</w:t>
            </w:r>
          </w:p>
        </w:tc>
        <w:tc>
          <w:tcPr>
            <w:tcW w:w="0" w:type="dxa"/>
            <w:vAlign w:val="bottom"/>
          </w:tcPr>
          <w:p>
            <w:pPr>
              <w:spacing w:after="0"/>
              <w:rPr>
                <w:sz w:val="1"/>
                <w:szCs w:val="1"/>
                <w:color w:val="auto"/>
              </w:rPr>
            </w:pPr>
          </w:p>
        </w:tc>
      </w:tr>
      <w:tr>
        <w:trPr>
          <w:trHeight w:val="241"/>
        </w:trPr>
        <w:tc>
          <w:tcPr>
            <w:tcW w:w="4620" w:type="dxa"/>
            <w:vAlign w:val="bottom"/>
            <w:gridSpan w:val="3"/>
          </w:tcPr>
          <w:p>
            <w:pPr>
              <w:jc w:val="center"/>
              <w:ind w:right="388"/>
              <w:spacing w:after="0"/>
              <w:rPr>
                <w:sz w:val="20"/>
                <w:szCs w:val="20"/>
                <w:color w:val="auto"/>
              </w:rPr>
            </w:pPr>
            <w:r>
              <w:rPr>
                <w:rFonts w:ascii="Arial" w:cs="Arial" w:eastAsia="Arial" w:hAnsi="Arial"/>
                <w:sz w:val="18"/>
                <w:szCs w:val="18"/>
                <w:b w:val="1"/>
                <w:bCs w:val="1"/>
                <w:color w:val="auto"/>
                <w:w w:val="89"/>
              </w:rPr>
              <w:t>Common Stock, par value $0.01</w:t>
            </w:r>
          </w:p>
        </w:tc>
        <w:tc>
          <w:tcPr>
            <w:tcW w:w="2680" w:type="dxa"/>
            <w:vAlign w:val="bottom"/>
          </w:tcPr>
          <w:p>
            <w:pPr>
              <w:jc w:val="center"/>
              <w:ind w:right="1179"/>
              <w:spacing w:after="0"/>
              <w:rPr>
                <w:sz w:val="20"/>
                <w:szCs w:val="20"/>
                <w:color w:val="auto"/>
              </w:rPr>
            </w:pPr>
            <w:r>
              <w:rPr>
                <w:rFonts w:ascii="Arial" w:cs="Arial" w:eastAsia="Arial" w:hAnsi="Arial"/>
                <w:sz w:val="18"/>
                <w:szCs w:val="18"/>
                <w:b w:val="1"/>
                <w:bCs w:val="1"/>
                <w:color w:val="auto"/>
                <w:w w:val="96"/>
              </w:rPr>
              <w:t>NNBR</w:t>
            </w:r>
          </w:p>
        </w:tc>
        <w:tc>
          <w:tcPr>
            <w:tcW w:w="266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366"/>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5"/>
          </w:tcPr>
          <w:p>
            <w:pPr>
              <w:jc w:val="center"/>
              <w:ind w:right="868"/>
              <w:spacing w:after="0"/>
              <w:rPr>
                <w:sz w:val="20"/>
                <w:szCs w:val="20"/>
                <w:color w:val="auto"/>
              </w:rPr>
            </w:pPr>
            <w:r>
              <w:rPr>
                <w:rFonts w:ascii="Arial" w:cs="Arial" w:eastAsia="Arial" w:hAnsi="Arial"/>
                <w:sz w:val="14"/>
                <w:szCs w:val="14"/>
                <w:color w:val="auto"/>
                <w:w w:val="93"/>
              </w:rPr>
              <w:t xml:space="preserve">Securities registered pursuant to Section 12(g) of the Act: </w:t>
            </w:r>
            <w:r>
              <w:rPr>
                <w:rFonts w:ascii="Arial" w:cs="Arial" w:eastAsia="Arial" w:hAnsi="Arial"/>
                <w:sz w:val="14"/>
                <w:szCs w:val="14"/>
                <w:b w:val="1"/>
                <w:bCs w:val="1"/>
                <w:color w:val="auto"/>
                <w:w w:val="93"/>
              </w:rPr>
              <w:t>None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4140" w:type="dxa"/>
            <w:vAlign w:val="bottom"/>
            <w:tcBorders>
              <w:bottom w:val="single" w:sz="8" w:color="auto"/>
            </w:tcBorders>
            <w:gridSpan w:val="4"/>
          </w:tcPr>
          <w:p>
            <w:pPr>
              <w:spacing w:after="0"/>
              <w:rPr>
                <w:sz w:val="11"/>
                <w:szCs w:val="11"/>
                <w:color w:val="auto"/>
              </w:rPr>
            </w:pPr>
          </w:p>
        </w:tc>
        <w:tc>
          <w:tcPr>
            <w:tcW w:w="940" w:type="dxa"/>
            <w:vAlign w:val="bottom"/>
            <w:gridSpan w:val="2"/>
          </w:tcPr>
          <w:p>
            <w:pPr>
              <w:spacing w:after="0"/>
              <w:rPr>
                <w:sz w:val="11"/>
                <w:szCs w:val="11"/>
                <w:color w:val="auto"/>
              </w:rPr>
            </w:pPr>
          </w:p>
        </w:tc>
        <w:tc>
          <w:tcPr>
            <w:tcW w:w="700" w:type="dxa"/>
            <w:vAlign w:val="bottom"/>
            <w:vMerge w:val="restart"/>
          </w:tcPr>
          <w:p>
            <w:pPr>
              <w:jc w:val="right"/>
              <w:ind w:right="9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862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w:t>
      </w:r>
    </w:p>
    <w:p>
      <w:pPr>
        <w:spacing w:after="0" w:line="1" w:lineRule="exact"/>
        <w:rPr>
          <w:sz w:val="24"/>
          <w:szCs w:val="24"/>
          <w:color w:val="auto"/>
        </w:rPr>
      </w:pPr>
    </w:p>
    <w:p>
      <w:pPr>
        <w:ind w:left="180"/>
        <w:spacing w:after="0" w:line="207" w:lineRule="exact"/>
        <w:tabs>
          <w:tab w:leader="none" w:pos="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0"/>
          <w:szCs w:val="20"/>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0"/>
          <w:szCs w:val="20"/>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was approximately $158 million as of June 30, 2021, the last business day of the registrant’s most recently completed second fiscal quarter, computed using the closing price of the registrant’s common stock as quoted on the Nasdaq Stock Market LLC on that date of $7.35.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of March 4, 2022, there were 43,297,653 shares of the registrant’s common stock, par value $0.01 per share, outstanding.</w:t>
      </w:r>
    </w:p>
    <w:p>
      <w:pPr>
        <w:spacing w:after="0" w:line="1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Portions of the Proxy Statement with respect to the 2022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60" w:type="dxa"/>
            <w:vAlign w:val="bottom"/>
            <w:gridSpan w:val="9"/>
          </w:tcPr>
          <w:p>
            <w:pPr>
              <w:jc w:val="center"/>
              <w:ind w:right="4440"/>
              <w:spacing w:after="0"/>
              <w:rPr>
                <w:sz w:val="20"/>
                <w:szCs w:val="20"/>
                <w:color w:val="auto"/>
              </w:rPr>
            </w:pPr>
            <w:r>
              <w:rPr>
                <w:rFonts w:ascii="Arial" w:cs="Arial" w:eastAsia="Arial" w:hAnsi="Arial"/>
                <w:sz w:val="18"/>
                <w:szCs w:val="18"/>
                <w:b w:val="1"/>
                <w:bCs w:val="1"/>
                <w:color w:val="auto"/>
                <w:w w:val="95"/>
              </w:rPr>
              <w:t>NN,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60" w:type="dxa"/>
            <w:vAlign w:val="bottom"/>
            <w:gridSpan w:val="9"/>
          </w:tcPr>
          <w:p>
            <w:pPr>
              <w:jc w:val="center"/>
              <w:ind w:right="4420"/>
              <w:spacing w:after="0"/>
              <w:rPr>
                <w:sz w:val="20"/>
                <w:szCs w:val="20"/>
                <w:color w:val="auto"/>
              </w:rPr>
            </w:pPr>
            <w:r>
              <w:rPr>
                <w:rFonts w:ascii="Arial" w:cs="Arial" w:eastAsia="Arial" w:hAnsi="Arial"/>
                <w:sz w:val="18"/>
                <w:szCs w:val="18"/>
                <w:b w:val="1"/>
                <w:bCs w:val="1"/>
                <w:color w:val="auto"/>
              </w:rPr>
              <w:t>INDEX</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Page</w:t>
            </w:r>
          </w:p>
        </w:tc>
        <w:tc>
          <w:tcPr>
            <w:tcW w:w="120" w:type="dxa"/>
            <w:vAlign w:val="bottom"/>
            <w:gridSpan w:val="3"/>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82"/>
              </w:rPr>
            </w:pPr>
            <w:hyperlink w:anchor="page4">
              <w:r>
                <w:rPr>
                  <w:rFonts w:ascii="Arial" w:cs="Arial" w:eastAsia="Arial" w:hAnsi="Arial"/>
                  <w:sz w:val="18"/>
                  <w:szCs w:val="18"/>
                  <w:color w:val="0000FF"/>
                  <w:w w:val="82"/>
                </w:rPr>
                <w:t>PART I</w:t>
              </w:r>
            </w:hyperlink>
          </w:p>
        </w:tc>
        <w:tc>
          <w:tcPr>
            <w:tcW w:w="100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5"/>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928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420" w:type="dxa"/>
            <w:vAlign w:val="bottom"/>
            <w:gridSpan w:val="5"/>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rFonts w:ascii="Arial" w:cs="Arial" w:eastAsia="Arial" w:hAnsi="Arial"/>
                <w:sz w:val="18"/>
                <w:szCs w:val="18"/>
                <w:color w:val="0000FF"/>
                <w:w w:val="77"/>
              </w:rPr>
            </w:pPr>
            <w:hyperlink w:anchor="page11">
              <w:r>
                <w:rPr>
                  <w:rFonts w:ascii="Arial" w:cs="Arial" w:eastAsia="Arial" w:hAnsi="Arial"/>
                  <w:sz w:val="18"/>
                  <w:szCs w:val="18"/>
                  <w:color w:val="0000FF"/>
                  <w:w w:val="77"/>
                </w:rPr>
                <w:t>Item 1A.</w:t>
              </w:r>
            </w:hyperlink>
          </w:p>
        </w:tc>
        <w:tc>
          <w:tcPr>
            <w:tcW w:w="440" w:type="dxa"/>
            <w:vAlign w:val="bottom"/>
          </w:tcPr>
          <w:p>
            <w:pPr>
              <w:spacing w:after="0"/>
              <w:rPr>
                <w:sz w:val="22"/>
                <w:szCs w:val="22"/>
                <w:color w:val="auto"/>
              </w:rPr>
            </w:pPr>
          </w:p>
        </w:tc>
        <w:tc>
          <w:tcPr>
            <w:tcW w:w="9280" w:type="dxa"/>
            <w:vAlign w:val="bottom"/>
            <w:gridSpan w:val="2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420" w:type="dxa"/>
            <w:vAlign w:val="bottom"/>
            <w:gridSpan w:val="5"/>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rFonts w:ascii="Arial" w:cs="Arial" w:eastAsia="Arial" w:hAnsi="Arial"/>
                <w:sz w:val="18"/>
                <w:szCs w:val="18"/>
                <w:color w:val="0000FF"/>
                <w:w w:val="77"/>
              </w:rPr>
            </w:pPr>
            <w:hyperlink w:anchor="page20">
              <w:r>
                <w:rPr>
                  <w:rFonts w:ascii="Arial" w:cs="Arial" w:eastAsia="Arial" w:hAnsi="Arial"/>
                  <w:sz w:val="18"/>
                  <w:szCs w:val="18"/>
                  <w:color w:val="0000FF"/>
                  <w:w w:val="77"/>
                </w:rPr>
                <w:t>Item 1B.</w:t>
              </w:r>
            </w:hyperlink>
          </w:p>
        </w:tc>
        <w:tc>
          <w:tcPr>
            <w:tcW w:w="440" w:type="dxa"/>
            <w:vAlign w:val="bottom"/>
          </w:tcPr>
          <w:p>
            <w:pPr>
              <w:spacing w:after="0"/>
              <w:rPr>
                <w:sz w:val="22"/>
                <w:szCs w:val="22"/>
                <w:color w:val="auto"/>
              </w:rPr>
            </w:pPr>
          </w:p>
        </w:tc>
        <w:tc>
          <w:tcPr>
            <w:tcW w:w="928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Unresolved Staff Comments</w:t>
              </w:r>
            </w:hyperlink>
          </w:p>
        </w:tc>
        <w:tc>
          <w:tcPr>
            <w:tcW w:w="400" w:type="dxa"/>
            <w:vAlign w:val="bottom"/>
            <w:gridSpan w:val="4"/>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0000FF"/>
            </w:tcBorders>
            <w:gridSpan w:val="4"/>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2.</w:t>
              </w:r>
            </w:hyperlink>
          </w:p>
        </w:tc>
        <w:tc>
          <w:tcPr>
            <w:tcW w:w="440" w:type="dxa"/>
            <w:vAlign w:val="bottom"/>
          </w:tcPr>
          <w:p>
            <w:pPr>
              <w:spacing w:after="0"/>
              <w:rPr>
                <w:sz w:val="22"/>
                <w:szCs w:val="22"/>
                <w:color w:val="auto"/>
              </w:rPr>
            </w:pP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Properties</w:t>
              </w:r>
            </w:hyperlink>
          </w:p>
        </w:tc>
        <w:tc>
          <w:tcPr>
            <w:tcW w:w="7240" w:type="dxa"/>
            <w:vAlign w:val="bottom"/>
            <w:gridSpan w:val="12"/>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3.</w:t>
              </w:r>
            </w:hyperlink>
          </w:p>
        </w:tc>
        <w:tc>
          <w:tcPr>
            <w:tcW w:w="928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40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p>
        </w:tc>
        <w:tc>
          <w:tcPr>
            <w:tcW w:w="928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Mine Safety Disclosures</w:t>
              </w:r>
            </w:hyperlink>
          </w:p>
        </w:tc>
        <w:tc>
          <w:tcPr>
            <w:tcW w:w="40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Part II</w:t>
              </w:r>
            </w:hyperlink>
          </w:p>
        </w:tc>
        <w:tc>
          <w:tcPr>
            <w:tcW w:w="100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gridSpan w:val="2"/>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5.</w:t>
              </w:r>
            </w:hyperlink>
          </w:p>
        </w:tc>
        <w:tc>
          <w:tcPr>
            <w:tcW w:w="480" w:type="dxa"/>
            <w:vAlign w:val="bottom"/>
            <w:gridSpan w:val="3"/>
          </w:tcPr>
          <w:p>
            <w:pPr>
              <w:spacing w:after="0"/>
              <w:rPr>
                <w:sz w:val="22"/>
                <w:szCs w:val="22"/>
                <w:color w:val="auto"/>
              </w:rPr>
            </w:pPr>
          </w:p>
        </w:tc>
        <w:tc>
          <w:tcPr>
            <w:tcW w:w="9280" w:type="dxa"/>
            <w:vAlign w:val="bottom"/>
            <w:gridSpan w:val="2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the Registrant’s Common Equity, Related Stockholder Matters, and Issuer Purchases of Equity Securities</w:t>
              </w:r>
            </w:hyperlink>
          </w:p>
        </w:tc>
        <w:tc>
          <w:tcPr>
            <w:tcW w:w="40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Borders>
              <w:top w:val="single" w:sz="8" w:color="0000FF"/>
            </w:tcBorders>
            <w:gridSpan w:val="2"/>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6.</w:t>
              </w:r>
            </w:hyperlink>
          </w:p>
        </w:tc>
        <w:tc>
          <w:tcPr>
            <w:tcW w:w="480" w:type="dxa"/>
            <w:vAlign w:val="bottom"/>
            <w:gridSpan w:val="3"/>
          </w:tcPr>
          <w:p>
            <w:pPr>
              <w:spacing w:after="0"/>
              <w:rPr>
                <w:sz w:val="22"/>
                <w:szCs w:val="22"/>
                <w:color w:val="auto"/>
              </w:rPr>
            </w:pPr>
          </w:p>
        </w:tc>
        <w:tc>
          <w:tcPr>
            <w:tcW w:w="8380" w:type="dxa"/>
            <w:vAlign w:val="bottom"/>
            <w:tcBorders>
              <w:top w:val="single" w:sz="8" w:color="0000FF"/>
            </w:tcBorders>
            <w:gridSpan w:val="1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Reserved</w:t>
              </w:r>
            </w:hyperlink>
          </w:p>
        </w:tc>
        <w:tc>
          <w:tcPr>
            <w:tcW w:w="900" w:type="dxa"/>
            <w:vAlign w:val="bottom"/>
          </w:tcPr>
          <w:p>
            <w:pPr>
              <w:spacing w:after="0"/>
              <w:rPr>
                <w:sz w:val="22"/>
                <w:szCs w:val="22"/>
                <w:color w:val="auto"/>
              </w:rPr>
            </w:pPr>
          </w:p>
        </w:tc>
        <w:tc>
          <w:tcPr>
            <w:tcW w:w="40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7.</w:t>
              </w:r>
            </w:hyperlink>
          </w:p>
        </w:tc>
        <w:tc>
          <w:tcPr>
            <w:tcW w:w="928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w:t>
              </w:r>
            </w:hyperlink>
            <w:r>
              <w:rPr>
                <w:rFonts w:ascii="Arial" w:cs="Arial" w:eastAsia="Arial" w:hAnsi="Arial"/>
                <w:sz w:val="18"/>
                <w:szCs w:val="18"/>
                <w:color w:val="000000"/>
              </w:rPr>
              <w:t>s</w:t>
            </w:r>
          </w:p>
        </w:tc>
        <w:tc>
          <w:tcPr>
            <w:tcW w:w="40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rFonts w:ascii="Arial" w:cs="Arial" w:eastAsia="Arial" w:hAnsi="Arial"/>
                <w:sz w:val="18"/>
                <w:szCs w:val="18"/>
                <w:color w:val="0000FF"/>
                <w:w w:val="77"/>
              </w:rPr>
            </w:pPr>
            <w:hyperlink w:anchor="page32">
              <w:r>
                <w:rPr>
                  <w:rFonts w:ascii="Arial" w:cs="Arial" w:eastAsia="Arial" w:hAnsi="Arial"/>
                  <w:sz w:val="18"/>
                  <w:szCs w:val="18"/>
                  <w:color w:val="0000FF"/>
                  <w:w w:val="77"/>
                </w:rPr>
                <w:t>Item 7A.</w:t>
              </w:r>
            </w:hyperlink>
          </w:p>
        </w:tc>
        <w:tc>
          <w:tcPr>
            <w:tcW w:w="440" w:type="dxa"/>
            <w:vAlign w:val="bottom"/>
          </w:tcPr>
          <w:p>
            <w:pPr>
              <w:spacing w:after="0"/>
              <w:rPr>
                <w:sz w:val="22"/>
                <w:szCs w:val="22"/>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Quantitative and Qualitative Disclosures About Market Risk</w:t>
              </w:r>
            </w:hyperlink>
          </w:p>
        </w:tc>
        <w:tc>
          <w:tcPr>
            <w:tcW w:w="4920" w:type="dxa"/>
            <w:vAlign w:val="bottom"/>
            <w:gridSpan w:val="7"/>
          </w:tcPr>
          <w:p>
            <w:pPr>
              <w:spacing w:after="0"/>
              <w:rPr>
                <w:sz w:val="22"/>
                <w:szCs w:val="22"/>
                <w:color w:val="auto"/>
              </w:rPr>
            </w:pPr>
          </w:p>
        </w:tc>
        <w:tc>
          <w:tcPr>
            <w:tcW w:w="40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8.</w:t>
              </w:r>
            </w:hyperlink>
          </w:p>
        </w:tc>
        <w:tc>
          <w:tcPr>
            <w:tcW w:w="9280" w:type="dxa"/>
            <w:vAlign w:val="bottom"/>
            <w:gridSpan w:val="2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Financial Statements and Supplementary Data</w:t>
              </w:r>
            </w:hyperlink>
          </w:p>
        </w:tc>
        <w:tc>
          <w:tcPr>
            <w:tcW w:w="40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Item 9.</w:t>
              </w:r>
            </w:hyperlink>
          </w:p>
        </w:tc>
        <w:tc>
          <w:tcPr>
            <w:tcW w:w="480" w:type="dxa"/>
            <w:vAlign w:val="bottom"/>
            <w:gridSpan w:val="3"/>
          </w:tcPr>
          <w:p>
            <w:pPr>
              <w:spacing w:after="0"/>
              <w:rPr>
                <w:sz w:val="22"/>
                <w:szCs w:val="22"/>
                <w:color w:val="auto"/>
              </w:rPr>
            </w:pP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Changes in and Disagreements with Accountants on Accounting and Financial Disclosure</w:t>
              </w:r>
            </w:hyperlink>
          </w:p>
        </w:tc>
        <w:tc>
          <w:tcPr>
            <w:tcW w:w="2800" w:type="dxa"/>
            <w:vAlign w:val="bottom"/>
            <w:gridSpan w:val="3"/>
          </w:tcPr>
          <w:p>
            <w:pPr>
              <w:spacing w:after="0"/>
              <w:rPr>
                <w:sz w:val="22"/>
                <w:szCs w:val="22"/>
                <w:color w:val="auto"/>
              </w:rPr>
            </w:pPr>
          </w:p>
        </w:tc>
        <w:tc>
          <w:tcPr>
            <w:tcW w:w="400" w:type="dxa"/>
            <w:vAlign w:val="bottom"/>
            <w:gridSpan w:val="4"/>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rFonts w:ascii="Arial" w:cs="Arial" w:eastAsia="Arial" w:hAnsi="Arial"/>
                <w:sz w:val="18"/>
                <w:szCs w:val="18"/>
                <w:color w:val="0000FF"/>
                <w:w w:val="77"/>
              </w:rPr>
            </w:pPr>
            <w:hyperlink w:anchor="page74">
              <w:r>
                <w:rPr>
                  <w:rFonts w:ascii="Arial" w:cs="Arial" w:eastAsia="Arial" w:hAnsi="Arial"/>
                  <w:sz w:val="18"/>
                  <w:szCs w:val="18"/>
                  <w:color w:val="0000FF"/>
                  <w:w w:val="77"/>
                </w:rPr>
                <w:t>Item 9A.</w:t>
              </w:r>
            </w:hyperlink>
          </w:p>
        </w:tc>
        <w:tc>
          <w:tcPr>
            <w:tcW w:w="440" w:type="dxa"/>
            <w:vAlign w:val="bottom"/>
          </w:tcPr>
          <w:p>
            <w:pPr>
              <w:spacing w:after="0"/>
              <w:rPr>
                <w:sz w:val="22"/>
                <w:szCs w:val="22"/>
                <w:color w:val="auto"/>
              </w:rPr>
            </w:pPr>
          </w:p>
        </w:tc>
        <w:tc>
          <w:tcPr>
            <w:tcW w:w="9280" w:type="dxa"/>
            <w:vAlign w:val="bottom"/>
            <w:gridSpan w:val="2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400" w:type="dxa"/>
            <w:vAlign w:val="bottom"/>
            <w:gridSpan w:val="4"/>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77"/>
              </w:rPr>
            </w:pPr>
            <w:hyperlink w:anchor="page75">
              <w:r>
                <w:rPr>
                  <w:rFonts w:ascii="Arial" w:cs="Arial" w:eastAsia="Arial" w:hAnsi="Arial"/>
                  <w:sz w:val="18"/>
                  <w:szCs w:val="18"/>
                  <w:color w:val="0000FF"/>
                  <w:w w:val="77"/>
                </w:rPr>
                <w:t>Item 9B.</w:t>
              </w:r>
            </w:hyperlink>
          </w:p>
        </w:tc>
        <w:tc>
          <w:tcPr>
            <w:tcW w:w="440" w:type="dxa"/>
            <w:vAlign w:val="bottom"/>
          </w:tcPr>
          <w:p>
            <w:pPr>
              <w:spacing w:after="0"/>
              <w:rPr>
                <w:sz w:val="22"/>
                <w:szCs w:val="22"/>
                <w:color w:val="auto"/>
              </w:rPr>
            </w:pP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Other Information</w:t>
              </w:r>
            </w:hyperlink>
          </w:p>
        </w:tc>
        <w:tc>
          <w:tcPr>
            <w:tcW w:w="420" w:type="dxa"/>
            <w:vAlign w:val="bottom"/>
            <w:tcBorders>
              <w:top w:val="single" w:sz="8" w:color="0000FF"/>
            </w:tcBorders>
            <w:gridSpan w:val="2"/>
          </w:tcPr>
          <w:p>
            <w:pPr>
              <w:spacing w:after="0"/>
              <w:rPr>
                <w:sz w:val="22"/>
                <w:szCs w:val="22"/>
                <w:color w:val="auto"/>
              </w:rPr>
            </w:pPr>
          </w:p>
        </w:tc>
        <w:tc>
          <w:tcPr>
            <w:tcW w:w="7520" w:type="dxa"/>
            <w:vAlign w:val="bottom"/>
            <w:gridSpan w:val="14"/>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75</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rFonts w:ascii="Arial" w:cs="Arial" w:eastAsia="Arial" w:hAnsi="Arial"/>
                <w:sz w:val="18"/>
                <w:szCs w:val="18"/>
                <w:color w:val="0000FF"/>
                <w:w w:val="76"/>
              </w:rPr>
            </w:pPr>
            <w:hyperlink w:anchor="page75">
              <w:r>
                <w:rPr>
                  <w:rFonts w:ascii="Arial" w:cs="Arial" w:eastAsia="Arial" w:hAnsi="Arial"/>
                  <w:sz w:val="18"/>
                  <w:szCs w:val="18"/>
                  <w:color w:val="0000FF"/>
                  <w:w w:val="76"/>
                </w:rPr>
                <w:t>Item 9C.</w:t>
              </w:r>
            </w:hyperlink>
          </w:p>
        </w:tc>
        <w:tc>
          <w:tcPr>
            <w:tcW w:w="440" w:type="dxa"/>
            <w:vAlign w:val="bottom"/>
          </w:tcPr>
          <w:p>
            <w:pPr>
              <w:spacing w:after="0"/>
              <w:rPr>
                <w:sz w:val="22"/>
                <w:szCs w:val="22"/>
                <w:color w:val="auto"/>
              </w:rPr>
            </w:pPr>
          </w:p>
        </w:tc>
        <w:tc>
          <w:tcPr>
            <w:tcW w:w="49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Disclosure Regarding Foreign Jurisdictions that Prevent Inspections</w:t>
              </w:r>
            </w:hyperlink>
          </w:p>
        </w:tc>
        <w:tc>
          <w:tcPr>
            <w:tcW w:w="4380" w:type="dxa"/>
            <w:vAlign w:val="bottom"/>
            <w:gridSpan w:val="6"/>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85</w:t>
              </w:r>
            </w:hyperlink>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520" w:type="dxa"/>
            <w:vAlign w:val="bottom"/>
            <w:gridSpan w:val="6"/>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Part III</w:t>
              </w:r>
            </w:hyperlink>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gridSpan w:val="4"/>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Borders>
              <w:bottom w:val="single" w:sz="8" w:color="0000FF"/>
            </w:tcBorders>
            <w:gridSpan w:val="3"/>
          </w:tcPr>
          <w:p>
            <w:pPr>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Item 10.</w:t>
              </w:r>
            </w:hyperlink>
          </w:p>
        </w:tc>
        <w:tc>
          <w:tcPr>
            <w:tcW w:w="460" w:type="dxa"/>
            <w:vAlign w:val="bottom"/>
            <w:gridSpan w:val="2"/>
          </w:tcPr>
          <w:p>
            <w:pPr>
              <w:spacing w:after="0"/>
              <w:rPr>
                <w:sz w:val="22"/>
                <w:szCs w:val="22"/>
                <w:color w:val="auto"/>
              </w:rPr>
            </w:pPr>
          </w:p>
        </w:tc>
        <w:tc>
          <w:tcPr>
            <w:tcW w:w="41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Directors, Executive Officers, and Corporate Governance</w:t>
              </w:r>
            </w:hyperlink>
          </w:p>
        </w:tc>
        <w:tc>
          <w:tcPr>
            <w:tcW w:w="5140" w:type="dxa"/>
            <w:vAlign w:val="bottom"/>
            <w:gridSpan w:val="8"/>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76</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11.</w:t>
              </w:r>
            </w:hyperlink>
          </w:p>
        </w:tc>
        <w:tc>
          <w:tcPr>
            <w:tcW w:w="9280" w:type="dxa"/>
            <w:vAlign w:val="bottom"/>
            <w:gridSpan w:val="20"/>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Executive Compensation</w:t>
              </w:r>
            </w:hyperlink>
          </w:p>
        </w:tc>
        <w:tc>
          <w:tcPr>
            <w:tcW w:w="400" w:type="dxa"/>
            <w:vAlign w:val="bottom"/>
            <w:gridSpan w:val="4"/>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Item 12.</w:t>
              </w:r>
            </w:hyperlink>
          </w:p>
        </w:tc>
        <w:tc>
          <w:tcPr>
            <w:tcW w:w="440" w:type="dxa"/>
            <w:vAlign w:val="bottom"/>
          </w:tcPr>
          <w:p>
            <w:pPr>
              <w:spacing w:after="0"/>
              <w:rPr>
                <w:sz w:val="22"/>
                <w:szCs w:val="22"/>
                <w:color w:val="auto"/>
              </w:rPr>
            </w:pPr>
          </w:p>
        </w:tc>
        <w:tc>
          <w:tcPr>
            <w:tcW w:w="9280" w:type="dxa"/>
            <w:vAlign w:val="bottom"/>
            <w:gridSpan w:val="20"/>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Security Ownership of Certain Beneficial Owners and Management and Related Stockholder Matters</w:t>
              </w:r>
            </w:hyperlink>
          </w:p>
        </w:tc>
        <w:tc>
          <w:tcPr>
            <w:tcW w:w="400" w:type="dxa"/>
            <w:vAlign w:val="bottom"/>
            <w:gridSpan w:val="4"/>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0000FF"/>
            </w:tcBorders>
            <w:gridSpan w:val="4"/>
          </w:tcPr>
          <w:p>
            <w:pPr>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Item 13.</w:t>
              </w:r>
            </w:hyperlink>
          </w:p>
        </w:tc>
        <w:tc>
          <w:tcPr>
            <w:tcW w:w="440" w:type="dxa"/>
            <w:vAlign w:val="bottom"/>
          </w:tcPr>
          <w:p>
            <w:pPr>
              <w:spacing w:after="0"/>
              <w:rPr>
                <w:sz w:val="22"/>
                <w:szCs w:val="22"/>
                <w:color w:val="auto"/>
              </w:rPr>
            </w:pPr>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Certain Relationships and Related Transactions, and Director Independence</w:t>
              </w:r>
            </w:hyperlink>
          </w:p>
        </w:tc>
        <w:tc>
          <w:tcPr>
            <w:tcW w:w="2000" w:type="dxa"/>
            <w:vAlign w:val="bottom"/>
            <w:gridSpan w:val="2"/>
          </w:tcPr>
          <w:p>
            <w:pPr>
              <w:spacing w:after="0"/>
              <w:rPr>
                <w:sz w:val="22"/>
                <w:szCs w:val="22"/>
                <w:color w:val="auto"/>
              </w:rPr>
            </w:pPr>
          </w:p>
        </w:tc>
        <w:tc>
          <w:tcPr>
            <w:tcW w:w="400" w:type="dxa"/>
            <w:vAlign w:val="bottom"/>
            <w:gridSpan w:val="4"/>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Item 14.</w:t>
              </w:r>
            </w:hyperlink>
          </w:p>
        </w:tc>
        <w:tc>
          <w:tcPr>
            <w:tcW w:w="20" w:type="dxa"/>
            <w:vAlign w:val="bottom"/>
            <w:tcBorders>
              <w:top w:val="single" w:sz="8" w:color="0000FF"/>
            </w:tcBorders>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Principal Accountant Fees and Services</w:t>
              </w:r>
            </w:hyperlink>
          </w:p>
        </w:tc>
        <w:tc>
          <w:tcPr>
            <w:tcW w:w="2580" w:type="dxa"/>
            <w:vAlign w:val="bottom"/>
            <w:tcBorders>
              <w:top w:val="single" w:sz="8" w:color="0000FF"/>
            </w:tcBorders>
            <w:gridSpan w:val="6"/>
          </w:tcPr>
          <w:p>
            <w:pPr>
              <w:spacing w:after="0"/>
              <w:rPr>
                <w:sz w:val="22"/>
                <w:szCs w:val="22"/>
                <w:color w:val="auto"/>
              </w:rPr>
            </w:pPr>
          </w:p>
        </w:tc>
        <w:tc>
          <w:tcPr>
            <w:tcW w:w="384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76</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87"/>
              </w:rPr>
            </w:pPr>
            <w:hyperlink w:anchor="page76">
              <w:r>
                <w:rPr>
                  <w:rFonts w:ascii="Arial" w:cs="Arial" w:eastAsia="Arial" w:hAnsi="Arial"/>
                  <w:sz w:val="18"/>
                  <w:szCs w:val="18"/>
                  <w:color w:val="0000FF"/>
                  <w:w w:val="87"/>
                </w:rPr>
                <w:t>Part IV</w:t>
              </w:r>
            </w:hyperlink>
          </w:p>
        </w:tc>
        <w:tc>
          <w:tcPr>
            <w:tcW w:w="1000" w:type="dxa"/>
            <w:vAlign w:val="bottom"/>
            <w:gridSpan w:val="5"/>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77</w:t>
              </w:r>
            </w:hyperlink>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Item 15.</w:t>
              </w:r>
            </w:hyperlink>
          </w:p>
        </w:tc>
        <w:tc>
          <w:tcPr>
            <w:tcW w:w="440" w:type="dxa"/>
            <w:vAlign w:val="bottom"/>
          </w:tcPr>
          <w:p>
            <w:pPr>
              <w:spacing w:after="0"/>
              <w:rPr>
                <w:sz w:val="22"/>
                <w:szCs w:val="22"/>
                <w:color w:val="auto"/>
              </w:rPr>
            </w:pPr>
          </w:p>
        </w:tc>
        <w:tc>
          <w:tcPr>
            <w:tcW w:w="31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Exhibits and Financial Statement Schedules</w:t>
              </w:r>
            </w:hyperlink>
          </w:p>
        </w:tc>
        <w:tc>
          <w:tcPr>
            <w:tcW w:w="612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77</w:t>
              </w:r>
            </w:hyperlink>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Item 16.</w:t>
              </w:r>
            </w:hyperlink>
          </w:p>
        </w:tc>
        <w:tc>
          <w:tcPr>
            <w:tcW w:w="440" w:type="dxa"/>
            <w:vAlign w:val="bottom"/>
          </w:tcPr>
          <w:p>
            <w:pPr>
              <w:spacing w:after="0"/>
              <w:rPr>
                <w:sz w:val="22"/>
                <w:szCs w:val="22"/>
                <w:color w:val="auto"/>
              </w:rPr>
            </w:pPr>
          </w:p>
        </w:tc>
        <w:tc>
          <w:tcPr>
            <w:tcW w:w="9280" w:type="dxa"/>
            <w:vAlign w:val="bottom"/>
            <w:gridSpan w:val="2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Form 10-K Summary</w:t>
              </w:r>
            </w:hyperlink>
          </w:p>
        </w:tc>
        <w:tc>
          <w:tcPr>
            <w:tcW w:w="400" w:type="dxa"/>
            <w:vAlign w:val="bottom"/>
            <w:gridSpan w:val="4"/>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20" w:type="dxa"/>
            <w:vAlign w:val="bottom"/>
            <w:gridSpan w:val="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gridSpan w:val="4"/>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82</w:t>
              </w:r>
            </w:hyperlink>
          </w:p>
        </w:tc>
        <w:tc>
          <w:tcPr>
            <w:tcW w:w="2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gridSpan w:val="12"/>
          </w:tcPr>
          <w:p>
            <w:pPr>
              <w:jc w:val="center"/>
              <w:ind w:left="393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and 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NN, Inc. is a diversified industrial company that combines in-depth materials science expertise with advanced engineering and production capabilities to design and manufacture high-precision metal and plastic components and assemblies for a variety of end markets on a global basis. As used in this Annual Report on Form 10-K (this “Annual Report”), the terms “NN,” the “Company,” “we,” “our,” or “us” refer to NN, Inc., and its subsidiaries. We have 31 facilities in North America, Europe, South America, and Asia.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Our enterprise and management structure is designed to accelerate growth and further balance our portfolio by aligning our strategic assets and businesses.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businesses are organized into the Mobile Solutions and Power Solutions groups and are based principally on the end markets they 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2"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Mobile Solutions is focused on growth in the automotive and general industrial end markets. We have developed an 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Power Solutions is focused on growth in the electrical, general industrial, automotive, aerospace, defense, and medical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High-precision manufacturing capabilities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are typically designed in conjunction with the system designer. Our parts are often qualified for, or specified in, customer designs, reducing the ability for customers to change suppliers.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Underwriters Laboratories (“UL”), and the National Aerospace and Defense Contractors Accreditation Program (“NADCAP”).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 stabilizes overall product demand.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31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2.1 million square feet of manufacturing space.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Synergies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continue to realize synergy effects between Mobile Solutions and Power Solutions by pairing our experienced engineering resources and wide-ranging portfolio of process technologies from each business to serve our customers’ ever evolving needs. Recent solutions developed in the electrical, electric vehicle, aerospace, defense, and general industrial markets leveraged the deep experience and expertise from each business to respond to tight, stringent requirements - all of which in a custom and innovative manner to meet each customer’s unique demand requirements. In addition, we continue to experience customer demand that utilizes multiple facilities from both business, on a global basis, due to our track record of quality and strong performance.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team has significant experience in precision manufacturing and the diversified industrial sector. Warren Veltman has served as our President and Chief Executive Officer since September 2019 after serving as Executive Vice President of Mobile Solutions for two years. Mr. Veltman has over 30 years of experience in financial and operational leadership roles at NN and Autocam, which the Company acquired in 2014. Michael Felcher joined us in 2018 and was named Senior Vice President and Chief Financial Officer in July 2021. Mr. Felcher has extensive experience in finance leadership roles at JELD-WEN, Inc. and Goodrich Corporation. John Buchan was named Executive Vice President of Mobile Solutions in September 2019 and Executive Vice President of Mobile Solutions and Power Solutions in November 2019. Mr. Buchan joined us in 2014 as part of the Autocam acquisition, a business at which he had 18 years of experience in operations. We believe that our current management team has the necessary talent and experience to profitably operate and grow the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supplied primarily to manufacturers for use in a broad range of industrial applications, including automotive; electrical; agricultural; construction; residential devices and equipment; aerospace and defense; medical; heating, ventilation, and air conditioning; and fluid power and diesel engines. Sales to each of our top ten customers are made to multiple customer locations and divisions throughout the world. In 2021, our top ten customers accounted for approximately 43% of our net sales. In 2021, 70% of our products were sold to customers in North America, 7% to customers in Europe, 16% to customers in Asia, and 7% to customers in South America.</w:t>
      </w:r>
    </w:p>
    <w:p>
      <w:pPr>
        <w:spacing w:after="0" w:line="8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Principles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success depends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in the communities in which we operate.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Headcount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2021, we employed a total of 3,172 full and part-time employees and 247 temporary workers, which includes approximately 1,431 employees in the U.S. and approximately 1,988 employees in other countries employed by our international subsidiaries. Of our total employment, approximately 16% are management/staff employees and 84% are production employees. Our employees in the France, Brazil, and Brainin de Mexico plants are subject to labor council relationships that vary due to the diverse countries in which we operate. We believe we have a good working relationship with our employees and the unions that represent them.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Diversity, equity, and inclusion are at the core of our values and strategic business priorities. Throughout our business, we champion equality, supporting parity for women and under-represented groups as we work to create ethical, safe, and supportive workplaces where our employees thrive. We believe a diverse and inclusive workplace results in business growth and encourages increased innovation, retention of talent, and a more engaged workforce. Respect for human rights is fundamental to our business and our commitment to ethical business conduct.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Employee Health and Safety</w:t>
      </w:r>
    </w:p>
    <w:p>
      <w:pPr>
        <w:spacing w:after="0" w:line="11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Our compensation programs are based on a strong alignment between pay and performance, and are designed to reward both financial and operational successes and support actions that drive stockholder value creation at all organizational levels. We use a combination of programs (which vary by geography and level) to attract and retain our employees, including annual performance bonuses, quarterly gainsharing bonuses, and equity awards.</w:t>
      </w:r>
    </w:p>
    <w:p>
      <w:pPr>
        <w:spacing w:after="0" w:line="4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We also provide our employees and their families access to a range of benefits, including health insurance benefits, employer-paid life and disability insurance, health savings and flexible spending accounts, 401(k) match, vacation and paid time off, wellness offerings, education assistance, and an employee assistance program.</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health and safety of our employees and anyone who conducts business on our behalf is very important to us. Our commitment to safety starts at the top levels of our organization. We believe a safe and secure workplace is fundamental to our success. We are also committed to engaging our employees to continually improve health and safety by acting upon opportunities to reduce risk and improve our safety and health performance, and offer training programs on a regular basis. We maintain comprehensive safety programs focused on identifying hazards and eliminating risks that can lead to work-place injuries.</w:t>
      </w:r>
    </w:p>
    <w:p>
      <w:pPr>
        <w:spacing w:after="0" w:line="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the strong safety focus we maintain within our operations, our emphasis during the COVID-19 pandemic has been on protecting the health and safety of our employees and the communities in which we operate. Our team monitors country, state, and local guidance, and uses these to implement best practice guidelines for employees and visitors. Throughout the pandemic, NN has increased communications, including the addition of virtual “town hall” style meetings at the group and organizational level. This has helped employees across our global footprint stay connected, whether working from home or at one of our manufacturing sites.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invest resources in professional development to improve employee motivation, performance and engagement. Our annual talent management program helps identify needs at multiple levels, enabling us to provide employees with the resources they need to help achieve their career goals, build skills and lead their organizations. Further, annual goal-setting and development opportunities for employees and leaders helps our people align their professional experience with the Company’s business objectives and encourages them to take ownership of their development and career paths.</w:t>
      </w:r>
    </w:p>
    <w:p>
      <w:pPr>
        <w:spacing w:after="0" w:line="49" w:lineRule="exact"/>
        <w:rPr>
          <w:sz w:val="20"/>
          <w:szCs w:val="20"/>
          <w:color w:val="auto"/>
        </w:rPr>
      </w:pPr>
    </w:p>
    <w:p>
      <w:pPr>
        <w:ind w:right="360" w:firstLine="8"/>
        <w:spacing w:after="0" w:line="263"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uses regular talent management and performance evaluation processes to inform the Company’s internal development processes and to calibrate assessment of individual performance organizationally. These activities form the basis for succession planning activities, up to and including the senior leadership level.</w:t>
      </w:r>
    </w:p>
    <w:p>
      <w:pPr>
        <w:spacing w:after="0" w:line="76" w:lineRule="exact"/>
        <w:rPr>
          <w:sz w:val="20"/>
          <w:szCs w:val="20"/>
          <w:color w:val="auto"/>
        </w:rPr>
      </w:pPr>
    </w:p>
    <w:p>
      <w:pPr>
        <w:jc w:val="both"/>
        <w:ind w:right="20" w:firstLine="8"/>
        <w:spacing w:after="0" w:line="263"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also has apprenticeships, internships, and cooperative education programs in place at certain locations, which we intend to expand more broadly across the company. These programs allow us to provide a combination of education and employment options that deliver depth and context and help them build a long-term career path.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our technical competence, proven track record of successful product development and global platform, as well as on quality, price, and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Power Solutions operates in intensely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and aerospace and defense end markets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Mobile Solutions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Power Solutions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 Power Solutions bases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contract the precious metals for our own stock and buy the raw materials on the same day customer shipments are priced, thereby eliminating speculation.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Pressures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each of our segments, we have historically been affected by upward price pressure on steel principally due to general increases in global demand. In general, we pass through material cost fluctuations to our customers in the form of changes in selling price. Most of the raw materials we use are purchased from various suppliers and are typically available from numerous sources, some of which are located in China and Europe. The ongoing COVID-19 pandemic has impacted our suppliers, and we continue to monitor the effect of these impacts on our supply chain in order to maintain regular and timely supply of raw materials to our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rely on certain data and processes, including trade secrets and know-how, and the success of our business depends, to some extent,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remaining confidential. Each officer is subject to a non-competition and confidentiality agreement that seeks to protect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information. Additionally, all employees are subject to company code of ethics policies that prohibit the disclosure of information critical to the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automotive sales tend to slow in July and December, and sales to original equipment manufacturers are often stronger immediately preceding and following the launch of new products. However, as a whole, we are not materially impacted by seasonality.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and Environmental Matters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operations and products are subject to extensive federal, state, local, and foreign regulatory requirements, including those intended to protect public health and the environment. In the U.S. many of our products and operations are regulated by the FDA and the Environmental Protection Agency. Similar regulations have been adopted by authorities in foreign countries where we sell our products, and by state and local authorities in the U.S. In order to conduct our operations in compliance with these laws and regulations we must obtain and maintain numerous permits, approvals and certificates from various federal, state, local, and foreign governmental authorities.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to medical and products that we may specifically develop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four months from the date of submission.</w:t>
      </w:r>
    </w:p>
    <w:p>
      <w:pPr>
        <w:spacing w:after="0" w:line="6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are also required to comply with increasingly complex and changing laws and regulations enacted to protect business and personal data in the U.S. and other jurisdictions regarding privacy, data protection, and data security, including those related to the collection, storage, use, transmission, and protection of personal information and other customer, supplier or employee data. Such privacy and data protection laws and regulations,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information compiled to date, management believes that our current operations are in substantial compliance with applicable governmental laws and regulations, the violation of which could have a material adverse effect on our business and financial condition. As of the date hereof, compliance with these laws and regulations has not had a material effect on our capital expenditures, results of operations, and competitive position. For additional information, see “Item 1A - Risk Factors.”</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potential impact of climate change on our operations is unclear. Climate change could result in an increase in severe weather events, such as hurricanes, tropical storms, blizzards and ice storms, which often results in delays or other negative consequences for our manufacturing operations, which could negatively impact our financial results. We have not identified any, and we do not believe there to be in the near term, material impacts on our business, financial condition or results of operations as a result of compliance with legislation or regulatory rules regarding climate change or from the known physical effects of climate change. Increased regulation and other climate change concerns, however, could subject us to additional costs and restrictions and could negatively affect our business, operations and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7180" w:type="dxa"/>
            <w:vAlign w:val="bottom"/>
          </w:tcPr>
          <w:p>
            <w:pPr>
              <w:ind w:left="334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Warren A. Veltman</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7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Michael C. Felcher</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John R. Buchan</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Executive Vice President – Mobile Solutions and Power Solutions</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Matthew S. Heiter</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D. Gail Nixon</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 Andrew Wall</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Senior Vice President and Chief Commercial Officer</w:t>
            </w:r>
          </w:p>
        </w:tc>
      </w:tr>
    </w:tbl>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Warren A. Veltman was appointed President and Chief Executive Officer in September 2019 having previously served as Executive Vice President of Mobile Solutions since January 2018. Mr. Veltman joined NN as part of the Autocam acquisition in 2014 as the Senior Vice President and General Manager of our former Autocam Precision Components Group. Prior to the acquisition, Mr. Veltman served as Chief Financial Officer of Autocam Corporation from 1990 and Secretary and Treasurer since 1991. Prior to Mr. Veltman’s service at Autocam, Mr. Veltman was an Audit Manager with Deloitte &amp; Touche LLP.</w:t>
      </w:r>
    </w:p>
    <w:p>
      <w:pPr>
        <w:spacing w:after="0" w:line="4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Michael C. Felcher was appointed Senior Vice President and Chief Financial Officer in July 2021 having previously served as Vice President, Chief Accounting Officer since June 2018. Prior to joining the Company, Mr. Felcher served as the Vice President, North America Chief Financial Officer for JELD-WEN, Inc., a publicly held, global manufacturer of doors and windows, from 2013 to 2017. Before assuming his role at JELD-WEN, Inc., Mr. Felcher served as a Director of Finance for United Technologies Corp. following its acquisition of Goodrich Corporation in 2012. Previously, Mr. Felcher served in a variety of finance roles at Goodrich. Mr. Felcher began his career at PricewaterhouseCoopers in Boston and is a licensed CPA.</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John R. Buchan was appointed Executive Vice President of Mobile Solutions in September 2019 and Executive Vice President of Mobile Solutions and Power Solutions in November 2019 having previously served as Vice President of Operations of Mobile Solutions. Mr. Buchan joined NN as part of the Autocam acquisition in 2014, where he served as the Chief Operations Officer. Prior to joining Autocam in 2002, Mr. Buchan held a variety of technical leadership roles at Benteler Automotive, culminating in his appointment as Executive Vice President of the Exhaust Products Group. Mr. Buchan has spent his entire career in operations roles, beginning with General Motors Central Foundry and Rochester Products Divisions.</w:t>
      </w:r>
    </w:p>
    <w:p>
      <w:pPr>
        <w:spacing w:after="0" w:line="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Matthew S. Heiter joined us as Senior Vice President and General Counsel in July 2015. Prior to joining NN, Mr. Heiter was a shareholder in the law firm of Baker, Donelson, Bearman, Caldwell and Berkowitz, P.C. from May 1996 to December 1999 and from July 2002 to July 2015, where he served as chairman of the firm’s Securities and Corporate Governance Practice Group.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From January 2000 to July 2002, Mr. Heiter served as the Executive Vice President, General Counsel, and Secretary of Internet Pictures Corporation, a publicly traded internet technology company.</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 Gail Nixon joined us in 2007 and was appointed Senior Vice President and Chief Human Resources Officer in January 2018. Ms. Nixon previously served as our Vice President of Human Resources as well as Corporate Human Resources Manager. Ms. Nixon is a member of the Society for Human Resource Management (“SHRM”) and has earned her Senior Professional in Human Resources and SHRM – Senior Certified Professional designations. From 2000 to 2007, she held various accounting and human resources positions with a multi-state healthcare organization, ultimately serving as its corporate human resources director.</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 Andrew Wall joined us in January 2022 as Senior Vice President and Chief Commercial Officer. Prior to joining NN, he served in numerous management positions for ABB, Ltd., a publicly held, global manufacturer of heavy electrical equipment and automation technology. Most recently, Mr. Wall served as Vice President, Product Marketing and Sales, Electrification U.S., where he was responsible for leading the creation and implementation of ABB's U.S. product marketing strategy. Before that, Mr. Wall served as Vice President and General Manager, Power Products Services U.S., where he was in charge of all functional aspects of the business, including marketing and sales, project management, factory manufacturing operations, field service operations, and engineering.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 Securities and Exchange Commission (“SEC”) Filings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make available free of charge, in the “Investor Relations” section of our website (www.nninc.com), our annual reports on Form 10-K, quarterly reports on Form 10-Q, current reports on Form 8-K, and amendments to those reports filed or furnished pursuant to Section 13(a) or 15(d) of the Securities Exchange Act of 1934, as amended (the “Exchange Act”), as soon as reasonably practicable after electronically filing such material with, or furnishing it to, the SEC. The SEC maintains a website that contains reports, proxy and information statements, and other information regarding issuers that file electronically with the SEC at http://www.sec.gov.</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COVID-19 pandemic and mitigation efforts to control the spread of the disease have impacted, and are expected to continue to materially impact, our business and our financial condition, results of operations and cash flows could be materially adversely affected by factors directly or indirectly relating to the COVID-19 pandemic.</w:t>
      </w:r>
    </w:p>
    <w:p>
      <w:pPr>
        <w:spacing w:after="0" w:line="7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COVID-19 pandemic has created significant volatility in the global economy, led to significant reduced market and economic activity, and disrupted, and may continue to disrupt, the end markets we serve. In response, various governmental bodies and private enterprises implemented numerous measures to contain the pandemic, such as travel bans and restrictions, quarantines, “shelter-in-place” orders and shutdowns. While many of the restrictions have eased across the globe, some areas have re-imposed closures and other restrictions due to increased rates of COVID-19 cases. No assurance can be given that these new closures and restrictions will not continue to occur. New and more easily transmitted variants of COVID-19, such as the Delta and Omicron</w:t>
      </w:r>
    </w:p>
    <w:p>
      <w:pPr>
        <w:spacing w:after="0" w:line="1" w:lineRule="exact"/>
        <w:rPr>
          <w:sz w:val="20"/>
          <w:szCs w:val="20"/>
          <w:color w:val="auto"/>
        </w:rPr>
      </w:pPr>
    </w:p>
    <w:p>
      <w:pPr>
        <w:ind w:right="380"/>
        <w:spacing w:after="0" w:line="308" w:lineRule="auto"/>
        <w:rPr>
          <w:sz w:val="20"/>
          <w:szCs w:val="20"/>
          <w:color w:val="auto"/>
        </w:rPr>
      </w:pPr>
      <w:r>
        <w:rPr>
          <w:rFonts w:ascii="Arial" w:cs="Arial" w:eastAsia="Arial" w:hAnsi="Arial"/>
          <w:sz w:val="16"/>
          <w:szCs w:val="16"/>
          <w:color w:val="auto"/>
        </w:rPr>
        <w:t>variants, have emerged and spread in the U.S. and across the globe. The impact of these variants cannot be predicted at this time and could depend on numerous factors, including vaccination rates among the population, the efficacy of COVID-19 vaccines against the new variants, and the response by</w:t>
      </w:r>
    </w:p>
    <w:p>
      <w:pPr>
        <w:ind w:right="380"/>
        <w:spacing w:after="0" w:line="277" w:lineRule="auto"/>
        <w:rPr>
          <w:sz w:val="20"/>
          <w:szCs w:val="20"/>
          <w:color w:val="auto"/>
        </w:rPr>
      </w:pPr>
      <w:r>
        <w:rPr>
          <w:rFonts w:ascii="Arial" w:cs="Arial" w:eastAsia="Arial" w:hAnsi="Arial"/>
          <w:sz w:val="18"/>
          <w:szCs w:val="18"/>
          <w:color w:val="auto"/>
        </w:rPr>
        <w:t>governmental bodies and regulators. Further surges in COVID-19 infection rates could result in the reinstatement of directives and mandates requiring businesses to again curtail or cease normal operations.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COVID-19 pandemic and the responses by governmental bodies and regulators thereto have created a disruption in our manufacturing, product distribution, overall supply chain, and other business activities, and that of our customers, suppliers, co-manufacturers, and distributors. A significant number of our customers, suppliers, co-manufacturers, distributors, and manufacturing facilities are located in regions that have been affected by the pandemic and those operations have been, and may continue to be, materially affected by restrictive measures implemented in response to the pandemic. As a result we have experienced, and may continue to experience, delays in the production and distribution of our products and the loss of sales to our customers. Any delay or shortage in the supply of raw materials or delay in the manufacturing or distribution of our products may result in our inability to satisfy customer demand in a timely manner or at all, which could result in the loss of a portion of or all of the customer’s business and damage our reputation. Additionally, if the global economic effects caused by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COVID-19 pandemic continue or increase, overall customer demand may continue to decrease, which could have a material and adverse effect on our business, results of operations, and financial condition.</w:t>
      </w:r>
    </w:p>
    <w:p>
      <w:pPr>
        <w:spacing w:after="0" w:line="62"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Further, the COVID-19 pandemic could adversely impact our ability, and the ability of our suppliers, co-manufacturers, distributors, and customers, to retain key employees and ensure the continued service and availability of skilled personnel necessary to run our, and their, operations. To the extent our management or other personnel, or the management or other personnel of our suppliers, co-manufacturers, distributors, and customers, are impacted in significant numbers by the pandemic and are not available to perform their job duties, we could experience delays in, or the suspension of, our manufacturing operations, distribution of our products, and other important corporate functions.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ongoing COVID-19 pandemic and the current volatility in the global economy, reduced market and economic activity, and disruptions in the end</w:t>
      </w:r>
    </w:p>
    <w:p>
      <w:pPr>
        <w:spacing w:after="0" w:line="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markets we serve present material risks and uncertainties for us. The extent of the impact that the COVID-19 pandemic will have on our business, results of operations, and financial condition will depend largely on future developments relating to the duration and scope of the COVID-19 pandemic, including the continued emergence, persistence, severity and transmissibility of variants of the virus, the efficacy of vaccines, the pace at which governmental restrictions are eased or lifted, and the implementation of new or additional mitigation efforts by governmental authorities to control the spread of the disease, such as “stay-at-home” orders, business closures, and vaccine mandates. To the extent the COVID-19 pandemic adversely affects our business, financial condition, results of operation, and cash flows, it may also have the effect of heightening other risks disclosed below. In addition, if in the future there is an outbreak of another highly infectious or contagious disease or similar public health crisis, we would be subject to similar risks as posed by the COVID-19 pandemic.</w:t>
      </w:r>
    </w:p>
    <w:p>
      <w:pPr>
        <w:spacing w:after="0" w:line="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depend heavily on a relatively limited number of customers, and the loss of any major customer would have a material adverse effect on our business.</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2021, sales to various U.S. and foreign divisions of our ten largest customers accounted for approximately 43% of our consolidated net sales. The loss of all or a substantial portion of sales to these customers would cause us to lose a substantial portion of our revenue and would lower our operating profit margin and cash flows from operations.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and unanticipated business disruptions could significantly disrupt our operations, reduce our revenues and materially affect our earnings.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work stoppage at one or more of our facilities could have a material adverse effect on our business, prospects, financial condition, results of operations, or cash flows. Also, if one or more of our customers were to experience a work stoppage, that customer would likely halt or limit purchases of our products. For example, increased demand for semiconductor chips in 2020, due in part to the COVID-19 pandemic and an increased use of laptop computers, 5G phones, gaming systems and other IT equipment that use these chips, has resulted in a severe shortage of chips in early 2021 and is ongoing. These same chips are used in automobiles in a variety of parts and information and entertainment systems. As a result, various automotive manufacturers have been forced to delay or stall new vehicle production. If efforts to address the chip shortage by the industry and the U.S government are unsuccessful, there may be further delays in new vehicle production, which could have a material adverse effect on our business, prospects, financial condition, results of operations, or cash flows.</w:t>
      </w:r>
    </w:p>
    <w:p>
      <w:pPr>
        <w:spacing w:after="0" w:line="8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weather, raw material shortages, natural disasters, fires or explosions, political unrest, terrorism, generalized labor unrest, or health pandemics, such as COVID-19,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 systems, we may be late in delivering, or be unable to deliver, products to our customers and may also be unable to track orders, inventory, receivables, and payables. If that occurs, our customers’ confidence in us and long-term demand for our products could decline. Any of these events could materially and adversely affect our product sales, financial condition, and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obtain a majority of our raw materials from overseas suppliers, actively participate in overseas manufacturing operations and sell to a large number of international customers. During the year ended December 31, 2021, sales to customers located outside of the U.S. accounted for approximately 39% of our consolidated net sales. As a result of doing business internationally, we face risks associated with the following:</w:t>
      </w:r>
    </w:p>
    <w:p>
      <w:pPr>
        <w:spacing w:after="0" w:line="57" w:lineRule="exact"/>
        <w:rPr>
          <w:sz w:val="20"/>
          <w:szCs w:val="20"/>
          <w:color w:val="auto"/>
        </w:rPr>
      </w:pPr>
    </w:p>
    <w:p>
      <w:pPr>
        <w:ind w:left="5540" w:right="3960" w:hanging="5208"/>
        <w:spacing w:after="0" w:line="919"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recessions or marked declines specific to a particular country or region;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imposition of import tariffs or other duties or taxes;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5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prices we pay for raw materials used in our products may be impacted by tariffs. The tariffs initiated by the U.S. government in 2018 under Section 232 of the Trade Expansion Act of 1962 resulted in increased metals prices in the United States. We cannot predict whether, and to what extent, there may be changes to international trade agreements or whether quotas, duties, tariffs, exchange controls or other restrictions on our products will be changed or imposed. In addition, an open conflict or war across any region could affect our ability to obtain raw materials. The current military conflict between Russia and Ukraine, and related sanctions, export controls or other actions that may be initiated by nations could adversely affect our business and our supply chain or our business partners or customers in other countries. Although we currently do not source raw materials directly from Russia or Ukraine, if we are unable to source our products from the countries where we wish to purchase them, either because of the occurrence or threat of wars or other conflicts, regulatory changes or for any other reason, or if the cost of doing so increases, it could have a material adverse effect on our business, financial condition and results of operations. Disruptions in the supply of raw materials and components could temporarily impair our ability to manufacture our products for our customers or require us to pay higher prices to obtain these raw materials or components from other sources, which could have a material adverse effect on our business and our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markets are highly competitive, and many of our competitors have significant advantages that could adversely affect our business.</w:t>
      </w:r>
    </w:p>
    <w:p>
      <w:pPr>
        <w:spacing w:after="0" w:line="1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than pay the prices we seek for our products, which could adversely affect our business, prospects, financial condition,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loss of key personnel and the inability to attract and retain qualified employees could have a material adverse impact on our operations.</w:t>
      </w:r>
    </w:p>
    <w:p>
      <w:pPr>
        <w:spacing w:after="0" w:line="140"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Any breach or security failure of our information technology systems could materially adversely affect our business, financial condition, results of operations, and reputation.</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rely on proprietary and third-party information technology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web hosting, accounting, payroll and benefit services. The protection of the information technology systems on which we rely is critically important to us. We take steps, and generally require third-party service providers to take steps, to protect the security of the information maintained in our and our service providers’ information technology systems, including the use of systems, software, tools, and monitoring to provide security for processing, transmitting, and storing of the information. However, we face risks associated with breaches or security failures of the information technology systems on which we rely, which could result from, among other incidents, cyber-attacks or cyber-intrusions over the internet, malware, computer viruses, or employee error or misconduct. This risk of a data breach or security failure, particularly through cyber-attacks or cyber-intrusion, has generally increased due to the rise in new technologies and the increased sophistication and activities of the perpetrators of attempted attacks and intrusions.</w:t>
      </w:r>
    </w:p>
    <w:p>
      <w:pPr>
        <w:spacing w:after="0" w:line="7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security measures put in place by us and our service providers cannot provide absolute security and there can be no assurance that we or our service providers will not suffer a data security incident in the future, that unauthorized parties will not gain access to sensitive information stored on our or our service providers’ systems, that such access will not, whether temporarily or permanently, impact, interfere with, or interrupt our operations, or that any such incident will be discovered in a timely manner. Even the most well-protected information, networks, systems, and facilities remain potentially vulnerable as the techniques used in such attempted security breaches evolve and generally are not recognized until launched against a target, and in some</w:t>
      </w:r>
    </w:p>
    <w:p>
      <w:pPr>
        <w:spacing w:after="0" w:line="1" w:lineRule="exact"/>
        <w:rPr>
          <w:sz w:val="20"/>
          <w:szCs w:val="20"/>
          <w:color w:val="auto"/>
        </w:rPr>
      </w:pPr>
    </w:p>
    <w:p>
      <w:pPr>
        <w:jc w:val="both"/>
        <w:ind w:right="100"/>
        <w:spacing w:after="0" w:line="308" w:lineRule="auto"/>
        <w:rPr>
          <w:sz w:val="20"/>
          <w:szCs w:val="20"/>
          <w:color w:val="auto"/>
        </w:rPr>
      </w:pPr>
      <w:r>
        <w:rPr>
          <w:rFonts w:ascii="Arial" w:cs="Arial" w:eastAsia="Arial" w:hAnsi="Arial"/>
          <w:sz w:val="16"/>
          <w:szCs w:val="16"/>
          <w:color w:val="auto"/>
        </w:rPr>
        <w:t>cases are designed to not be detected and, in fact, may not be detected. In addition, third-party information technology providers may not provide us with fixes or updates to hardware or software in a manner as to avoid an unauthorized loss or disclosure or to address a known vulnerability, which may subject</w:t>
      </w:r>
    </w:p>
    <w:p>
      <w:pPr>
        <w:jc w:val="both"/>
        <w:ind w:right="100"/>
        <w:spacing w:after="0" w:line="311" w:lineRule="auto"/>
        <w:rPr>
          <w:sz w:val="20"/>
          <w:szCs w:val="20"/>
          <w:color w:val="auto"/>
        </w:rPr>
      </w:pPr>
      <w:r>
        <w:rPr>
          <w:rFonts w:ascii="Arial" w:cs="Arial" w:eastAsia="Arial" w:hAnsi="Arial"/>
          <w:sz w:val="16"/>
          <w:szCs w:val="16"/>
          <w:color w:val="auto"/>
        </w:rPr>
        <w:t>us to known threats or downtime as a result of those delays. Accordingly, we and our service providers may be unable to anticipate these techniques or to implement adequate security barriers or other preventative measures. Further, we may be required to expend significant additional resources to continue to enhance information security measures and internal processes and procedures or to investigate and remediate any information security vulnerabilities.</w:t>
      </w:r>
    </w:p>
    <w:p>
      <w:pPr>
        <w:spacing w:after="0" w:line="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data security incident could compromise our or our service providers’ information technology systems, and the information stored by us or our service providers, including personally identifiable information of employees, could be accessed, misused, publicly disclosed, corrupted, lost, or stolen. Any failure to prevent a data breach or a security failure of our or our service providers’ information technology systems could interrupt our operations, result in downtime, divert our planned efforts and resources from other projects, damage our reputation and brand, damage our competitive position, subject us to liability claims or regulatory penalties, and could materially and adversely affect our business, financial condition, or results of operations. Similarly, if our service providers fail to use adequate security or data protection processes, or use personal data in an unpermitted or improper manner, we may be liable for certain losses and it may damage our reputation.</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Physical effects of climate change or legal, regulatory or market measures intended to address climate change could materially adversely affect our business and operations.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Risks associated with climate change are subject to increasing societal, regulatory and political focus in the U.S. and globally. Shifts in weather patterns caused by climate change could increase the frequency, severity, or duration of certain adverse weather conditions and natural disasters, such as hurricanes, tornadoes, earthquakes, wildfires, droughts, extreme temperatures, or flooding, which could result in more significant business and supply chain interruptions, damage to our products and facilities as well as the infrastructure of our customers, reduced workforce availability, increased costs of raw materials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components, increased liabilities, and decreased revenues than what we have experienced in the past from such events. In addition, increased public concern over climate change could result in new legal or regulatory requirements designed to mitigate the effects of climate change, which could include the adoption of more stringent environmental laws and regulations or stricter enforcement of existing laws and regulations. Such developments could result in increased compliance costs and adverse impacts on raw material sourcing, manufacturing operations, and the distribution of our products, which could adversely affect our business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activities are subject to various laws and regulations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prospects, financial condition, results of operations,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approximately $159.8 million of indebtedness outstanding and $36.0 million available for future borrowings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ABL Facility. Our debt obligations could have important consequences, including:</w:t>
      </w:r>
    </w:p>
    <w:p>
      <w:pPr>
        <w:spacing w:after="0" w:line="1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63"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63"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63"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62"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Despite our indebtedness level, we may still be able to incur substantial additional amounts of debt, which could further exacerbate the risks associated with our substantial indebtedness.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63"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alter our existing businesses;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the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we may not be able to refinance our debt obligations as they mature.</w:t>
      </w:r>
    </w:p>
    <w:p>
      <w:pPr>
        <w:spacing w:after="0" w:line="62"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4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39%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2021, the U.S. dollar weakened against foreign currencies which favorably affected our revenue by $2.2 million. In contrast, a strengthening of the U.S. dollar may unfavorably affect our business, prospects, financial condition, results of operations,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4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4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may constitute an important part of our future growth strategy.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spacing w:after="0" w:line="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4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63" w:lineRule="exact"/>
        <w:rPr>
          <w:rFonts w:ascii="Arial" w:cs="Arial" w:eastAsia="Arial" w:hAnsi="Arial"/>
          <w:sz w:val="18"/>
          <w:szCs w:val="18"/>
          <w:color w:val="auto"/>
        </w:rPr>
      </w:pPr>
    </w:p>
    <w:p>
      <w:pPr>
        <w:ind w:left="660" w:right="26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spacing w:after="0" w:line="40" w:lineRule="exact"/>
        <w:rPr>
          <w:rFonts w:ascii="Arial" w:cs="Arial" w:eastAsia="Arial" w:hAnsi="Arial"/>
          <w:sz w:val="16"/>
          <w:szCs w:val="16"/>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acquired businesses as required by the Sarbanes-Oxley Act of 2002 within the time periods prescribed thereby;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exposure to potential unknown liabilities and unforeseen increased expenses or delays associated with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incurred a significant amount of debt in connection with our acquisitions in the past few years. Finally, in relation to such acquisitions, we have significantly higher amounts of intangible assets. These intangible assets will be subject to impairment testing, and we could incur a significant impact to our financial statements in the form of an impairment if assumptions and expectations related to our acquisitions are not realized.</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may result in unexpected liabilities.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could expose us to additional risks from time to time.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62" w:lineRule="exact"/>
        <w:rPr>
          <w:sz w:val="20"/>
          <w:szCs w:val="20"/>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transfer our interest in a joint venture to a third party may be restricted and the market for our interest may be limited;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joint venture partners might become bankrupt, fail to fund their share of required capital contributions or fail to fulfill their obligations as</w:t>
      </w:r>
    </w:p>
    <w:p>
      <w:pPr>
        <w:spacing w:after="0" w:line="34" w:lineRule="exact"/>
        <w:rPr>
          <w:rFonts w:ascii="Arial" w:cs="Arial" w:eastAsia="Arial" w:hAnsi="Arial"/>
          <w:sz w:val="17"/>
          <w:szCs w:val="17"/>
          <w:color w:val="auto"/>
        </w:rPr>
      </w:pPr>
    </w:p>
    <w:p>
      <w:pPr>
        <w:ind w:left="660" w:right="220"/>
        <w:spacing w:after="0" w:line="260" w:lineRule="auto"/>
        <w:rPr>
          <w:rFonts w:ascii="Arial" w:cs="Arial" w:eastAsia="Arial" w:hAnsi="Arial"/>
          <w:sz w:val="17"/>
          <w:szCs w:val="17"/>
          <w:color w:val="auto"/>
        </w:rPr>
      </w:pPr>
      <w:r>
        <w:rPr>
          <w:rFonts w:ascii="Arial" w:cs="Arial" w:eastAsia="Arial" w:hAnsi="Arial"/>
          <w:sz w:val="18"/>
          <w:szCs w:val="18"/>
          <w:color w:val="auto"/>
        </w:rPr>
        <w:t>a joint venture partner, which may require us to infuse our own capital into the venture on behalf of the partner despite other competing uses for such capital; and</w:t>
      </w:r>
    </w:p>
    <w:p>
      <w:pPr>
        <w:spacing w:after="0" w:line="7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joint venture partners may have competing interests in our markets that could create conflict of interest issues.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harm our business, including our competitive position and business prospects.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ability to attract and retain customers, suppliers, investors, and employees is impacted by our reputation. Harm to our reputation can arise from various sources, including employee misconduct, security breaches, unethical behavior, litigation, 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and financial condition.</w:t>
      </w:r>
    </w:p>
    <w:p>
      <w:pPr>
        <w:spacing w:after="0" w:line="23"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The U.S. tax laws and regulations, as well as the administrative interpretations of those laws and regulations, are constantly under review and may be changed at any time, possibly with retroactive effect. No assurance can be given as to whether, when, or in what form changes to the U.S. tax laws applicable to us may be enacted. Changes in U.S. tax laws, tax rulings, or interpretations of existing laws could materially affect our business, cash flow, results of operations, and financial condition.</w:t>
      </w: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2021, we owned or leased 31 facilities in a total of six countries, which includes a 49% equity interest in a manufacturing joint venture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The following table lists the locations of our facilities by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 Group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General Character</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Country</w:t>
            </w: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Owned or Leased</w:t>
            </w:r>
          </w:p>
        </w:tc>
      </w:tr>
      <w:tr>
        <w:trPr>
          <w:trHeight w:val="229"/>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Boituva, Brazil</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Plant</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Campinas, Brazil</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Office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Dowagiac,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Juarez, Mexico</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Kamienna Gora, Poland</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Poland</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Plant 3, Warehouse</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Kentwood,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Office</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Marnaz, France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France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Marshall, Michigan</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Marshall, Michigan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Sao Joao da Boa Vista, Brazil</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Sao Joao da Boa Vista, Brazil</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Wellington, Ohio</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Wellington, Ohio</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Wuxi, China</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China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0" w:type="dxa"/>
            <w:vAlign w:val="bottom"/>
          </w:tcPr>
          <w:p>
            <w:pPr>
              <w:spacing w:after="0"/>
              <w:rPr>
                <w:sz w:val="19"/>
                <w:szCs w:val="19"/>
                <w:color w:val="auto"/>
              </w:rPr>
            </w:pPr>
          </w:p>
        </w:tc>
      </w:tr>
      <w:tr>
        <w:trPr>
          <w:trHeight w:val="945"/>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right"/>
              <w:ind w:right="149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 Group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General Character</w:t>
            </w:r>
          </w:p>
        </w:tc>
        <w:tc>
          <w:tcPr>
            <w:tcW w:w="1940" w:type="dxa"/>
            <w:vAlign w:val="bottom"/>
            <w:gridSpan w:val="4"/>
          </w:tcPr>
          <w:p>
            <w:pPr>
              <w:ind w:left="660"/>
              <w:spacing w:after="0"/>
              <w:rPr>
                <w:sz w:val="20"/>
                <w:szCs w:val="20"/>
                <w:color w:val="auto"/>
              </w:rPr>
            </w:pPr>
            <w:r>
              <w:rPr>
                <w:rFonts w:ascii="Arial" w:cs="Arial" w:eastAsia="Arial" w:hAnsi="Arial"/>
                <w:sz w:val="14"/>
                <w:szCs w:val="14"/>
                <w:b w:val="1"/>
                <w:bCs w:val="1"/>
                <w:color w:val="auto"/>
              </w:rPr>
              <w:t>Country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20" w:type="dxa"/>
            <w:vAlign w:val="bottom"/>
          </w:tcPr>
          <w:p>
            <w:pPr>
              <w:spacing w:after="0"/>
              <w:rPr>
                <w:sz w:val="16"/>
                <w:szCs w:val="16"/>
                <w:color w:val="auto"/>
              </w:rPr>
            </w:pPr>
          </w:p>
        </w:tc>
      </w:tr>
      <w:tr>
        <w:trPr>
          <w:trHeight w:val="229"/>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Algonquin, Illinois</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Plant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Plant 1</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Plant 2</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Plant 3</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Office, Warehouse</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Foshan City, China</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jc w:val="right"/>
              <w:ind w:right="800"/>
              <w:spacing w:after="0"/>
              <w:rPr>
                <w:sz w:val="20"/>
                <w:szCs w:val="20"/>
                <w:color w:val="auto"/>
              </w:rPr>
            </w:pPr>
            <w:r>
              <w:rPr>
                <w:rFonts w:ascii="Arial" w:cs="Arial" w:eastAsia="Arial" w:hAnsi="Arial"/>
                <w:sz w:val="18"/>
                <w:szCs w:val="18"/>
                <w:color w:val="auto"/>
              </w:rPr>
              <w:t>China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Irvine, California</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Lubbock, Texas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Mexico City, Mexico</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Mexico</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North Attleboro,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Palmer, Massachusetts</w:t>
            </w:r>
          </w:p>
        </w:tc>
        <w:tc>
          <w:tcPr>
            <w:tcW w:w="19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Taunton, Massachusetts</w:t>
            </w:r>
          </w:p>
        </w:tc>
        <w:tc>
          <w:tcPr>
            <w:tcW w:w="196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Plant</w:t>
            </w:r>
          </w:p>
        </w:tc>
        <w:tc>
          <w:tcPr>
            <w:tcW w:w="1940" w:type="dxa"/>
            <w:vAlign w:val="bottom"/>
            <w:gridSpan w:val="4"/>
          </w:tcPr>
          <w:p>
            <w:pPr>
              <w:ind w:left="680"/>
              <w:spacing w:after="0"/>
              <w:rPr>
                <w:sz w:val="20"/>
                <w:szCs w:val="20"/>
                <w:color w:val="auto"/>
              </w:rPr>
            </w:pPr>
            <w:r>
              <w:rPr>
                <w:rFonts w:ascii="Arial" w:cs="Arial" w:eastAsia="Arial" w:hAnsi="Arial"/>
                <w:sz w:val="18"/>
                <w:szCs w:val="18"/>
                <w:color w:val="auto"/>
              </w:rPr>
              <w:t>U.S.A.</w:t>
            </w: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Pr>
          <w:p>
            <w:pPr>
              <w:spacing w:after="0"/>
              <w:rPr>
                <w:sz w:val="20"/>
                <w:szCs w:val="20"/>
                <w:color w:val="auto"/>
              </w:rPr>
            </w:pPr>
          </w:p>
        </w:tc>
      </w:tr>
      <w:tr>
        <w:trPr>
          <w:trHeight w:val="512"/>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Joint Venture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544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General Character</w:t>
            </w:r>
          </w:p>
        </w:tc>
        <w:tc>
          <w:tcPr>
            <w:tcW w:w="19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Country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20" w:type="dxa"/>
            <w:vAlign w:val="bottom"/>
          </w:tcPr>
          <w:p>
            <w:pPr>
              <w:spacing w:after="0"/>
              <w:rPr>
                <w:sz w:val="24"/>
                <w:szCs w:val="24"/>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Wuxi, China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92"/>
              </w:rPr>
              <w:t>Plant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China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20" w:type="dxa"/>
            <w:vAlign w:val="bottom"/>
            <w:tcBorders>
              <w:top w:val="single" w:sz="8" w:color="auto"/>
            </w:tcBorders>
            <w:shd w:val="clear" w:color="auto" w:fill="CCEEFF"/>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manufacturing plants, we lease office space in Charlotte, North Carolina, which serves as our corporate headquarters.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disclosed in Note 13 of the Notes to Consolidated Financial Statements included elsewhere in this Annual Report, we are engaged in certain legal proceedings, and the disclosure set forth in Note 13 relating to certain commitments and contingencies is incorporated herein by reference.</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common stock is traded on Nasdaq under the trading symbol “NNBR.” As of March 4, 2022, there were approximately 6,000 beneficial owners of record of our common stock, and the closing per share stock price as reported by Nasdaq was $2.42.</w:t>
      </w:r>
    </w:p>
    <w:p>
      <w:pPr>
        <w:spacing w:after="0" w:line="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graph and table compare the cumulative total shareholder return on our common stock with the cumulative total shareholder return of: (i) the Russell 2000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Index, which is a broad equity market index, and (ii) the S&amp;P SmallCap 600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Industrials Index, which is a published industry index, for the period from December 31, 2016, to December 31, 2021. Previously, we compared the return on our common stock with the S&amp;P SmallCap 600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 customized peer group, which consisted of the following companies: Altra Industrial Motion Corp., Ametek Inc., CIRCOR International, Inc., Colfax Corporation, Crane, Enerpac Tool Group Corp, Kaman Corporation, Park-Ohio Holdings Corp. and Worthington Industries, Inc. (collectively, the “2020 Peer Group”). During 2021, we determined that the Russell 2000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Index and the S&amp;P SmallCap 600</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Industrials Index are more applicable comparisons for our common stock due to our market capitalization and customer end markets following the sale of the Life Sciences business in 2020. Due to the change in selected comparative indices, we are presenting the comparative index and industry peer group that was used in the prior year. The following graph and table assume that a $100 investment was made at the close of trading on December 31, 2016. We cannot assure you that the performance of our common stock will continue in the future with the same or similar trend depicted on the graph.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83185</wp:posOffset>
            </wp:positionV>
            <wp:extent cx="5254625" cy="3257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NN,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114.65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177.73</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SmallCap 600 Industrials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S&amp;P SmallCap 600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113.21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141.61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179.60</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Peer Group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w:t>
            </w: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Source: Value Line Publishing LLC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for information required by Item 201 (d) of Regulation S-K.</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the Selected Financial Data included elsewhere in this Annual Report.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79" w:lineRule="exact"/>
        <w:rPr>
          <w:sz w:val="20"/>
          <w:szCs w:val="20"/>
          <w:color w:val="auto"/>
        </w:rPr>
      </w:pPr>
    </w:p>
    <w:p>
      <w:pPr>
        <w:ind w:right="34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A detailed discussion of our results of operations and liquidity and capital resources for the year ended December 31, 2020 compared to the year ended December 31, 2019 are not included herein and can be found in Item 7. Management's Discussion and Analysis of Financial Condition and Results of Operations of our </w:t>
      </w:r>
      <w:hyperlink r:id="rId45">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filed with the SEC on March 15,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and management focus are based upon the following long-term objectives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growth within our segments;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Improved operating margins;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reduction;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Efficient capital deployment;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leverage ratio improvement;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management initiatives;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health, safety, and satisfaction;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generally focuses on these trends and relevant market indicators</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 electric vehicles, and electrification;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Raw materials;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Regulatory compliance; and</w:t>
      </w:r>
    </w:p>
    <w:p>
      <w:pPr>
        <w:spacing w:after="0" w:line="117" w:lineRule="exact"/>
        <w:rPr>
          <w:rFonts w:ascii="Arial" w:cs="Arial" w:eastAsia="Arial" w:hAnsi="Arial"/>
          <w:sz w:val="18"/>
          <w:szCs w:val="18"/>
          <w:color w:val="auto"/>
        </w:rPr>
      </w:pPr>
    </w:p>
    <w:p>
      <w:pPr>
        <w:ind w:left="1020" w:hanging="324"/>
        <w:spacing w:after="0"/>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Energy;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Defense spending;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Residential and non-residential construction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 and manufacturing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levels and expectations;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tariff regulations.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generally focuses on the following key indicators of operating performance</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sales;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Leverage ratio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non-GAAP measures as defined in our quarterly earnings releases and investor presentations;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External and internal quality indicators;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significant accounting policies, including the assumptions and judgment underlying them, are disclosed in Note 1 of the Notes to Consolidated Financial Statements. As disclosed in Note 1,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Goodwill was tested for impairment on an annual basis in the fourth quarter and between annual tests if a triggering event occurred. The impairment analysis was performed at the reporting unit level. As of December 31, 2021 and 2020, there was no remaining goodwill balance due to impairments recognized during the year ended December 31, 2020. An impairment charge was calculated based on a reporting unit’s carrying amount in excess of its fair value (i.e., step 1 of the two-step impairment test). If the carrying value of the reporting unit including goodwill was less than the fair value of the reporting unit, the goodwill was not considered impaired. Reporting units for the purpose of goodwill impairment testing were the same as our operating segments (Mobile Solutions and Power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eliminate disproportionate tax effects from accumulated other comprehensive income (loss) when the circumstances upon which they are premised cease to exist.</w:t>
      </w:r>
    </w:p>
    <w:p>
      <w:pPr>
        <w:spacing w:after="0" w:line="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management weighting the current positive and negative evidence for recording tax benefits and expenses. A significant piece of objective negative evidence evaluated is cumulative losses incurred over the three-year period ended December 31, 2021. Such objective evidence limits the ability to consider other subjective evidence, such as our projections for future earnings growth. We have recorded a U.S. deferred tax liability for foreign earnings which are not indefinitely reinvested. We treat global intangible low-taxed income (“GILTI”) as a periodic charge in the year in which it arises and therefore do not record deferred taxes for basis differences associated with GILTI.</w:t>
      </w:r>
    </w:p>
    <w:p>
      <w:pPr>
        <w:spacing w:after="0" w:line="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 (See Note 1 and Note 10 of the Notes to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Fair value is an exit price representing the expected amount that an entity would receive to sell an asset or pay to transfer a liability in an orderly transaction with market participants at the measurement date. Fair value principles prioritize valuation inputs across three broad levels. An asset or liability’s classification within the various levels is determined based on the lowest level input that is significant to the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year ended December 31, 2021, that management believes are important to provide an understanding of the business and results of operations or that may influence operations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COVID-19 pandemic continues to disrupt the United States and global economy, and we cannot predict when a full economic recovery will occur. New and more easily transmitted variants of COVID-19, such as the Delta and Omicron variants, have emerged and spread in the United States and across the globe. The impact of these variants cannot be predicted at this time and could depend on numerous factors, including vaccination rates among the population, the effectiveness of COVID-19 vaccines against the new variants, and the response by governmental bodies and regulators. Further surges in COVID-19 infection rates could result in the reinstatement of directives and mandates requiring businesses to again curtail or cease normal operations.</w:t>
      </w:r>
    </w:p>
    <w:p>
      <w:pPr>
        <w:spacing w:after="0" w:line="5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spread of COVID-19 and the responses thereto have created a disruption in the manufacturing, delivery, and overall supply chain of automobile manufacturers and suppliers, as well as disruption within the power industry. Global vehicle production decreased significantly in 2020, but production ramped back up in 2021. However, production continues to be impacted by disruptions of global supply chains, which have caused challenges in obtaining raw materials we use in the manufacture of some of our products. We increased our inventories in the current year to mitigate the risk of supply chain disruption for our customers. In addition, power shortages in China have resulted in widespread blackouts, often without any or little notice. These blackouts caused us and other manufacturers in the region to shut down production until power was restored. Supply chain and COVID-19 related disruptions are expected to continue into 2022.</w:t>
      </w:r>
    </w:p>
    <w:p>
      <w:pPr>
        <w:spacing w:after="0" w:line="8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Inflation triggered by the unprecedented economic impact of the COVID-19 pandemic has increased our manufacturing cost, particularly labor and materials, and is expected to continue into future periods. A worldwide semiconductor chip shortage is affecting automotive original equipment manufacturers, causing unpredictable volumes. The rapid development and fluidity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situation precludes any prediction as to the ultimate impact COVID-19 will have on our business, financial condition, results of operations, and cash flows, which will depend largely on future developments directly or indirectly relating to the duration and scope of the COVID-19 pandemic.</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managing decreased demand in many regions across the globe, we are now operating at all of our business locations. We have implemented training and recruiting programs to address labor shortages. We are focused on the health and safety of our employees, customers, and suppliers. We have developed and implemented processes to ensure a safe environment for our employees and any visitors to our facilities, including providing personal protective equipment and establishing social distancing protocols.</w:t>
      </w:r>
    </w:p>
    <w:p>
      <w:pPr>
        <w:spacing w:after="0" w:line="7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These processes include recommendations based on guidelines from the Centers for Disease Control and Prevention and the World Health Organization. The health and safety of our employees remains our top priority. While we are actively promoting vaccination among our employees, vaccination status may affect workforce availability ranging from absences for vaccinations, booster shots, and recovery from side-effects. Significant workforce availability challenges could have a material effect on our business operations, financial results, liquidity, and financial position.</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undertaken a number of permanent and temporary actions to manage the evolving situation. We continue to streamline facilities and implement cost savings initiatives. Capital expenditures and travel costs remain at relatively low levels. We refinanced our credit facility and preferred stock in the first quarter of 2021 as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 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Outstanding borrowings under the Term Loan Facility bear interest at either 1) one-month LIBOR (subject to a 1.000% floor) plus an applicable margin of 6.875% or 2) the greater of various benchmark rates plus an applicable margin of 5.875%. At December 31, 2021, the Term Loan Facility bore interest, based on one-month LIBOR, at 7.875%. 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December 31, 2021.</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On July 22, 2021, we entered into a new fixed-rate interest rate swap agreement to change the LIBOR-based component of the interest rate on</w:t>
      </w:r>
    </w:p>
    <w:p>
      <w:pPr>
        <w:spacing w:after="0" w:line="3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$60.0 million of our variable rate debt to a fixed rate of 1.291%. The interest rate swap, which has been designated as a cash flow hedge, has a notional amount of $60.0 million and a maturity date of July 31, 2024.</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December 31, 2021, using one-month LIBOR plus a 1.75% spread, the weighted average interest rate on outstanding borrowings under the ABL Facility would have been 2.25% if there had been any balance outstanding. We pay a commitment fee of 0.375% for unused capacity under the ABL Facility and a 1.875% fee on the amount of letters of credit outstanding. The final maturity date of the ABL Facility is March 22, 2026.</w:t>
      </w:r>
    </w:p>
    <w:p>
      <w:pPr>
        <w:spacing w:after="0" w:line="7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of December 31, 2021, we had no outstanding borrowings under the ABL Facility, $11.2 million of outstanding letters of credit, and $36.0 million available for future borrowings under the ABL Facility. The ABL Facility has a first lien on accounts receivable and inventory. We were in compliance with all requirements under the ABL Facility as of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 The total redemption cash payment was $118.4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recognized sales from a single customer of $49.7 million, or 10% of consolidated net sales, during the year ended December 31, 2019. Revenues from this customer are in our Mobile Solutions segment and were less than 10% of consolidated net sales during the years ended December 31, 2021 and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as a Percentage of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percentage of our net sales represented by statement of operations line item.</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Years Ended December 31,</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w w:val="94"/>
              </w:rPr>
              <w:t>Cost of sales (exclusive of depreciation and amortization shown separately below)</w:t>
            </w:r>
          </w:p>
        </w:tc>
        <w:tc>
          <w:tcPr>
            <w:tcW w:w="1520" w:type="dxa"/>
            <w:vAlign w:val="bottom"/>
          </w:tcPr>
          <w:p>
            <w:pPr>
              <w:jc w:val="right"/>
              <w:spacing w:after="0"/>
              <w:rPr>
                <w:sz w:val="20"/>
                <w:szCs w:val="20"/>
                <w:color w:val="auto"/>
              </w:rPr>
            </w:pPr>
            <w:r>
              <w:rPr>
                <w:rFonts w:ascii="Arial" w:cs="Arial" w:eastAsia="Arial" w:hAnsi="Arial"/>
                <w:sz w:val="18"/>
                <w:szCs w:val="18"/>
                <w:color w:val="auto"/>
              </w:rPr>
              <w:t>81.7 %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80.4 %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80.2 %</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9.7 %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Other operating expense (income), net</w:t>
            </w: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Derivative payments on interest rate swap</w:t>
            </w:r>
          </w:p>
        </w:tc>
        <w:tc>
          <w:tcPr>
            <w:tcW w:w="1520" w:type="dxa"/>
            <w:vAlign w:val="bottom"/>
          </w:tcPr>
          <w:p>
            <w:pPr>
              <w:jc w:val="right"/>
              <w:spacing w:after="0"/>
              <w:rPr>
                <w:sz w:val="20"/>
                <w:szCs w:val="20"/>
                <w:color w:val="auto"/>
              </w:rPr>
            </w:pPr>
            <w:r>
              <w:rPr>
                <w:rFonts w:ascii="Arial" w:cs="Arial" w:eastAsia="Arial" w:hAnsi="Arial"/>
                <w:sz w:val="18"/>
                <w:szCs w:val="18"/>
                <w:color w:val="auto"/>
              </w:rPr>
              <w:t>0.4 %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interest rate swap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55"/>
        </w:trPr>
        <w:tc>
          <w:tcPr>
            <w:tcW w:w="6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Loss from continuing operations before benefit (provision) for income taxes and share</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net income from joint venture</w:t>
            </w:r>
          </w:p>
        </w:tc>
        <w:tc>
          <w:tcPr>
            <w:tcW w:w="152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Benefit (provision) for income taxes</w:t>
            </w:r>
          </w:p>
        </w:tc>
        <w:tc>
          <w:tcPr>
            <w:tcW w:w="1520" w:type="dxa"/>
            <w:vAlign w:val="bottom"/>
          </w:tcPr>
          <w:p>
            <w:pPr>
              <w:jc w:val="right"/>
              <w:spacing w:after="0"/>
              <w:rPr>
                <w:sz w:val="20"/>
                <w:szCs w:val="20"/>
                <w:color w:val="auto"/>
              </w:rPr>
            </w:pPr>
            <w:r>
              <w:rPr>
                <w:rFonts w:ascii="Arial" w:cs="Arial" w:eastAsia="Arial" w:hAnsi="Arial"/>
                <w:sz w:val="18"/>
                <w:szCs w:val="18"/>
                <w:color w:val="auto"/>
              </w:rPr>
              <w:t>0.4 %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the Year Ended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50,050</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60"/>
              <w:spacing w:after="0"/>
              <w:rPr>
                <w:sz w:val="20"/>
                <w:szCs w:val="20"/>
                <w:color w:val="auto"/>
              </w:rPr>
            </w:pPr>
            <w:r>
              <w:rPr>
                <w:rFonts w:ascii="Arial" w:cs="Arial" w:eastAsia="Arial" w:hAnsi="Arial"/>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47,862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2,188</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line="176" w:lineRule="exact"/>
              <w:rPr>
                <w:sz w:val="20"/>
                <w:szCs w:val="20"/>
                <w:color w:val="auto"/>
              </w:rPr>
            </w:pPr>
            <w:r>
              <w:rPr>
                <w:rFonts w:ascii="Arial" w:cs="Arial" w:eastAsia="Arial" w:hAnsi="Arial"/>
                <w:sz w:val="18"/>
                <w:szCs w:val="18"/>
                <w:color w:val="auto"/>
                <w:w w:val="97"/>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389,995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343,594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46,401</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108,453</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(6,234)</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40"/>
              <w:spacing w:after="0"/>
              <w:rPr>
                <w:sz w:val="20"/>
                <w:szCs w:val="20"/>
                <w:color w:val="auto"/>
              </w:rPr>
            </w:pPr>
            <w:r>
              <w:rPr>
                <w:rFonts w:ascii="Arial" w:cs="Arial" w:eastAsia="Arial" w:hAnsi="Arial"/>
                <w:sz w:val="18"/>
                <w:szCs w:val="18"/>
                <w:color w:val="auto"/>
              </w:rPr>
              <w:t>Derivative payments on interest rate swap</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(2,416)</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interest rate swap</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Loss from continuing operations before benefit for income taxes and share of net</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(22,442)</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(152,088)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129,646</w:t>
            </w: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joint venture</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Benefit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(7,216)</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Loss from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125,065</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87,367</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460"/>
        <w:spacing w:after="0" w:line="27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$50.1 million, or 12%, during the year ended December 31, 2021, compared to the year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higher demand within all markets that were negatively impacted by the COVID-19 pandemic in the prior year and favorable foreign exchange effects of $2.2 million. In addition, sales were positively impacted by increased selling prices for precious metals allowed under customer contracts due to the sharp rise in underlying commodities costs compared with the year ended December 31, 2020.</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$46.4 million, or 14%, during the year ended December 31, 2021,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 variable costs associated with the above-noted sales increase. In addition, cost of sales increased due to the reintroduction of employee-related costs suspended in the prior year due to the COVID-19 pandemic, such as travel, benefits and overtime hours. Finally, cost of sales increased due to variable cost inefficiencies associated with global supply chain interruptions, uneven customer ordering patterns (particularly in the automotive market), and inflation. These increases were partially offset by more favorable overhead absorption compared to prior year due to the increase in inventory.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$6.6 million during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year ended December 31, 2020, primarily due to cost reduction initiatives that drove decreases in personnel costs, professional fees, and office occupancy costs.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We recognized goodwill impairment of $92.9 million at Power Solutions in 2020, resulting in no remaining goodwill balance.</w:t>
      </w:r>
    </w:p>
    <w:p>
      <w:pPr>
        <w:spacing w:after="0" w:line="129"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color w:val="auto"/>
        </w:rPr>
        <w:t xml:space="preserve">Other Operating Expense (Income), Net. </w:t>
      </w:r>
      <w:r>
        <w:rPr>
          <w:rFonts w:ascii="Arial" w:cs="Arial" w:eastAsia="Arial" w:hAnsi="Arial"/>
          <w:sz w:val="16"/>
          <w:szCs w:val="16"/>
          <w:color w:val="auto"/>
        </w:rPr>
        <w:t>Other operating expense (income), net, changed favorably by $5.8 million primarily due to charges and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asset disposals and elimination of a portion of our lease obligation as a result of our decision to vacate a portion of our corporate headquarters building in 2020. These charges were partially offset by a gain on the sale of a building in Fairfield, Ohio, in the second quarter of 2020.</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$6.2 million during the year ended December 31, 2021, compared to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settlements on the interest rate swap that was terminated in connection with our debt refinancing in 2021. This decrease was partially offset by higher interest rates on debt in the current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6"/>
                <w:szCs w:val="16"/>
                <w:color w:val="auto"/>
              </w:rPr>
            </w:pPr>
          </w:p>
        </w:tc>
      </w:tr>
      <w:tr>
        <w:trPr>
          <w:trHeight w:val="187"/>
        </w:trPr>
        <w:tc>
          <w:tcPr>
            <w:tcW w:w="7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8,906</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18,898</w:t>
            </w:r>
          </w:p>
        </w:tc>
      </w:tr>
      <w:tr>
        <w:trPr>
          <w:trHeight w:val="21"/>
        </w:trPr>
        <w:tc>
          <w:tcPr>
            <w:tcW w:w="7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 xml:space="preserve">Loss on Extinguishment of Debt and Write-off of Debt Issuance Costs. </w:t>
      </w:r>
      <w:r>
        <w:rPr>
          <w:rFonts w:ascii="Arial" w:cs="Arial" w:eastAsia="Arial" w:hAnsi="Arial"/>
          <w:sz w:val="18"/>
          <w:szCs w:val="18"/>
          <w:color w:val="auto"/>
        </w:rPr>
        <w:t>We recognized $2.4 million for the write-off of unamortized debt issuance costs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associated with the credit facility that was terminated in March 2021.</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Derivative Payments on Interest Rate Swap. </w:t>
      </w:r>
      <w:r>
        <w:rPr>
          <w:rFonts w:ascii="Arial" w:cs="Arial" w:eastAsia="Arial" w:hAnsi="Arial"/>
          <w:sz w:val="18"/>
          <w:szCs w:val="18"/>
          <w:color w:val="auto"/>
        </w:rPr>
        <w:t>Derivative payments on interest rate swap represent cash settlements of the interest rate swap after hedge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was discontinued in October 2020. Prior to October 2020, interest rate swap settlements were recognized in interest expense. The previous interest rate swap was terminated in the first quarter of 2021. We entered into a new interest rate swap in the third quarter of 2021, which is designated as a cash flow hedge with the impact of settlements recognized in interest expense.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Loss on Interest Rate Swap</w:t>
      </w:r>
      <w:r>
        <w:rPr>
          <w:rFonts w:ascii="Arial" w:cs="Arial" w:eastAsia="Arial" w:hAnsi="Arial"/>
          <w:sz w:val="18"/>
          <w:szCs w:val="18"/>
          <w:color w:val="auto"/>
        </w:rPr>
        <w:t>. Loss on interest rate swap represents mark-to-market adjustments on the interest rate swap after hedge accounting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in October 2020 as well as amortization of the residual loss in accumulated other comprehensive income as monthly settlements occur. Prior to October 2020, mark-to-market adjustments on the interest rate swap were recognized in accumulated other comprehensive income. Upon termination of the previous interest rate swap in March 2021, we recognized in earnings the remaining $3.3 million loss that had been deferred in accumulated other comprehensive income.</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changed favorably by $5.2 million during the year ended December 31, 2021, compared to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due to noncash derivative mark-to-market gains and more favorable foreign exchange effects associated with intercompany borrowings, partially offset by a litigation settlement reached during the second quarter of 2021.</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was 7.8% for the year ended December 31, 2021, compared to 5.9%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difference in rates is primarily due to the limitation on the amount of tax benefit recorded for loss carryforwards in 2021 and the impact of the impairment of nondeductible goodwill in 2020. Note 10 in the Notes to Consolidated Financial Statements describes the effective income tax rate for each period presented.</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from the JV increased during the year ended December 31, 2021,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primarily due to recovery from the effects of the COVID-19 pandemic on prior year sales. The JV, in which we own a 49% investment, recognized net sales of $94.8 million and $68.2 million for the years ended December 31, 2021 and 2020, respectively. Additionally, profits improved from expanding variable margins as a result of successful process improvement initiatives, improved product mix, and fixed cost reduction actions.</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Income from Discontinued Operations, Net of Tax</w:t>
      </w:r>
      <w:r>
        <w:rPr>
          <w:rFonts w:ascii="Arial" w:cs="Arial" w:eastAsia="Arial" w:hAnsi="Arial"/>
          <w:sz w:val="18"/>
          <w:szCs w:val="18"/>
          <w:color w:val="auto"/>
        </w:rPr>
        <w:t>. The largest component of income from discontinued operations, net of tax,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was the $214.9 million gain on sale of our Life Sciences business. Note 2 in the Notes to Consolidated Financial Statements provides details of the results of discontinued operations. We recognized a gain of $1.2 million during the year ended December 31, 2021, due to the favorable resolution of a tax indemnity.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8"/>
              </w:rPr>
              <w:t>29,503</w:t>
            </w:r>
          </w:p>
        </w:tc>
        <w:tc>
          <w:tcPr>
            <w:tcW w:w="860" w:type="dxa"/>
            <w:vAlign w:val="bottom"/>
            <w:shd w:val="clear" w:color="auto" w:fill="CCEEFF"/>
          </w:tcPr>
          <w:p>
            <w:pPr>
              <w:spacing w:after="0"/>
              <w:rPr>
                <w:sz w:val="19"/>
                <w:szCs w:val="19"/>
                <w:color w:val="auto"/>
              </w:rPr>
            </w:pP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395"/>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27,649</w:t>
            </w: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1,854</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75"/>
              <w:spacing w:after="0"/>
              <w:rPr>
                <w:sz w:val="20"/>
                <w:szCs w:val="20"/>
                <w:color w:val="auto"/>
              </w:rPr>
            </w:pPr>
            <w:r>
              <w:rPr>
                <w:rFonts w:ascii="Arial" w:cs="Arial" w:eastAsia="Arial" w:hAnsi="Arial"/>
                <w:sz w:val="18"/>
                <w:szCs w:val="18"/>
                <w:color w:val="auto"/>
              </w:rPr>
              <w:t>3,811</w:t>
            </w:r>
          </w:p>
        </w:tc>
        <w:tc>
          <w:tcPr>
            <w:tcW w:w="860" w:type="dxa"/>
            <w:vAlign w:val="bottom"/>
          </w:tcPr>
          <w:p>
            <w:pPr>
              <w:spacing w:after="0"/>
              <w:rPr>
                <w:sz w:val="20"/>
                <w:szCs w:val="20"/>
                <w:color w:val="auto"/>
              </w:rPr>
            </w:pPr>
          </w:p>
        </w:tc>
      </w:tr>
    </w:tbl>
    <w:p>
      <w:pPr>
        <w:spacing w:after="0" w:line="25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Net sales increased by $29.5 million during the year ended December 31, 2021, compared to the year ended December 31, 2020, primarily due to higher demand within all markets which were negatively impacted by the COVID-19 pandemic in the prior year, new business in the general industrial market, and favorable foreign exchange effects. In the fourth quarter of 2021, we recognized a customer pricing settlement.</w:t>
      </w:r>
    </w:p>
    <w:p>
      <w:pPr>
        <w:spacing w:after="0" w:line="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Income from operations increased by $3.8 million compared to the same period in the prior year primarily due to contribution generated from the above-noted sales increase and customer pricing settlement. Moreover, we built up inventory in the year ended December 31, 2021, which resulted in favorable overhead absorption during the current year compared to the prior year. These positive impacts were partially offset by the reintroduction of employee-related costs suspended in the prior year due to the COVID-19 pandemic (such as travel, benefits, and overtime hours), material and labor inflation, and variable cost inefficiencies associated with global supply chain interruptions and uneven customer ordering patterns, particularly in the automotive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3"/>
              </w:rPr>
              <w:t>Years Ended December 31,</w:t>
            </w:r>
          </w:p>
        </w:tc>
        <w:tc>
          <w:tcPr>
            <w:tcW w:w="1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6"/>
                <w:szCs w:val="16"/>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171,269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0"/>
              </w:rPr>
              <w:t>20,531</w:t>
            </w:r>
          </w:p>
        </w:tc>
        <w:tc>
          <w:tcPr>
            <w:tcW w:w="820" w:type="dxa"/>
            <w:vAlign w:val="bottom"/>
            <w:shd w:val="clear" w:color="auto" w:fill="CCEEFF"/>
          </w:tcPr>
          <w:p>
            <w:pPr>
              <w:spacing w:after="0"/>
              <w:rPr>
                <w:sz w:val="19"/>
                <w:szCs w:val="19"/>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20,197</w:t>
            </w:r>
          </w:p>
        </w:tc>
      </w:tr>
      <w:tr>
        <w:trPr>
          <w:trHeight w:val="230"/>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334</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(92,942)</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614"/>
              <w:spacing w:after="0"/>
              <w:rPr>
                <w:sz w:val="20"/>
                <w:szCs w:val="20"/>
                <w:color w:val="auto"/>
              </w:rPr>
            </w:pPr>
            <w:r>
              <w:rPr>
                <w:rFonts w:ascii="Arial" w:cs="Arial" w:eastAsia="Arial" w:hAnsi="Arial"/>
                <w:sz w:val="18"/>
                <w:szCs w:val="18"/>
                <w:color w:val="auto"/>
                <w:w w:val="90"/>
              </w:rPr>
              <w:t>92,942</w:t>
            </w:r>
          </w:p>
        </w:tc>
        <w:tc>
          <w:tcPr>
            <w:tcW w:w="820" w:type="dxa"/>
            <w:vAlign w:val="bottom"/>
          </w:tcPr>
          <w:p>
            <w:pPr>
              <w:spacing w:after="0"/>
              <w:rPr>
                <w:sz w:val="19"/>
                <w:szCs w:val="19"/>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(85,983)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0"/>
              </w:rPr>
              <w:t>92,476</w:t>
            </w:r>
          </w:p>
        </w:tc>
        <w:tc>
          <w:tcPr>
            <w:tcW w:w="82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Net sales increased by $20.5 million during the year ended December 31, 2021, compared to the year ended December 31, 2020, primarily due to higher demand within our end markets, all of which were negatively impacted by the COVID-19 pandemic in the prior year. Sales were positively impacted by increased selling prices for precious metals allowed under customer contracts due to the sharp rise in underlying commodities costs compared to the year ended December 31, 2020. In addition, revenue increased during the fourth quarter of 2021 due to prices increases with certain customers.</w:t>
      </w:r>
    </w:p>
    <w:p>
      <w:pPr>
        <w:spacing w:after="0" w:line="4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Income (loss) from operations increased by $92.5 million compared to the same period in the prior year primarily due to a goodwill impairment loss of $92.9 million recognized in the first quarter of 2020. In addition, income from operations increased due to the above-noted higher sales volume. These favorable impacts were partially offset by an adverse shift in sales mix; higher material costs as a result of inflation; operating inefficiencies in our aerospace, defense, and medical business; and the reintroduction of employee-related costs suspended in the prior year due to the COVID-19 pandemic, such as travel, benefits and overtime hours.</w:t>
      </w:r>
    </w:p>
    <w:p>
      <w:pPr>
        <w:spacing w:after="0" w:line="184" w:lineRule="exact"/>
        <w:rPr>
          <w:sz w:val="20"/>
          <w:szCs w:val="20"/>
          <w:color w:val="auto"/>
        </w:rPr>
      </w:pPr>
    </w:p>
    <w:p>
      <w:pPr>
        <w:ind w:right="5140"/>
        <w:spacing w:after="0" w:line="409" w:lineRule="auto"/>
        <w:rPr>
          <w:sz w:val="20"/>
          <w:szCs w:val="20"/>
          <w:color w:val="auto"/>
        </w:rPr>
      </w:pPr>
      <w:r>
        <w:rPr>
          <w:rFonts w:ascii="Arial" w:cs="Arial" w:eastAsia="Arial" w:hAnsi="Arial"/>
          <w:sz w:val="18"/>
          <w:szCs w:val="18"/>
          <w:b w:val="1"/>
          <w:bCs w:val="1"/>
          <w:color w:val="auto"/>
        </w:rPr>
        <w:t xml:space="preserve">Changes in Financial Condition from December 31, 2020, to December 31, 2021 </w:t>
      </w:r>
      <w:r>
        <w:rPr>
          <w:rFonts w:ascii="Arial" w:cs="Arial" w:eastAsia="Arial" w:hAnsi="Arial"/>
          <w:sz w:val="18"/>
          <w:szCs w:val="18"/>
          <w:i w:val="1"/>
          <w:iCs w:val="1"/>
          <w:color w:val="auto"/>
        </w:rPr>
        <w:t>Overview</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From December 31, 2020, to December 31, 2021, total assets decreased by $45.9 million primarily due to normal depreciation and amortization of fixed assets, lease right-of-use assets, and intangible assets. We used $15.4 million of cash to settle the ineffective interest rate swap as part of our refinancing during the first quarter of 2021. Accounts receivable decreased as a result of successful collection efforts, accelerated payment terms, and lower sales in the fourth quarter of 2021 compared with the fourth quarter of 2020. These decreases were partially offset by capital expenditures and increases in inventories during the year ended December 31, 2021. Inventories increased as a result of a strategic decision to mitigate potential supply chain issues for our customers. The investment in the Chinese joint venture also increased as a result of undistributed earnings of the joint venture.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From December 31, 2020, to December 31, 2021, total liabilities increased by $35.4 million, primarily due to the refinancing of our credit facilities, partially offset by the termination of the ineffective interest rate swap.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provided by operations was $15.6 million for the year ended December 31, 2021, compared with cash provided by operations of $15.5 million for the year ended December 31, 2020. Operating activities during 2021 included building inventory levels as a result of a strategic decision to mitigate potential supply chain issues for our customers. Net payments for income taxes were $5.4 million higher in the year ended December 31, 2021 when compared to 2020. The increased bonus payout to our employees during 2021 also impacted operating activities. Operating activities were positively impacted by the timing of disbursements on accounts payable compared to 2020, as well as increased income generated from operations during the year ended December 31, 2021.</w:t>
      </w:r>
    </w:p>
    <w:p>
      <w:pPr>
        <w:spacing w:after="0" w:line="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Cash used in investing activities was $36.1 million for the year ended December 31, 2021, compared with cash provided by investing activities of $719.3 million for the year ended December 31, 2020. The difference was primarily due to cash received from the sale of the Life Sciences business in 2020.</w:t>
      </w:r>
    </w:p>
    <w:p>
      <w:pPr>
        <w:spacing w:after="0" w:line="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Cash provided by financing activities was $2.6 million for the year ended December 31, 2021, compared with cash used by financing activities of $714.9 million for the year ended December 31, 2020. The difference was primarily due to $11.6 million net inflow from the debt and preferred stock refinancing in the current year compared to the prepayment of debt in 2020 with proceeds from the sale of the Life Sciences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principal amount outstanding under our Term Loan Facility as of December 31, 2021, was $148.9 million, without regard to unamortized debt issuance costs and discount. As of December 31, 2021, we had $36.0 million available for future borrowings under the ABL Facility. This amount of borrowing capacity is net of $11.2 million of outstanding letters of credit at December 31, 2021, which are considered as usage of the ABL Facility.</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Term Loan Facility requires quarterly principal payments of $0.4 million with the remaining unpaid principal amount due on the final maturity date of September 22, 2026. If one-month LIBOR is less than 1.000%, then we pay 7.875% per annum in interest. If one-month LIBOR exceeds 1.000%, then we pay the variable one-month LIBOR plus an applicable margin of 6.875%. Based on the interest rate in effect at December 31, 2021, and the fixed rate on the 2021 interest rate swap, annual interest payments would be approximately $11.9 million.</w:t>
      </w:r>
    </w:p>
    <w:p>
      <w:pPr>
        <w:spacing w:after="0" w:line="6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ABL Facility bears interest on a variable rate structure with borrowings bearing interest at one-month LIBOR plus an applicable margin of 1.75%. The interest rate in effect at December 31, 2021, was 2.25%. We pay a commitment fee of 0.375% for unused capacity under the ABL Facility.</w:t>
      </w:r>
    </w:p>
    <w:p>
      <w:pPr>
        <w:spacing w:after="0" w:line="9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were in compliance as of December 31, 2021, with all requirements under our Term Loan Facility and ABL Facility. Both credit facilities allow for optional expansion of available borrowings, subject to certain terms and conditions. On March 3, 2022, we amended our Term Loan Facility, which increases the quarterly maximum consolidated net leverage ratio beginning with the first quarter of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Refer to Note 19 in the Notes to Consolidated Financial Statements for further discussion about the interest rate swap.</w:t>
      </w:r>
    </w:p>
    <w:p>
      <w:pPr>
        <w:spacing w:after="0" w:line="8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December 31, 2021, no currency derivatives were in place. In addition, a strengthening of the U.S. dollar against foreign currencies could impair our ability to compete with international competitors for foreign as well as domestic sales.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currently have foreign operations in Brazil, China, France, Mexico, and Poland. The local currency of each foreign facility is also its functional currency.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February 2019, we entered into a fixed-rate interest rate swap agreement that changed the LIBOR-based portion of the interest rate on a portion of our variable rate debt to a fixed rate of 2.4575%. On March 22, 2021, we terminated the interest rate swap agreement in connection with the prepayment of our previously outstanding long-term variable-rate debt.</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19 in the Notes to Consolidated Financial Statements included in this Annual Report for further discussion about the interest rate swaps.</w:t>
      </w:r>
    </w:p>
    <w:p>
      <w:pPr>
        <w:spacing w:after="0" w:line="140"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At December 31, 2021, we had $148.9 million of principal outstanding under the Term Loan Facility without regard to capitalized debt issuance costs. A one-percent increase in one-month LIBOR would have resulted in a net increase in interest expense of $0.1 million on an annualized basis due to the fact that the Term Loan Facility is subject to a LIBOR floor of 1.000% and one-month LIBOR was below the floor as of December 31,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had no outstanding borrowings under the ABL Facility at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December 31, 2021.</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160" w:type="dxa"/>
            <w:vAlign w:val="bottom"/>
            <w:gridSpan w:val="27"/>
          </w:tcPr>
          <w:p>
            <w:pPr>
              <w:jc w:val="right"/>
              <w:ind w:right="6360"/>
              <w:spacing w:after="0"/>
              <w:rPr>
                <w:sz w:val="20"/>
                <w:szCs w:val="20"/>
                <w:color w:val="auto"/>
              </w:rPr>
            </w:pPr>
            <w:r>
              <w:rPr>
                <w:rFonts w:ascii="Arial" w:cs="Arial" w:eastAsia="Arial" w:hAnsi="Arial"/>
                <w:sz w:val="18"/>
                <w:szCs w:val="18"/>
                <w:b w:val="1"/>
                <w:bCs w:val="1"/>
                <w:color w:val="auto"/>
                <w:w w:val="95"/>
              </w:rPr>
              <w:t>Financial Statements and Supplementary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10920" w:type="dxa"/>
            <w:vAlign w:val="bottom"/>
            <w:gridSpan w:val="30"/>
          </w:tcPr>
          <w:p>
            <w:pPr>
              <w:spacing w:after="0"/>
              <w:rPr>
                <w:sz w:val="20"/>
                <w:szCs w:val="20"/>
                <w:color w:val="auto"/>
              </w:rPr>
            </w:pPr>
            <w:r>
              <w:rPr>
                <w:rFonts w:ascii="Arial" w:cs="Arial" w:eastAsia="Arial" w:hAnsi="Arial"/>
                <w:sz w:val="18"/>
                <w:szCs w:val="18"/>
                <w:b w:val="1"/>
                <w:bCs w:val="1"/>
                <w:color w:val="auto"/>
              </w:rPr>
              <w:t>Index to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10"/>
        </w:trPr>
        <w:tc>
          <w:tcPr>
            <w:tcW w:w="20" w:type="dxa"/>
            <w:vAlign w:val="bottom"/>
          </w:tcPr>
          <w:p>
            <w:pPr>
              <w:spacing w:after="0"/>
              <w:rPr>
                <w:sz w:val="18"/>
                <w:szCs w:val="18"/>
                <w:color w:val="auto"/>
              </w:rPr>
            </w:pPr>
          </w:p>
        </w:tc>
        <w:tc>
          <w:tcPr>
            <w:tcW w:w="10900" w:type="dxa"/>
            <w:vAlign w:val="bottom"/>
            <w:gridSpan w:val="2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248)</w:t>
            </w:r>
          </w:p>
        </w:tc>
        <w:tc>
          <w:tcPr>
            <w:tcW w:w="300" w:type="dxa"/>
            <w:vAlign w:val="bottom"/>
            <w:tcBorders>
              <w:top w:val="single" w:sz="8" w:color="auto"/>
            </w:tcBorders>
            <w:gridSpan w:val="2"/>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00" w:type="dxa"/>
            <w:vAlign w:val="bottom"/>
            <w:gridSpan w:val="2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300" w:type="dxa"/>
            <w:vAlign w:val="bottom"/>
            <w:gridSpan w:val="2"/>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00" w:type="dxa"/>
            <w:vAlign w:val="bottom"/>
            <w:gridSpan w:val="2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Consolidated Statements of Operations and Comprehensive Income (Loss)</w:t>
              </w:r>
            </w:hyperlink>
          </w:p>
        </w:tc>
        <w:tc>
          <w:tcPr>
            <w:tcW w:w="30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Consolidated Balance Sheets</w:t>
              </w:r>
            </w:hyperlink>
          </w:p>
        </w:tc>
        <w:tc>
          <w:tcPr>
            <w:tcW w:w="3280" w:type="dxa"/>
            <w:vAlign w:val="bottom"/>
            <w:tcBorders>
              <w:top w:val="single" w:sz="8" w:color="0000FF"/>
            </w:tcBorders>
            <w:gridSpan w:val="20"/>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900" w:type="dxa"/>
            <w:vAlign w:val="bottom"/>
            <w:gridSpan w:val="2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Consolidated Statements of Changes in Stockholders’ Equity</w:t>
              </w:r>
            </w:hyperlink>
          </w:p>
        </w:tc>
        <w:tc>
          <w:tcPr>
            <w:tcW w:w="300" w:type="dxa"/>
            <w:vAlign w:val="bottom"/>
            <w:gridSpan w:val="2"/>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Consolidated Statements of Cash Flows</w:t>
              </w:r>
            </w:hyperlink>
          </w:p>
        </w:tc>
        <w:tc>
          <w:tcPr>
            <w:tcW w:w="1520" w:type="dxa"/>
            <w:vAlign w:val="bottom"/>
            <w:tcBorders>
              <w:top w:val="single" w:sz="8" w:color="0000FF"/>
            </w:tcBorders>
            <w:gridSpan w:val="11"/>
          </w:tcPr>
          <w:p>
            <w:pPr>
              <w:spacing w:after="0"/>
              <w:rPr>
                <w:sz w:val="18"/>
                <w:szCs w:val="18"/>
                <w:color w:val="auto"/>
              </w:rPr>
            </w:pPr>
          </w:p>
        </w:tc>
        <w:tc>
          <w:tcPr>
            <w:tcW w:w="6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Notes to Consolidated Financial Statements</w:t>
              </w:r>
            </w:hyperlink>
          </w:p>
        </w:tc>
        <w:tc>
          <w:tcPr>
            <w:tcW w:w="774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Note 1. Significant Accounting Policies</w:t>
              </w:r>
            </w:hyperlink>
          </w:p>
        </w:tc>
        <w:tc>
          <w:tcPr>
            <w:tcW w:w="300" w:type="dxa"/>
            <w:vAlign w:val="bottom"/>
            <w:gridSpan w:val="2"/>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Note 2. Discontinued Operations</w:t>
              </w:r>
            </w:hyperlink>
          </w:p>
        </w:tc>
        <w:tc>
          <w:tcPr>
            <w:tcW w:w="480" w:type="dxa"/>
            <w:vAlign w:val="bottom"/>
            <w:tcBorders>
              <w:top w:val="single" w:sz="8" w:color="0000FF"/>
            </w:tcBorders>
            <w:gridSpan w:val="5"/>
          </w:tcPr>
          <w:p>
            <w:pPr>
              <w:spacing w:after="0"/>
              <w:rPr>
                <w:sz w:val="18"/>
                <w:szCs w:val="18"/>
                <w:color w:val="auto"/>
              </w:rPr>
            </w:pPr>
          </w:p>
        </w:tc>
        <w:tc>
          <w:tcPr>
            <w:tcW w:w="782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Note 3. Segment Information</w:t>
              </w:r>
            </w:hyperlink>
          </w:p>
        </w:tc>
        <w:tc>
          <w:tcPr>
            <w:tcW w:w="856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Note 4. Accounts Receivable</w:t>
              </w:r>
            </w:hyperlink>
          </w:p>
        </w:tc>
        <w:tc>
          <w:tcPr>
            <w:tcW w:w="30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Borders>
              <w:top w:val="single" w:sz="8" w:color="0000FF"/>
            </w:tcBorders>
            <w:gridSpan w:val="9"/>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Note 5. Inventories</w:t>
              </w:r>
            </w:hyperlink>
          </w:p>
        </w:tc>
        <w:tc>
          <w:tcPr>
            <w:tcW w:w="858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Note 6. Property, Plant and Equipment</w:t>
              </w:r>
            </w:hyperlink>
          </w:p>
        </w:tc>
        <w:tc>
          <w:tcPr>
            <w:tcW w:w="30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Note 7. Goodwill</w:t>
              </w:r>
            </w:hyperlink>
          </w:p>
        </w:tc>
        <w:tc>
          <w:tcPr>
            <w:tcW w:w="1520" w:type="dxa"/>
            <w:vAlign w:val="bottom"/>
            <w:tcBorders>
              <w:top w:val="single" w:sz="8" w:color="0000FF"/>
            </w:tcBorders>
            <w:gridSpan w:val="12"/>
          </w:tcPr>
          <w:p>
            <w:pPr>
              <w:spacing w:after="0"/>
              <w:rPr>
                <w:sz w:val="18"/>
                <w:szCs w:val="18"/>
                <w:color w:val="auto"/>
              </w:rPr>
            </w:pPr>
          </w:p>
        </w:tc>
        <w:tc>
          <w:tcPr>
            <w:tcW w:w="790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Note 8. Intangible Assets, Net</w:t>
              </w:r>
            </w:hyperlink>
          </w:p>
        </w:tc>
        <w:tc>
          <w:tcPr>
            <w:tcW w:w="850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Note 9. Investment in Joint Venture</w:t>
              </w:r>
            </w:hyperlink>
          </w:p>
        </w:tc>
        <w:tc>
          <w:tcPr>
            <w:tcW w:w="30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top w:val="single" w:sz="8" w:color="0000FF"/>
            </w:tcBorders>
            <w:gridSpan w:val="1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 10. Income Taxes</w:t>
              </w:r>
            </w:hyperlink>
          </w:p>
        </w:tc>
        <w:tc>
          <w:tcPr>
            <w:tcW w:w="812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0000FF"/>
            </w:tcBorders>
            <w:gridSpan w:val="6"/>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Note 11. Debt</w:t>
              </w:r>
            </w:hyperlink>
          </w:p>
        </w:tc>
        <w:tc>
          <w:tcPr>
            <w:tcW w:w="902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57">
              <w:r>
                <w:rPr>
                  <w:rFonts w:ascii="Arial" w:cs="Arial" w:eastAsia="Arial" w:hAnsi="Arial"/>
                  <w:sz w:val="18"/>
                  <w:szCs w:val="18"/>
                  <w:color w:val="0000FF"/>
                  <w:w w:val="86"/>
                </w:rPr>
                <w:t>Note 12. Leases</w:t>
              </w:r>
            </w:hyperlink>
          </w:p>
        </w:tc>
        <w:tc>
          <w:tcPr>
            <w:tcW w:w="952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Note 13. Commitments and Contingencies</w:t>
              </w:r>
            </w:hyperlink>
          </w:p>
        </w:tc>
        <w:tc>
          <w:tcPr>
            <w:tcW w:w="300" w:type="dxa"/>
            <w:vAlign w:val="bottom"/>
            <w:gridSpan w:val="2"/>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Note 14. Preferred Stock and Stockholders' Equity</w:t>
              </w:r>
            </w:hyperlink>
          </w:p>
        </w:tc>
        <w:tc>
          <w:tcPr>
            <w:tcW w:w="704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Note 15. Revenue from Contracts with Customers</w:t>
              </w:r>
            </w:hyperlink>
          </w:p>
        </w:tc>
        <w:tc>
          <w:tcPr>
            <w:tcW w:w="300" w:type="dxa"/>
            <w:vAlign w:val="bottom"/>
            <w:gridSpan w:val="2"/>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0000FF"/>
            </w:tcBorders>
            <w:gridSpan w:val="2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Note 16. Share-Based Compensation</w:t>
              </w:r>
            </w:hyperlink>
          </w:p>
        </w:tc>
        <w:tc>
          <w:tcPr>
            <w:tcW w:w="70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 xml:space="preserve">Note </w:t>
              </w:r>
            </w:hyperlink>
            <w:r>
              <w:rPr>
                <w:rFonts w:ascii="Arial" w:cs="Arial" w:eastAsia="Arial" w:hAnsi="Arial"/>
                <w:sz w:val="18"/>
                <w:szCs w:val="18"/>
                <w:color w:val="0000FF"/>
                <w:w w:val="90"/>
              </w:rPr>
              <w:t xml:space="preserve">17. </w:t>
            </w:r>
            <w:hyperlink w:anchor="page68">
              <w:r>
                <w:rPr>
                  <w:rFonts w:ascii="Arial" w:cs="Arial" w:eastAsia="Arial" w:hAnsi="Arial"/>
                  <w:sz w:val="18"/>
                  <w:szCs w:val="18"/>
                  <w:color w:val="0000FF"/>
                  <w:w w:val="90"/>
                </w:rPr>
                <w:t>Accumulated Other Comprehensive Income</w:t>
              </w:r>
            </w:hyperlink>
          </w:p>
        </w:tc>
        <w:tc>
          <w:tcPr>
            <w:tcW w:w="68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69</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Note 18. Net Income (Loss) Per Common Share</w:t>
              </w:r>
            </w:hyperlink>
          </w:p>
        </w:tc>
        <w:tc>
          <w:tcPr>
            <w:tcW w:w="300" w:type="dxa"/>
            <w:vAlign w:val="bottom"/>
            <w:gridSpan w:val="2"/>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Borders>
              <w:top w:val="single" w:sz="8" w:color="0000FF"/>
            </w:tcBorders>
            <w:gridSpan w:val="20"/>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Note 19. Fair Value Measurements</w:t>
              </w:r>
            </w:hyperlink>
          </w:p>
        </w:tc>
        <w:tc>
          <w:tcPr>
            <w:tcW w:w="722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Borders>
              <w:top w:val="single" w:sz="8" w:color="0000FF"/>
            </w:tcBorders>
            <w:gridSpan w:val="13"/>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Note 20. Subsequent Event</w:t>
              </w:r>
            </w:hyperlink>
          </w:p>
        </w:tc>
        <w:tc>
          <w:tcPr>
            <w:tcW w:w="818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74</w:t>
              </w:r>
            </w:hyperlink>
          </w:p>
        </w:tc>
        <w:tc>
          <w:tcPr>
            <w:tcW w:w="2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gridSpan w:val="7"/>
          </w:tcPr>
          <w:p>
            <w:pPr>
              <w:spacing w:after="0"/>
              <w:rPr>
                <w:sz w:val="24"/>
                <w:szCs w:val="24"/>
                <w:color w:val="auto"/>
              </w:rPr>
            </w:pPr>
          </w:p>
        </w:tc>
        <w:tc>
          <w:tcPr>
            <w:tcW w:w="8720" w:type="dxa"/>
            <w:vAlign w:val="bottom"/>
            <w:gridSpan w:val="20"/>
          </w:tcPr>
          <w:p>
            <w:pPr>
              <w:jc w:val="right"/>
              <w:ind w:right="52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rPr>
          <w:sz w:val="20"/>
          <w:szCs w:val="20"/>
          <w:color w:val="auto"/>
        </w:rPr>
      </w:pPr>
      <w:r>
        <w:rPr>
          <w:rFonts w:ascii="Arial" w:cs="Arial" w:eastAsia="Arial" w:hAnsi="Arial"/>
          <w:sz w:val="18"/>
          <w:szCs w:val="18"/>
          <w:color w:val="auto"/>
        </w:rPr>
        <w:t>NN,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We have audited the internal control over financial reporting of NN, Inc. (a Delaware corporation) and subsidiaries (the “Company”)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COSO.</w:t>
      </w:r>
    </w:p>
    <w:p>
      <w:pPr>
        <w:spacing w:after="0" w:line="12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March 11, 2022 expressed an unqualified opinion on those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4"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audited the accompanying consolidated balance sheets of NN, Inc. (a Delaware corporation) and subsidiaries (the “Company”) as of December 31, 2021 and 2020, the related consolidated statements of operations and comprehensive income (loss), changes in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11, 2022 expressed an unqualified opinion.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Series D Perpetual Preferred Stock and the bifurcated detachable warrants</w:t>
      </w:r>
    </w:p>
    <w:p>
      <w:pPr>
        <w:spacing w:after="0" w:line="1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described further in Note 14 to the financial statements, the Company completed a private placement of 65 thousand shares of newly designated Series D Perpetual Preferred Stock at a price of $1,000 per share, together with detachable warrants to purchase up to 1.9 million shares of common stock at an exercise price of $0.01 per share on March 22, 2021. The Series D Perpetual Preferred Stock had an initial liquidation preference of $1,000 per share and is redeemable at the Company’s option in cash at a redemption price equal to the liquidation preference then in effect. Certain features were bifurcated and accounted for separately from the Series D Perpetual Preferred Stock and were recorded as derivatives. We identified the classification of the Series D Perpetual Preferred Stock and the bifurcated detachable warrants as a critical audit matter.</w:t>
      </w:r>
    </w:p>
    <w:p>
      <w:pPr>
        <w:spacing w:after="0" w:line="9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determination of the classification of the Series D Perpetual Preferred Stock and the bifurcated detachable warrants involves an evaluation of the relevant terms and provisions within the Securities Purchase Agreement and Common Stock Warrant Agreement. The relevant accounting literature is complex; therefore, the interpretation and application of the accounting literature is subjective and requires specialized skills and knowledge. Auditing</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management’s conclusions related to the classification of the Series D Perpetual Preferred Stock and the bifurcated detachable warrants involved especially challenging auditor judgment to determine the proper classification.</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audit procedures related to the classification issuance of the Series D Perpetual Preferred Stock and the bifurcated detachable warrants included the following, among others.</w:t>
      </w:r>
    </w:p>
    <w:p>
      <w:pPr>
        <w:spacing w:after="0" w:line="90" w:lineRule="exact"/>
        <w:rPr>
          <w:sz w:val="20"/>
          <w:szCs w:val="20"/>
          <w:color w:val="auto"/>
        </w:rPr>
      </w:pPr>
    </w:p>
    <w:p>
      <w:pPr>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controls related to the accounting for the issuance of the Series D Perpetual Preferred Stock, which included classification of the Series D Perpetual Preferred Stock and the bifurcated detachable warrants.</w:t>
      </w:r>
    </w:p>
    <w:p>
      <w:pPr>
        <w:spacing w:after="0" w:line="93"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utilized personnel with specialized skill and knowledge to assist in evaluating the appropriateness of management’s conclusions by (1) inspecting and assessing the relevant terms and provisions of the Securities Purchase Agreement and Common Stock Warrant Agreement; (2) comparing the relevant terms and provisions to management’s analysis; and (3) assessing the appropriateness of management’s application of the relevant accounting literature.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9"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We have audited the consolidated statements of operations and comprehensive income (loss), of changes in stockholders’ equity and of cash flows of NN, Inc. and its subsidiaries (the “Company”) for the year ended December 31, 2019, including the related notes (collectively referred to as the “consolidated financial statements”). In our opinion, the consolidated financial statements present fairly, in all material respects, the results of operations and cash flows of the Company for the year ended December 31, 2019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12, the Company changed the manner in which it accounts for leases in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9"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disclosed in Note 1 (not presented herein) to the consolidated financial statements appearing under Item 8 of the Company’s 2019 Annual Report on Form 10-K, the Company is required to comply with a financial ratio covenant pursuant to its Credit Agreement which becomes more restrictive over time and will require the Company to improve financial performance or take other measures to maintain compliance with its debt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March 16, 2020, except for the effect of discontinued operations discussed in Note 2 to the consolidated financial statements, as to which the date is March 15, 2021, and except for the 2019 summarized financial information of the unconsolidated joint venture in Note 9 to the consolidated financial statements, as to which the date is March 11, 2022.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2003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427,534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489,514</w:t>
            </w: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Cost of sales (exclusive of depreciation and amortization shown separately below)</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389,995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343,594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392,482</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68,895</w:t>
            </w: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46,195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45,680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44,896</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Restructuring and integration expense, net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Goodwill impairment</w:t>
            </w:r>
          </w:p>
        </w:tc>
        <w:tc>
          <w:tcPr>
            <w:tcW w:w="2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92,942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operating expense (income), net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4,720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79"/>
        </w:trPr>
        <w:tc>
          <w:tcPr>
            <w:tcW w:w="790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(117,457)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(17,593)</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payments on interest rate swap</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Loss on interest rate swap</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11,669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expense (income), net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79"/>
        </w:trPr>
        <w:tc>
          <w:tcPr>
            <w:tcW w:w="7900" w:type="dxa"/>
            <w:vAlign w:val="bottom"/>
          </w:tcPr>
          <w:p>
            <w:pPr>
              <w:ind w:left="20"/>
              <w:spacing w:after="0"/>
              <w:rPr>
                <w:sz w:val="20"/>
                <w:szCs w:val="20"/>
                <w:color w:val="auto"/>
              </w:rPr>
            </w:pPr>
            <w:r>
              <w:rPr>
                <w:rFonts w:ascii="Arial" w:cs="Arial" w:eastAsia="Arial" w:hAnsi="Arial"/>
                <w:sz w:val="14"/>
                <w:szCs w:val="14"/>
                <w:color w:val="auto"/>
              </w:rPr>
              <w:t>Loss from continuing operations before benefit (provision) for income taxes and share of net income from joint venture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(152,088)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(32,125)</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 (provision) for income taxes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Share of net income from joint venture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(30,749)</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net of tax (Note 2)</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38,898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(15,992)</w:t>
            </w:r>
          </w:p>
        </w:tc>
        <w:tc>
          <w:tcPr>
            <w:tcW w:w="0" w:type="dxa"/>
            <w:vAlign w:val="bottom"/>
          </w:tcPr>
          <w:p>
            <w:pPr>
              <w:spacing w:after="0"/>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(100,592)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(46,741)</w:t>
            </w: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Reclassification adjustment for discontinued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Foreign currency translation loss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(3,845)</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00" w:type="dxa"/>
            <w:vAlign w:val="bottom"/>
          </w:tcPr>
          <w:p>
            <w:pPr>
              <w:ind w:left="560"/>
              <w:spacing w:after="0"/>
              <w:rPr>
                <w:sz w:val="20"/>
                <w:szCs w:val="20"/>
                <w:color w:val="auto"/>
              </w:rPr>
            </w:pPr>
            <w:r>
              <w:rPr>
                <w:rFonts w:ascii="Arial" w:cs="Arial" w:eastAsia="Arial" w:hAnsi="Arial"/>
                <w:sz w:val="14"/>
                <w:szCs w:val="14"/>
                <w:color w:val="auto"/>
              </w:rPr>
              <w:t>Change in fair value, net of tax</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(10,479)</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Reclassification adjustment for losses included in net loss, net of tax</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18,987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7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(13,240)</w:t>
            </w:r>
          </w:p>
        </w:tc>
        <w:tc>
          <w:tcPr>
            <w:tcW w:w="0" w:type="dxa"/>
            <w:vAlign w:val="bottom"/>
          </w:tcPr>
          <w:p>
            <w:pPr>
              <w:spacing w:after="0"/>
              <w:rPr>
                <w:sz w:val="1"/>
                <w:szCs w:val="1"/>
                <w:color w:val="auto"/>
              </w:rPr>
            </w:pP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Basic net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(loss) from discontinued operations per common share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8"/>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loss per common share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44,011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42,199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42,030</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loss per common share: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00" w:type="dxa"/>
            <w:vAlign w:val="bottom"/>
          </w:tcPr>
          <w:p>
            <w:pPr>
              <w:ind w:left="360"/>
              <w:spacing w:after="0"/>
              <w:rPr>
                <w:sz w:val="20"/>
                <w:szCs w:val="20"/>
                <w:color w:val="auto"/>
              </w:rPr>
            </w:pPr>
            <w:r>
              <w:rPr>
                <w:rFonts w:ascii="Arial" w:cs="Arial" w:eastAsia="Arial" w:hAnsi="Arial"/>
                <w:sz w:val="14"/>
                <w:szCs w:val="14"/>
                <w:color w:val="auto"/>
              </w:rPr>
              <w:t>Loss from continuing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(0.82)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(loss) from discontinued operations per common share</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79"/>
        </w:trPr>
        <w:tc>
          <w:tcPr>
            <w:tcW w:w="7900" w:type="dxa"/>
            <w:vAlign w:val="bottom"/>
          </w:tcPr>
          <w:p>
            <w:pPr>
              <w:ind w:left="360"/>
              <w:spacing w:after="0"/>
              <w:rPr>
                <w:sz w:val="20"/>
                <w:szCs w:val="20"/>
                <w:color w:val="auto"/>
              </w:rPr>
            </w:pPr>
            <w:r>
              <w:rPr>
                <w:rFonts w:ascii="Arial" w:cs="Arial" w:eastAsia="Arial" w:hAnsi="Arial"/>
                <w:sz w:val="14"/>
                <w:szCs w:val="14"/>
                <w:color w:val="auto"/>
              </w:rPr>
              <w:t>Net loss per common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0" w:type="dxa"/>
            <w:vAlign w:val="bottom"/>
          </w:tcPr>
          <w:p>
            <w:pPr>
              <w:spacing w:after="0"/>
              <w:rPr>
                <w:sz w:val="1"/>
                <w:szCs w:val="1"/>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71,419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84,615</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75,027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62,517</w:t>
            </w:r>
          </w:p>
        </w:tc>
        <w:tc>
          <w:tcPr>
            <w:tcW w:w="0" w:type="dxa"/>
            <w:vAlign w:val="bottom"/>
          </w:tcPr>
          <w:p>
            <w:pPr>
              <w:spacing w:after="0"/>
              <w:rPr>
                <w:sz w:val="1"/>
                <w:szCs w:val="1"/>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Income tax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11,148</w:t>
            </w:r>
          </w:p>
        </w:tc>
        <w:tc>
          <w:tcPr>
            <w:tcW w:w="0" w:type="dxa"/>
            <w:vAlign w:val="bottom"/>
          </w:tcPr>
          <w:p>
            <w:pPr>
              <w:spacing w:after="0"/>
              <w:rPr>
                <w:sz w:val="1"/>
                <w:szCs w:val="1"/>
                <w:color w:val="auto"/>
              </w:rPr>
            </w:pPr>
          </w:p>
        </w:tc>
      </w:tr>
      <w:tr>
        <w:trPr>
          <w:trHeight w:val="179"/>
        </w:trPr>
        <w:tc>
          <w:tcPr>
            <w:tcW w:w="8240" w:type="dxa"/>
            <w:vAlign w:val="bottom"/>
          </w:tcPr>
          <w:p>
            <w:pPr>
              <w:ind w:left="56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196,282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215,218</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209,105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223,690</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46,443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50,264</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103,065</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Investment in joint venture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26,983</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5,742</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579,101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Preferred Stock,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36,710</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37,435</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salaries, wages and benefits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21,296</w:t>
            </w:r>
          </w:p>
        </w:tc>
        <w:tc>
          <w:tcPr>
            <w:tcW w:w="0" w:type="dxa"/>
            <w:vAlign w:val="bottom"/>
          </w:tcPr>
          <w:p>
            <w:pPr>
              <w:spacing w:after="0"/>
              <w:rPr>
                <w:sz w:val="1"/>
                <w:szCs w:val="1"/>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Income tax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Current portion of operating lease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31,261</w:t>
            </w:r>
          </w:p>
        </w:tc>
        <w:tc>
          <w:tcPr>
            <w:tcW w:w="0" w:type="dxa"/>
            <w:vAlign w:val="bottom"/>
          </w:tcPr>
          <w:p>
            <w:pPr>
              <w:spacing w:after="0"/>
              <w:rPr>
                <w:sz w:val="1"/>
                <w:szCs w:val="1"/>
                <w:color w:val="auto"/>
              </w:rPr>
            </w:pPr>
          </w:p>
        </w:tc>
      </w:tr>
      <w:tr>
        <w:trPr>
          <w:trHeight w:val="179"/>
        </w:trPr>
        <w:tc>
          <w:tcPr>
            <w:tcW w:w="824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74,017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103,231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Long-term debt, net of current portion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151,052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79,025</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55,053</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17,289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17,237</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301,109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265,724</w:t>
            </w:r>
          </w:p>
        </w:tc>
        <w:tc>
          <w:tcPr>
            <w:tcW w:w="0" w:type="dxa"/>
            <w:vAlign w:val="bottom"/>
          </w:tcPr>
          <w:p>
            <w:pPr>
              <w:spacing w:after="0"/>
              <w:rPr>
                <w:sz w:val="1"/>
                <w:szCs w:val="1"/>
                <w:color w:val="auto"/>
              </w:rPr>
            </w:pPr>
          </w:p>
        </w:tc>
      </w:tr>
      <w:tr>
        <w:trPr>
          <w:trHeight w:val="166"/>
        </w:trPr>
        <w:tc>
          <w:tcPr>
            <w:tcW w:w="8240" w:type="dxa"/>
            <w:vAlign w:val="bottom"/>
          </w:tcPr>
          <w:p>
            <w:pPr>
              <w:ind w:left="140"/>
              <w:spacing w:after="0"/>
              <w:rPr>
                <w:sz w:val="20"/>
                <w:szCs w:val="20"/>
                <w:color w:val="auto"/>
              </w:rPr>
            </w:pPr>
            <w:r>
              <w:rPr>
                <w:rFonts w:ascii="Arial" w:cs="Arial" w:eastAsia="Arial" w:hAnsi="Arial"/>
                <w:sz w:val="14"/>
                <w:szCs w:val="14"/>
                <w:color w:val="auto"/>
              </w:rPr>
              <w:t>Commitments and contingencies (Note 13)</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Series D perpetual preferred stock - $0.01 par value per share, 65 shares authorized, issued and outstanding at December 31, 2021</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w w:val="96"/>
              </w:rPr>
              <w:t>Series B convertible preferred stock - $0.01 par value per share, 100 shares authorized, issued and outstanding at December 31, 2020</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105,086</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40" w:type="dxa"/>
            <w:vAlign w:val="bottom"/>
          </w:tcPr>
          <w:p>
            <w:pPr>
              <w:ind w:left="260"/>
              <w:spacing w:after="0" w:line="135" w:lineRule="exact"/>
              <w:rPr>
                <w:sz w:val="20"/>
                <w:szCs w:val="20"/>
                <w:color w:val="auto"/>
              </w:rPr>
            </w:pPr>
            <w:r>
              <w:rPr>
                <w:rFonts w:ascii="Arial" w:cs="Arial" w:eastAsia="Arial" w:hAnsi="Arial"/>
                <w:sz w:val="14"/>
                <w:szCs w:val="14"/>
                <w:color w:val="auto"/>
                <w:w w:val="92"/>
              </w:rPr>
              <w:t>Common stock - $0.01 par value per share, 90,000 shares authorized, 42,686 and 43,027 shares issued and outstanding at December 31,</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86"/>
        </w:trPr>
        <w:tc>
          <w:tcPr>
            <w:tcW w:w="8240" w:type="dxa"/>
            <w:vAlign w:val="bottom"/>
          </w:tcPr>
          <w:p>
            <w:pPr>
              <w:ind w:left="260"/>
              <w:spacing w:after="0"/>
              <w:rPr>
                <w:sz w:val="20"/>
                <w:szCs w:val="20"/>
                <w:color w:val="auto"/>
              </w:rPr>
            </w:pPr>
            <w:r>
              <w:rPr>
                <w:rFonts w:ascii="Arial" w:cs="Arial" w:eastAsia="Arial" w:hAnsi="Arial"/>
                <w:sz w:val="14"/>
                <w:szCs w:val="14"/>
                <w:color w:val="auto"/>
              </w:rPr>
              <w:t>2020 and 2021, respectively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474,757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493,332</w:t>
            </w:r>
          </w:p>
        </w:tc>
        <w:tc>
          <w:tcPr>
            <w:tcW w:w="0" w:type="dxa"/>
            <w:vAlign w:val="bottom"/>
          </w:tcPr>
          <w:p>
            <w:pPr>
              <w:spacing w:after="0"/>
              <w:rPr>
                <w:sz w:val="1"/>
                <w:szCs w:val="1"/>
                <w:color w:val="auto"/>
              </w:rPr>
            </w:pPr>
          </w:p>
        </w:tc>
      </w:tr>
      <w:tr>
        <w:trPr>
          <w:trHeight w:val="186"/>
        </w:trPr>
        <w:tc>
          <w:tcPr>
            <w:tcW w:w="824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(219,100)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(205,875)</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(33,732)</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224,185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254,152</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preferred stock, and stockholders’ equity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579,101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 other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60" w:type="dxa"/>
            <w:vAlign w:val="bottom"/>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6"/>
                <w:szCs w:val="16"/>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42,104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508,655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(58,491)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419,271</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(46,741)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(46,741)</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 or accrued for common stock</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Dividends accrued for preferred stock</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issued for option exercises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Change in estimate of share-based award vesting</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warrants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35"/>
        </w:trPr>
        <w:tc>
          <w:tcPr>
            <w:tcW w:w="3860" w:type="dxa"/>
            <w:vAlign w:val="bottom"/>
          </w:tcPr>
          <w:p>
            <w:pPr>
              <w:ind w:left="220"/>
              <w:spacing w:after="0" w:line="135" w:lineRule="exact"/>
              <w:rPr>
                <w:sz w:val="20"/>
                <w:szCs w:val="20"/>
                <w:color w:val="auto"/>
              </w:rPr>
            </w:pPr>
            <w:r>
              <w:rPr>
                <w:rFonts w:ascii="Arial" w:cs="Arial" w:eastAsia="Arial" w:hAnsi="Arial"/>
                <w:sz w:val="14"/>
                <w:szCs w:val="14"/>
                <w:color w:val="auto"/>
              </w:rPr>
              <w:t>Change in fair value of interest rate swap, net of tax of</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(10,479)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(10,479)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$3,166</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Reclassification of interest rate swap settlement to net loss,</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tax of $327</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(3,845)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Adoption of new accounting standard</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9"/>
        </w:trPr>
        <w:tc>
          <w:tcPr>
            <w:tcW w:w="386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42,313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501,615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(105,283)</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(44,554)</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353,277</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(100,592)</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Dividends accrued for preferred stock</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Restricted shares forgiven for taxes</w:t>
            </w: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estimate of share-based award vesting</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Reclassification of warrants to liabilities (Note 19)</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Change in fair value of interest rate swap, net of tax of</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$3,764</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220"/>
              <w:spacing w:after="0" w:line="135" w:lineRule="exact"/>
              <w:rPr>
                <w:sz w:val="20"/>
                <w:szCs w:val="20"/>
                <w:color w:val="auto"/>
              </w:rPr>
            </w:pPr>
            <w:r>
              <w:rPr>
                <w:rFonts w:ascii="Arial" w:cs="Arial" w:eastAsia="Arial" w:hAnsi="Arial"/>
                <w:sz w:val="14"/>
                <w:szCs w:val="14"/>
                <w:color w:val="auto"/>
                <w:w w:val="98"/>
              </w:rPr>
              <w:t>Reclassification of interest rate swap settlement to net loss,</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18,987</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of tax of $5,742</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Sale of discontinued operations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5,961</w:t>
            </w: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42,686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493,332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(205,875)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254,152</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(13,225)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accrued for preferred stock</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Shares issued for option exercises</w:t>
            </w: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Restricted shares forgiven for taxes</w:t>
            </w: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estimate of share-based award vesting</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w w:val="99"/>
              </w:rPr>
              <w:t>Change in fair value of interest rate swap, net of tax of $19</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Reclassification of interest rate swap settlement to net loss,</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tax of $879</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Foreign currency translation loss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474,757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(219,100)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224,185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(13,225)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(100,592)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(46,741)</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Depreciation and amortization of continuing operations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46,195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44,896</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 of discontinued operations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46,950</w:t>
            </w: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Amortization of debt issuance costs and discount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4,789</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Goodwill impairment of continuing operations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Goodwill impairment of discontinued operations</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146,757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impairments</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Loss on extinguishment of debt and write-off of debt issuance costs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derivative loss (gain), net of cash settlements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Share of net income from joint venture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on disposal of discontinued operations, net of tax and cost to sell</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Compensation expense from issuance of share-based awards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2,822</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86"/>
        </w:trPr>
        <w:tc>
          <w:tcPr>
            <w:tcW w:w="8080" w:type="dxa"/>
            <w:vAlign w:val="bottom"/>
          </w:tcPr>
          <w:p>
            <w:pPr>
              <w:ind w:left="48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88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86"/>
        </w:trPr>
        <w:tc>
          <w:tcPr>
            <w:tcW w:w="8080" w:type="dxa"/>
            <w:vAlign w:val="bottom"/>
          </w:tcPr>
          <w:p>
            <w:pPr>
              <w:ind w:left="8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(7,900)</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880"/>
              <w:spacing w:after="0"/>
              <w:rPr>
                <w:sz w:val="20"/>
                <w:szCs w:val="20"/>
                <w:color w:val="auto"/>
              </w:rPr>
            </w:pPr>
            <w:r>
              <w:rPr>
                <w:rFonts w:ascii="Arial" w:cs="Arial" w:eastAsia="Arial" w:hAnsi="Arial"/>
                <w:sz w:val="14"/>
                <w:szCs w:val="14"/>
                <w:color w:val="auto"/>
              </w:rPr>
              <w:t>Income taxes receivable and payable,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4,711</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49,208</w:t>
            </w:r>
          </w:p>
        </w:tc>
        <w:tc>
          <w:tcPr>
            <w:tcW w:w="0" w:type="dxa"/>
            <w:vAlign w:val="bottom"/>
          </w:tcPr>
          <w:p>
            <w:pPr>
              <w:spacing w:after="0"/>
              <w:rPr>
                <w:sz w:val="1"/>
                <w:szCs w:val="1"/>
                <w:color w:val="auto"/>
              </w:rPr>
            </w:pPr>
          </w:p>
        </w:tc>
      </w:tr>
      <w:tr>
        <w:trPr>
          <w:trHeight w:val="16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plant and equipment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(54,003)</w:t>
            </w: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Proceeds from liquidation of short-term investment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(cash paid for post-closing adjustments on) sale of business, net of cash sold</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743,178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Proceeds from sale of property, plant, and equipment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7,287</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settlements of interest rate swap</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86"/>
        </w:trPr>
        <w:tc>
          <w:tcPr>
            <w:tcW w:w="808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(36,103)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719,284</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(39,427)</w:t>
            </w:r>
          </w:p>
        </w:tc>
        <w:tc>
          <w:tcPr>
            <w:tcW w:w="0" w:type="dxa"/>
            <w:vAlign w:val="bottom"/>
          </w:tcPr>
          <w:p>
            <w:pPr>
              <w:spacing w:after="0"/>
              <w:rPr>
                <w:sz w:val="1"/>
                <w:szCs w:val="1"/>
                <w:color w:val="auto"/>
              </w:rPr>
            </w:pPr>
          </w:p>
        </w:tc>
      </w:tr>
      <w:tr>
        <w:trPr>
          <w:trHeight w:val="16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debt issuance costs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(11,336)</w:t>
            </w: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(8,879)</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preferred stock</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95,741</w:t>
            </w: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Redemption of preferred stock</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(122,434)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long-term debt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54,209</w:t>
            </w:r>
          </w:p>
        </w:tc>
        <w:tc>
          <w:tcPr>
            <w:tcW w:w="0" w:type="dxa"/>
            <w:vAlign w:val="bottom"/>
          </w:tcPr>
          <w:p>
            <w:pPr>
              <w:spacing w:after="0"/>
              <w:rPr>
                <w:sz w:val="1"/>
                <w:szCs w:val="1"/>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Repayments of long-term debt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(93,729)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(776,331)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(108,157)</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short-term debt,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(714,854)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5,299</w:t>
            </w:r>
          </w:p>
        </w:tc>
        <w:tc>
          <w:tcPr>
            <w:tcW w:w="0" w:type="dxa"/>
            <w:vAlign w:val="bottom"/>
          </w:tcPr>
          <w:p>
            <w:pPr>
              <w:spacing w:after="0"/>
              <w:rPr>
                <w:sz w:val="1"/>
                <w:szCs w:val="1"/>
                <w:color w:val="auto"/>
              </w:rPr>
            </w:pPr>
          </w:p>
        </w:tc>
      </w:tr>
      <w:tr>
        <w:trPr>
          <w:trHeight w:val="179"/>
        </w:trPr>
        <w:tc>
          <w:tcPr>
            <w:tcW w:w="8080" w:type="dxa"/>
            <w:vAlign w:val="bottom"/>
          </w:tcPr>
          <w:p>
            <w:pPr>
              <w:ind w:left="140"/>
              <w:spacing w:after="0"/>
              <w:rPr>
                <w:sz w:val="20"/>
                <w:szCs w:val="20"/>
                <w:color w:val="auto"/>
              </w:rPr>
            </w:pPr>
            <w:r>
              <w:rPr>
                <w:rFonts w:ascii="Arial" w:cs="Arial" w:eastAsia="Arial" w:hAnsi="Arial"/>
                <w:sz w:val="14"/>
                <w:szCs w:val="14"/>
                <w:color w:val="auto"/>
              </w:rPr>
              <w:t>Effect of exchange rate changes on cash flows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(1,365)</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13,715</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and cash equivalents at beginning of period (1)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17,988</w:t>
            </w:r>
          </w:p>
        </w:tc>
        <w:tc>
          <w:tcPr>
            <w:tcW w:w="0" w:type="dxa"/>
            <w:vAlign w:val="bottom"/>
          </w:tcPr>
          <w:p>
            <w:pPr>
              <w:spacing w:after="0"/>
              <w:rPr>
                <w:sz w:val="1"/>
                <w:szCs w:val="1"/>
                <w:color w:val="auto"/>
              </w:rPr>
            </w:pPr>
          </w:p>
        </w:tc>
      </w:tr>
      <w:tr>
        <w:trPr>
          <w:trHeight w:val="208"/>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 at end of period (1)</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28,656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48,138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schedule of non-cash operating, investing and financing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additions to property, plant and equipment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23,281</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50,514</w:t>
            </w:r>
          </w:p>
        </w:tc>
        <w:tc>
          <w:tcPr>
            <w:tcW w:w="0" w:type="dxa"/>
            <w:vAlign w:val="bottom"/>
          </w:tcPr>
          <w:p>
            <w:pPr>
              <w:spacing w:after="0"/>
              <w:rPr>
                <w:sz w:val="1"/>
                <w:szCs w:val="1"/>
                <w:color w:val="auto"/>
              </w:rPr>
            </w:pPr>
          </w:p>
        </w:tc>
      </w:tr>
      <w:tr>
        <w:trPr>
          <w:trHeight w:val="182"/>
        </w:trPr>
        <w:tc>
          <w:tcPr>
            <w:tcW w:w="8080" w:type="dxa"/>
            <w:vAlign w:val="bottom"/>
          </w:tcPr>
          <w:p>
            <w:pPr>
              <w:ind w:left="140"/>
              <w:spacing w:after="0"/>
              <w:rPr>
                <w:sz w:val="20"/>
                <w:szCs w:val="20"/>
                <w:color w:val="auto"/>
              </w:rPr>
            </w:pPr>
            <w:r>
              <w:rPr>
                <w:rFonts w:ascii="Arial" w:cs="Arial" w:eastAsia="Arial" w:hAnsi="Arial"/>
                <w:sz w:val="14"/>
                <w:szCs w:val="14"/>
                <w:color w:val="auto"/>
              </w:rPr>
              <w:t>Cash paid for income taxes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6,428</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w:t>
      </w:r>
    </w:p>
    <w:p>
      <w:pPr>
        <w:spacing w:after="0" w:line="40" w:lineRule="exact"/>
        <w:rPr>
          <w:sz w:val="20"/>
          <w:szCs w:val="20"/>
          <w:color w:val="auto"/>
        </w:rPr>
      </w:pPr>
    </w:p>
    <w:p>
      <w:pPr>
        <w:ind w:left="900" w:right="60" w:hanging="244"/>
        <w:spacing w:after="0" w:line="273" w:lineRule="auto"/>
        <w:tabs>
          <w:tab w:leader="none" w:pos="861"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Cash and cash equivalents include $13.8 million and $10.2 million of cash and cash equivalents that were included in current assets of discontinued operations as of December 31, 2019 and December 31, 2018, respectively.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NN, Inc. is a diversified industrial company that combines in-depth materials science expertise with advanced engineering and production capabilities to design and manufacture high-precision metal and plastic components and assemblies for a variety of end markets on a global basis. As used in this Annual Report on Form 10-K (this “Annual Report”), the terms “NN,” the “Company,” “we,” “our,” or “us” refer to NN, Inc., and its subsidiaries. We have 31 facilities in North America, Europe, South America, and Asia.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(“U.S. GAAP”). Certain prior period amounts have been reclassified to conform to the current year’s presentation. Except for per share data or as otherwise indicated, all U.S. dollar amounts presented in the tables in these Notes to Consolidated Financial Statements are in thousands.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Our consolidated financial statements include the accounts of NN, Inc., and its wholly owned subsidiaries. We own a 49% interest in a joint venture which we account for using the equity method (see Note 9). All intercompany transactions and balances have been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Consolidated Financial Statements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xml:space="preserve"> (“ASU 2019-12”) as part of its initiative to reduce complexity in accounting standards. ASU 2019-12 removes certain exceptions and provides simplification to specific tax items to improve consistent application. This standard was effective for us beginning January 1, 2021. The adoption of ASU 2019-12 did not have a material impact on our consolidated financial statements and related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We plan to adopt ASU 2020-06 effective January 1, 2022 using the modified retrospective adoption method. We do not anticipate that the adoption will have a material impact on our consolidated financial statements and related disclosures.</w:t>
      </w:r>
    </w:p>
    <w:p>
      <w:pPr>
        <w:spacing w:after="0" w:line="7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Issuer’s Accounting for Certain Modifications or Exchanges of Freestanding Equity-Classified Written Call</w:t>
      </w:r>
      <w:r>
        <w:rPr>
          <w:rFonts w:ascii="Arial" w:cs="Arial" w:eastAsia="Arial" w:hAnsi="Arial"/>
          <w:sz w:val="18"/>
          <w:szCs w:val="18"/>
          <w:color w:val="auto"/>
        </w:rPr>
        <w:t xml:space="preserve"> </w:t>
      </w:r>
      <w:r>
        <w:rPr>
          <w:rFonts w:ascii="Arial" w:cs="Arial" w:eastAsia="Arial" w:hAnsi="Arial"/>
          <w:sz w:val="18"/>
          <w:szCs w:val="18"/>
          <w:i w:val="1"/>
          <w:iCs w:val="1"/>
          <w:color w:val="auto"/>
        </w:rPr>
        <w:t>Options</w:t>
      </w:r>
      <w:r>
        <w:rPr>
          <w:rFonts w:ascii="Arial" w:cs="Arial" w:eastAsia="Arial" w:hAnsi="Arial"/>
          <w:sz w:val="18"/>
          <w:szCs w:val="18"/>
          <w:color w:val="auto"/>
        </w:rPr>
        <w:t>, (“ASU 2021-04”) which clarifies the accounting for modifications or exchanges of freestanding equity-classified written call options that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classified after modification or exchange. Specifically, 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ASU 2021-04 is effective for fiscal years beginning after December 15, 2021, and interim periods within those fiscal years, with early adoption permitted. ASU 2021-04 should be applied prospectively to modifications or exchanges occurring after the effective date. Either the full or modified retrospective adoption method is allowed. We do not have any equity-classified written call options that would be subject to this guidance. Therefore, we do not expect any impact on our consolidated financial statements and related disclosures.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 Assistance,</w:t>
      </w:r>
      <w:r>
        <w:rPr>
          <w:rFonts w:ascii="Arial" w:cs="Arial" w:eastAsia="Arial" w:hAnsi="Arial"/>
          <w:sz w:val="18"/>
          <w:szCs w:val="18"/>
          <w:color w:val="auto"/>
        </w:rPr>
        <w:t xml:space="preserve"> (“ASU 2021-10”) which requires business entities to provide certain annual disclosures when they have received government assistance and use a grant or contribution accounting model by analogy to other accounting guidance. Such disclosures include the nature of the transactions, significant terms and conditions, accounting policies, and affected financial statement line items. ASU 2021-10 is effective for fiscal years beginning after December 15, 2021, with early adoption permitted. ASU 2021-10 may be applied either prospectively or retrospectively. We are in the process of assessing the impact ASU 2021-10 may have on our annual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 We maintain cash balances in transaction accounts with various financial institutions that are insured by the Federal Deposit Insurance Corporation (“FDIC”). Although we maintain balances that exceed the federally insured limit, we have not experienced any losses related to these balances, and we believe credit risk to be minimal. We had approximately $17.6 million and $17.0 million in cash and cash equivalents as of December 31, 2021 and 2020, respectively, held at foreign financial institutions.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Trade accounts receivable are recorded at their net realizable value. We maintain allowances for estimated losses resulting from the inability of our customers to make required payments. The allowances are based on the amount that we ultimately expect to collect from our customers. We evaluate the collectability of accounts receivable based on a combination of factors including number of days receivables are past due, historical collection experience, current market conditions, and forecasted direction of economic and business environment. Accounts receivable are written off at the time a customer receivable is deemed uncollectible.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improvements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Depreciation is calculated based on historical cost using the straight-line method over the estimated useful lives of the depreciable assets. Estimated useful lives for buildings and land improvements generally range from 10 to 40 years. Estimated useful lives for machinery and equipment generally range from 3 to 12 years. Estimated useful lives for leasehold improvements are based on the life of the lease.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Goodwill was tested for impairment on an annual basis in the fourth quarter and between annual tests if a triggering event occurred. The impairment analysis was performed at the reporting unit level. As of December 31, 2021 and 2020, there was no remaining goodwill balance due to impairments recognized during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we would write down the investment to its estimated fair market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 We eliminate disproportionate tax effects from accumulated other comprehensive income (loss) when the circumstances upon which they are premised cease to exist.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recognize revenues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cost of stock options, restricted stock, and performance share units is recognized as compensation expense over the vesting periods based on the grant date fair value, net of expected forfeitures. We determine grant date fair value using the Black Scholes financial pricing model for stock options and a Monte Carlo simulation for performance share units that include a market condition for vesting because these awards are not traded in open markets. We determine grant date fair value using the closing price of our common stock on the date of grant for restricted stock and performance share units that include performance conditions for vesting.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Preferred Stock Dividends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Dividends are recorded as a reduction to retained earnings. When we have an accumulated deficit, dividends are recorded as a reduction of additional paid-in capital.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(loss)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as incurred in either cost of sales or selling, general and administrative expense in the Consolidated Statements of Operations and Comprehensive Income (Loss) and were immaterial to the years ended December 31, 2021, 2020, and 2019. Transaction gains or losses on intercompany loan transactions are recognized as incurred in the “Other expense (income), net” line in the Consolidated Statements of Operations and Comprehensive Income (Loss). For the years ended December 31, 2021, 2020, and 2019, transaction gains or losses on intercompany loan transactions were $0.5 million, $0.8 million, and $0.4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required to allocate earnings or losses for a reporting period to common stockholders and participating securities using the two-class method to compute earnings per share. The two-class method is an earnings allocation formula that treats participating securities as having rights to earnings that 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Preferred shares are participating securities that participate in earnings but do not participate in losses.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Basic net income (loss) per common share is computed by dividing net income (loss) allocable to common shares by the weighted average number of common shares outstanding. Diluted net income (loss) per common share includes the effect of warrants, convertible preferred stock, stock options and the respective tax benefits unless inclusion would not be dilutive.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October 2020, we sold our Life Sciences business under the terms of a Stock Purchase Agreement (the “SPA”) with affiliates of American Securities LLC for $753.3 million cash. The Life Sciences business included facilities that were engaged in the production of a variety of components, assemblies, and instruments, such as surgical knives, bioresorbable implants, surgical staples, cases and trays, orthopaedic implants and tools, laparoscopic devices, and drug delivery devices for the orthopaedics and medical/surgical end markets. The sale of the Life Sciences business furthered management’s strategy to improve liquidity and create the financial flexibility to pursue key growth areas in the Mobile Solutions and Power Solutions segments. The SPA includes a potential earnout payment of up to $70.0 million based on the performance of the Life Sciences business during the year ending December 31, 2022, measured by Adjusted EBITDA targets, as defined by the SPA.</w:t>
      </w:r>
    </w:p>
    <w:p>
      <w:pPr>
        <w:spacing w:after="0" w:line="6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After working capital and other closing adjustments, we received cash proceeds at closing of $757.2 million in 2020 and paid $3.9 million to the buyer during the year ended December 31, 2021, for post-closing adjustments. Under the terms of a transition services agreement, we provided certain support services after the sale.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recognized a tax indemnification of $1.2 million during the year ending December 31, 2020. During the year ended December 31, 2021, we recognized a gain on disposal of discontinued operations of $1.2 million related to the tax indemnification as the actual tax liability was determined to be $0.</w:t>
      </w:r>
    </w:p>
    <w:p>
      <w:pPr>
        <w:spacing w:after="0" w:line="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 xml:space="preserve">In accordance with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the operating results of the Life Sciences business are classified as discontinued operations. The presentation of discontinued operations includes revenues and expenses of the discontinued operations and the gain on the disposition of the business, all net of tax, as one line item on the Consolidated Statements of Operations and Comprehensive Income (Loss). The Consolidated Statements of Operations and Comprehensive Income (Loss) for all periods presented have been revised to reflect this presentation.</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Accordingly, the results of the Life Sciences business have been excluded from continuing operations and segment results for all periods presented in the consolidated financial statements and the accompanying notes unless otherwise stated. The Consolidated Statements of Cash Flows include cash flows of the Life Sciences business in each line item unless otherwise stated.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of the discontinued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357,937</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160,464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249,157</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35,731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46,950</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 net</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44,125</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Loss from discontinued operations before costs of disposal and benefit for income taxes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(188,476)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(19,574)</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for income taxes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costs of disposal</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Gain on disposal of discontinued operations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212,319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 on costs of disposal</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r>
      <w:tr>
        <w:trPr>
          <w:trHeight w:val="21"/>
        </w:trPr>
        <w:tc>
          <w:tcPr>
            <w:tcW w:w="6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carrying value of the Life Sciences reporting unit exceeded its estimated fair value as of March 31, 2020. As a result of our analysis, we recorded an impairment loss on goodwill of $146.8 million for Life Sciences during the year ended December 31, 2020. The judgments, assumptions, and estimates involved in the goodwill impairment analysis for the Life Sciences reporting unit are consistent with those discussed in Note 7.</w:t>
      </w:r>
    </w:p>
    <w:p>
      <w:pPr>
        <w:spacing w:after="0" w:line="122"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Our previous credit facility, which was in place at the time, required us to use proceeds from the sale of the Life Sciences business to prepay a portion of our previous debt. We paid $700.0 million in the aggregate on our term loans during the fourth quarter of 2020. The prepayment was applied to debt in</w:t>
      </w:r>
    </w:p>
    <w:p>
      <w:pPr>
        <w:ind w:right="200"/>
        <w:spacing w:after="0" w:line="302" w:lineRule="auto"/>
        <w:rPr>
          <w:sz w:val="20"/>
          <w:szCs w:val="20"/>
          <w:color w:val="auto"/>
        </w:rPr>
      </w:pPr>
      <w:r>
        <w:rPr>
          <w:rFonts w:ascii="Arial" w:cs="Arial" w:eastAsia="Arial" w:hAnsi="Arial"/>
          <w:sz w:val="16"/>
          <w:szCs w:val="16"/>
          <w:color w:val="auto"/>
        </w:rPr>
        <w:t>accordance with the prepayment provisions of the previous credit agreement, which was in place at the time. Average quarterly interest rates were multiplied by the required prepayment amounts to calculate interest expense to be reclassified to discontinued operations for historical periods presented. The following table summarizes the amount of interest expense related to the previous credit facility that was reclassified to discontinued operations.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7"/>
        </w:trPr>
        <w:tc>
          <w:tcPr>
            <w:tcW w:w="454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 and other</w:t>
            </w:r>
          </w:p>
        </w:tc>
        <w:tc>
          <w:tcPr>
            <w:tcW w:w="38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interest expense of discontinued operations</w:t>
            </w:r>
          </w:p>
        </w:tc>
        <w:tc>
          <w:tcPr>
            <w:tcW w:w="38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40" w:type="dxa"/>
            <w:vAlign w:val="bottom"/>
            <w:vMerge w:val="restart"/>
          </w:tcPr>
          <w:p>
            <w:pPr>
              <w:jc w:val="right"/>
              <w:ind w:right="2570"/>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cash paid for capital expenditures of discontinued operations for each period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146,757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21,834</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aggregated into the following two reportable segments.</w:t>
      </w:r>
    </w:p>
    <w:p>
      <w:pPr>
        <w:spacing w:after="0" w:line="117" w:lineRule="exact"/>
        <w:rPr>
          <w:sz w:val="20"/>
          <w:szCs w:val="20"/>
          <w:color w:val="auto"/>
        </w:rPr>
      </w:pPr>
    </w:p>
    <w:p>
      <w:pPr>
        <w:ind w:left="660" w:right="20" w:hanging="328"/>
        <w:spacing w:after="0" w:line="293" w:lineRule="auto"/>
        <w:tabs>
          <w:tab w:leader="none" w:pos="65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Mobile Solutions. </w:t>
      </w:r>
      <w:r>
        <w:rPr>
          <w:rFonts w:ascii="Arial" w:cs="Arial" w:eastAsia="Arial" w:hAnsi="Arial"/>
          <w:sz w:val="16"/>
          <w:szCs w:val="16"/>
          <w:color w:val="auto"/>
        </w:rPr>
        <w:t>Mobile Solutions is focused on growth in the automotive and general industrial end markets. We have developed an expertise in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56" w:lineRule="exact"/>
        <w:rPr>
          <w:rFonts w:ascii="Arial" w:cs="Arial" w:eastAsia="Arial" w:hAnsi="Arial"/>
          <w:sz w:val="16"/>
          <w:szCs w:val="16"/>
          <w:i w:val="1"/>
          <w:iCs w:val="1"/>
          <w:color w:val="auto"/>
        </w:rPr>
      </w:pPr>
    </w:p>
    <w:p>
      <w:pPr>
        <w:ind w:left="660" w:right="80" w:hanging="328"/>
        <w:spacing w:after="0" w:line="274"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Power Solutions. </w:t>
      </w:r>
      <w:r>
        <w:rPr>
          <w:rFonts w:ascii="Arial" w:cs="Arial" w:eastAsia="Arial" w:hAnsi="Arial"/>
          <w:sz w:val="16"/>
          <w:szCs w:val="16"/>
          <w:color w:val="auto"/>
        </w:rPr>
        <w:t>Power Solutions is focused on growth in the electrical, general industrial, automotive, aerospace, defense, and medical end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These divisions are considered our two operating segments as each has engaged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continuing operations by reportable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9"/>
              </w:rPr>
              <w:t>Mobile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4"/>
                <w:szCs w:val="14"/>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35"/>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Consolidations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Year Ended December 31, 2021</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191,800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28,769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15,892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357,171</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(b)</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184,196</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9"/>
              </w:rPr>
              <w:t>Mobile</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22"/>
                <w:szCs w:val="22"/>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35"/>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Consolidations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Year Ended December 31, 2020</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28,298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(85,983)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(36,702)</w:t>
            </w:r>
          </w:p>
        </w:tc>
        <w:tc>
          <w:tcPr>
            <w:tcW w:w="3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(117,457)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3,626</w:t>
            </w:r>
          </w:p>
        </w:tc>
        <w:tc>
          <w:tcPr>
            <w:tcW w:w="60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bottom w:val="single" w:sz="8" w:color="CCEEFF"/>
            </w:tcBorders>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370,985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(b)</w:t>
            </w:r>
          </w:p>
        </w:tc>
        <w:tc>
          <w:tcPr>
            <w:tcW w:w="1040" w:type="dxa"/>
            <w:vAlign w:val="bottom"/>
          </w:tcPr>
          <w:p>
            <w:pPr>
              <w:jc w:val="right"/>
              <w:spacing w:after="0"/>
              <w:rPr>
                <w:sz w:val="20"/>
                <w:szCs w:val="20"/>
                <w:color w:val="auto"/>
              </w:rPr>
            </w:pPr>
            <w:r>
              <w:rPr>
                <w:rFonts w:ascii="Arial" w:cs="Arial" w:eastAsia="Arial" w:hAnsi="Arial"/>
                <w:sz w:val="18"/>
                <w:szCs w:val="18"/>
                <w:color w:val="auto"/>
              </w:rPr>
              <w:t>197,348</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56,629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624,962</w:t>
            </w:r>
          </w:p>
        </w:tc>
        <w:tc>
          <w:tcPr>
            <w:tcW w:w="0" w:type="dxa"/>
            <w:vAlign w:val="bottom"/>
          </w:tcPr>
          <w:p>
            <w:pPr>
              <w:spacing w:after="0"/>
              <w:rPr>
                <w:sz w:val="1"/>
                <w:szCs w:val="1"/>
                <w:color w:val="auto"/>
              </w:rPr>
            </w:pPr>
          </w:p>
        </w:tc>
      </w:tr>
      <w:tr>
        <w:trPr>
          <w:trHeight w:val="701"/>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9"/>
              </w:rPr>
              <w:t>Mobile</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24"/>
                <w:szCs w:val="24"/>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35"/>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Consolidations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2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27,146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(41,027)</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8"/>
          </w:tcPr>
          <w:p>
            <w:pPr>
              <w:spacing w:after="0"/>
              <w:rPr>
                <w:sz w:val="20"/>
                <w:szCs w:val="20"/>
                <w:color w:val="auto"/>
              </w:rPr>
            </w:pPr>
            <w:r>
              <w:rPr>
                <w:rFonts w:ascii="Arial" w:cs="Arial" w:eastAsia="Arial" w:hAnsi="Arial"/>
                <w:sz w:val="18"/>
                <w:szCs w:val="18"/>
                <w:color w:val="auto"/>
              </w:rPr>
              <w:t>Loss from continuing operations before income taxes and share of net income from joint venture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32,169</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eliminations of intersegment transactions which occur during the ordinary course of business.</w:t>
      </w:r>
    </w:p>
    <w:p>
      <w:pPr>
        <w:spacing w:after="0" w:line="63" w:lineRule="exact"/>
        <w:rPr>
          <w:rFonts w:ascii="Arial" w:cs="Arial" w:eastAsia="Arial" w:hAnsi="Arial"/>
          <w:sz w:val="18"/>
          <w:szCs w:val="18"/>
          <w:color w:val="auto"/>
        </w:rPr>
      </w:pPr>
    </w:p>
    <w:p>
      <w:pPr>
        <w:ind w:left="980" w:right="500" w:hanging="324"/>
        <w:spacing w:after="0" w:line="277" w:lineRule="auto"/>
        <w:tabs>
          <w:tab w:leader="none" w:pos="9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assets in Mobile Solutions includes $34.0 million and $27.0 million as of December 31, 2021 and 2020, respectively, related to the investment in our 49% owned joint venture (Note 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long-lived tangible assets by geographical region.</w:t>
      </w:r>
    </w:p>
    <w:p>
      <w:pPr>
        <w:spacing w:after="0" w:line="3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Property, Plant, and Equipment, Net</w:t>
      </w:r>
    </w:p>
    <w:p>
      <w:pPr>
        <w:jc w:val="center"/>
        <w:ind w:left="7500"/>
        <w:spacing w:after="0"/>
        <w:rPr>
          <w:sz w:val="20"/>
          <w:szCs w:val="20"/>
          <w:color w:val="auto"/>
        </w:rPr>
      </w:pPr>
      <w:r>
        <w:rPr>
          <w:rFonts w:ascii="Arial" w:cs="Arial" w:eastAsia="Arial" w:hAnsi="Arial"/>
          <w:sz w:val="14"/>
          <w:szCs w:val="14"/>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Europe</w:t>
            </w:r>
          </w:p>
        </w:tc>
        <w:tc>
          <w:tcPr>
            <w:tcW w:w="8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36,972</w:t>
            </w:r>
          </w:p>
        </w:tc>
        <w:tc>
          <w:tcPr>
            <w:tcW w:w="120" w:type="dxa"/>
            <w:vAlign w:val="bottom"/>
          </w:tcPr>
          <w:p>
            <w:pPr>
              <w:spacing w:after="0"/>
              <w:rPr>
                <w:sz w:val="19"/>
                <w:szCs w:val="19"/>
                <w:color w:val="auto"/>
              </w:rPr>
            </w:pPr>
          </w:p>
        </w:tc>
        <w:tc>
          <w:tcPr>
            <w:tcW w:w="14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Asia</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Arial" w:cs="Arial" w:eastAsia="Arial" w:hAnsi="Arial"/>
                <w:sz w:val="18"/>
                <w:szCs w:val="18"/>
                <w:color w:val="auto"/>
              </w:rPr>
              <w:t>Mexico</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America</w:t>
            </w: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foreign locations</w:t>
            </w: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7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color w:val="auto"/>
              </w:rPr>
              <w:t>Accounts receivable, net, are comprised of the following amounts: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8"/>
          </w:tcPr>
          <w:p>
            <w:pPr>
              <w:jc w:val="center"/>
              <w:ind w:left="373"/>
              <w:spacing w:after="0"/>
              <w:rPr>
                <w:sz w:val="20"/>
                <w:szCs w:val="20"/>
                <w:color w:val="auto"/>
              </w:rPr>
            </w:pPr>
            <w:r>
              <w:rPr>
                <w:rFonts w:ascii="Arial" w:cs="Arial" w:eastAsia="Arial" w:hAnsi="Arial"/>
                <w:sz w:val="14"/>
                <w:szCs w:val="14"/>
                <w:b w:val="1"/>
                <w:bCs w:val="1"/>
                <w:color w:val="auto"/>
                <w:w w:val="92"/>
              </w:rPr>
              <w:t>As of December 31,</w:t>
            </w: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Less—allowance for credit losses</w:t>
            </w: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1,352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changes in allowance for credit losses.</w:t>
            </w: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7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2,044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other</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impact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1,352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2021, no customer represented greater than 10% of consolidated accounts receivable. As of December 31, 2020, one customer represented 11% of consolidated accounts receivable, which is primarily related to Mobile Solutions.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24,960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20,758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22,846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75,027</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62,517</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are comprised of the following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58,296</w:t>
            </w: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344,041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339,268</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407,041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398,834</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197,936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175,144</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209,105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223,690</w:t>
            </w:r>
          </w:p>
        </w:tc>
      </w:tr>
      <w:tr>
        <w:trPr>
          <w:trHeight w:val="21"/>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monitor property, plant and equipment for any indicators of potential impairment. We recognized impairment charges of $4.1 million and $0.6 million for the years ended December 31, 2020 and 2019, respectively, related to the early retirement of identified fixed assets. There were no impairment charges for the year ended December 31, 2021. The impairment charges were recorded to the “Other operating expense (income), net,” line item on the Consolidated Statements of Operations and Comprehensive Income (Loss). The impairment charges were determined by writing the assets down to the estimated salvage value, less disposal costs.</w:t>
      </w:r>
    </w:p>
    <w:p>
      <w:pPr>
        <w:spacing w:after="0" w:line="8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 the years ended December 31, 2021, 2020, and 2019, we recorded depreciation expense of $31.8 million, $31.3 million, and $30.4 million, respectively.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of our net goodwill was recorded in the Power Solutions reportable segment. The following table shows changes in the carrying amount of Power Solutions goodwill.</w:t>
      </w:r>
    </w:p>
    <w:p>
      <w:pPr>
        <w:sectPr>
          <w:pgSz w:w="11900" w:h="16838" w:orient="portrait"/>
          <w:cols w:equalWidth="0" w:num="1">
            <w:col w:w="11240"/>
          </w:cols>
          <w:pgMar w:left="320" w:top="233" w:right="339" w:bottom="1440" w:gutter="0" w:footer="0" w:header="0"/>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impact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700" w:hanging="691"/>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94,779</w:t>
      </w:r>
    </w:p>
    <w:p>
      <w:pPr>
        <w:spacing w:after="0" w:line="34"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(1,837)</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05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5" w:lineRule="exact"/>
        <w:rPr>
          <w:sz w:val="20"/>
          <w:szCs w:val="20"/>
          <w:color w:val="auto"/>
        </w:rPr>
      </w:pPr>
    </w:p>
    <w:p>
      <w:pPr>
        <w:ind w:left="1000" w:hanging="991"/>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058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260" w:space="720"/>
            <w:col w:w="1260"/>
          </w:cols>
          <w:pgMar w:left="320" w:top="233" w:right="339" w:bottom="1440" w:gutter="0" w:footer="0" w:header="0"/>
          <w:type w:val="continuous"/>
        </w:sectPr>
      </w:pPr>
    </w:p>
    <w:p>
      <w:pPr>
        <w:spacing w:after="0" w:line="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Consolidated Statements of Operations and Comprehensive Income (Loss) for the year ended December 31, 2020. As of December 31, 2021 and 2020, there was no remaining goodwill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Mobile Solutions</w:t>
            </w:r>
          </w:p>
        </w:tc>
        <w:tc>
          <w:tcPr>
            <w:tcW w:w="1440" w:type="dxa"/>
            <w:vAlign w:val="bottom"/>
            <w:gridSpan w:val="5"/>
          </w:tcPr>
          <w:p>
            <w:pPr>
              <w:ind w:left="160"/>
              <w:spacing w:after="0"/>
              <w:rPr>
                <w:sz w:val="20"/>
                <w:szCs w:val="20"/>
                <w:color w:val="auto"/>
              </w:rPr>
            </w:pPr>
            <w:r>
              <w:rPr>
                <w:rFonts w:ascii="Arial" w:cs="Arial" w:eastAsia="Arial" w:hAnsi="Arial"/>
                <w:sz w:val="14"/>
                <w:szCs w:val="14"/>
                <w:b w:val="1"/>
                <w:bCs w:val="1"/>
                <w:color w:val="auto"/>
              </w:rPr>
              <w:t>Power Solutions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8"/>
              </w:rPr>
              <w:t>32,416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84,997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1"/>
              </w:rPr>
              <w:t>(3,354)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(10,994)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2"/>
              </w:rPr>
              <w:t>(14,348)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8"/>
              </w:rPr>
              <w:t>29,062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1"/>
              </w:rPr>
              <w:t>(3,353)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(10,994)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2"/>
              </w:rPr>
              <w:t>(14,347)</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8"/>
              </w:rPr>
              <w:t>25,709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63,009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88,718</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gridSpan w:val="4"/>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080" w:type="dxa"/>
            <w:vAlign w:val="bottom"/>
            <w:gridSpan w:val="19"/>
          </w:tcPr>
          <w:p>
            <w:pPr>
              <w:spacing w:after="0"/>
              <w:rPr>
                <w:sz w:val="20"/>
                <w:szCs w:val="20"/>
                <w:color w:val="auto"/>
              </w:rPr>
            </w:pPr>
            <w:r>
              <w:rPr>
                <w:rFonts w:ascii="Arial" w:cs="Arial" w:eastAsia="Arial" w:hAnsi="Arial"/>
                <w:sz w:val="18"/>
                <w:szCs w:val="18"/>
                <w:color w:val="auto"/>
                <w:w w:val="90"/>
              </w:rPr>
              <w:t>The following table shows the cost and accumulated amortization of our intangible assets as of December 31, 2021 and 2020.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56"/>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56"/>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36"/>
              <w:spacing w:after="0" w:line="135"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center"/>
              <w:ind w:left="162"/>
              <w:spacing w:after="0" w:line="135" w:lineRule="exact"/>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61"/>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36"/>
              <w:spacing w:after="0" w:line="135"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12 - 20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85,851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173,746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(74,250)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 and trade name</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8 - 15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7,527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identified intangible assets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88,718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(78,208)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fully amortized are removed and no longer represented in the gross carrying value or accumulated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estimated future amortization expense for the next five years and thereafter.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14,262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13,919</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18,352</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Intangible assets are reviewed for impairment when changes in circumstances indicate the carrying value of those assets may not be recoverable. At December 31, 2021, our market capitalization declined to a level that was less than the net book value of our stockholders’ equity. The decline in market capitalization was a triggering event that caused us to perform an impairment analysis on our long-lived assets as of December 31, 2021. Based on our analysis, the carrying values of the long-lived assets were recoverable and no impairment charge was recorded during the year ended December 31, 2021.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our investment in the JV.</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6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 of earnings</w:t>
            </w:r>
          </w:p>
        </w:tc>
        <w:tc>
          <w:tcPr>
            <w:tcW w:w="6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60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60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34,045</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6000" w:type="dxa"/>
            <w:vAlign w:val="bottom"/>
            <w:vMerge w:val="restart"/>
          </w:tcPr>
          <w:p>
            <w:pPr>
              <w:jc w:val="right"/>
              <w:ind w:right="4190"/>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0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summarized financial information of the unconsolidated JV.</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06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58,906</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60" w:type="dxa"/>
            <w:vAlign w:val="bottom"/>
          </w:tcPr>
          <w:p>
            <w:pPr>
              <w:jc w:val="right"/>
              <w:spacing w:after="0"/>
              <w:rPr>
                <w:sz w:val="20"/>
                <w:szCs w:val="20"/>
                <w:color w:val="auto"/>
              </w:rPr>
            </w:pPr>
            <w:r>
              <w:rPr>
                <w:rFonts w:ascii="Arial" w:cs="Arial" w:eastAsia="Arial" w:hAnsi="Arial"/>
                <w:sz w:val="18"/>
                <w:szCs w:val="18"/>
                <w:color w:val="auto"/>
              </w:rPr>
              <w:t>77,620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56,669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52,757</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12,777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7,401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3,432</w:t>
            </w:r>
          </w:p>
        </w:tc>
      </w:tr>
      <w:tr>
        <w:trPr>
          <w:trHeight w:val="385"/>
        </w:trPr>
        <w:tc>
          <w:tcPr>
            <w:tcW w:w="7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24"/>
                <w:szCs w:val="24"/>
                <w:color w:val="auto"/>
              </w:rPr>
            </w:pPr>
          </w:p>
        </w:tc>
      </w:tr>
      <w:tr>
        <w:trPr>
          <w:trHeight w:val="187"/>
        </w:trPr>
        <w:tc>
          <w:tcPr>
            <w:tcW w:w="70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gridSpan w:val="2"/>
          </w:tcPr>
          <w:p>
            <w:pPr>
              <w:spacing w:after="0"/>
              <w:rPr>
                <w:sz w:val="16"/>
                <w:szCs w:val="16"/>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50,794</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75,222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64,635</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10,006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10,279</w:t>
            </w:r>
          </w:p>
        </w:tc>
      </w:tr>
    </w:tbl>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recognized sales to the JV of $0.4 million, $0.1 million, and $0.2 million during the years ended December 31, 2021, 2020, and 2019, respectively. Amounts due to us from the JV as of December 31, 2021 were $4.4 million, which includes a $4.0 million dividend declared by the JV in 2021 and paid to us in January 2022.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loss from continuing operations before benefit (provision) for income taxes and share of net income from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480"/>
              <w:spacing w:after="0" w:line="156" w:lineRule="exact"/>
              <w:rPr>
                <w:sz w:val="20"/>
                <w:szCs w:val="20"/>
                <w:color w:val="auto"/>
              </w:rPr>
            </w:pPr>
            <w:r>
              <w:rPr>
                <w:rFonts w:ascii="Arial" w:cs="Arial" w:eastAsia="Arial" w:hAnsi="Arial"/>
                <w:sz w:val="18"/>
                <w:szCs w:val="18"/>
                <w:color w:val="auto"/>
              </w:rPr>
              <w:t>Loss from continuing operations before benefit (provision) for income</w:t>
            </w:r>
          </w:p>
        </w:tc>
        <w:tc>
          <w:tcPr>
            <w:tcW w:w="980" w:type="dxa"/>
            <w:vAlign w:val="bottom"/>
            <w:vMerge w:val="restart"/>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(22,442)</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(152,088)</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taxes and share of net income from joint venture</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040" w:type="dxa"/>
            <w:vAlign w:val="bottom"/>
            <w:gridSpan w:val="2"/>
          </w:tcPr>
          <w:p>
            <w:pPr>
              <w:spacing w:after="0"/>
              <w:rPr>
                <w:sz w:val="20"/>
                <w:szCs w:val="20"/>
                <w:color w:val="auto"/>
              </w:rPr>
            </w:pPr>
            <w:r>
              <w:rPr>
                <w:rFonts w:ascii="Arial" w:cs="Arial" w:eastAsia="Arial" w:hAnsi="Arial"/>
                <w:sz w:val="18"/>
                <w:szCs w:val="18"/>
                <w:color w:val="auto"/>
                <w:w w:val="96"/>
              </w:rPr>
              <w:t>The following table summarizes total income tax expense (benefit) recognized in each year.</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Years Ended December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federal and foreign valuation allowance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expense (benefit)</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income taxes based on the U.S. federal statutory income tax rate.</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 exclusive of state</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taxes, exclusive of tax reform</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Non-U.S. earnings taxed at different rates</w:t>
            </w: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GILTI</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Goodwill impairment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asset loss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tax credit</w:t>
            </w:r>
          </w:p>
        </w:tc>
        <w:tc>
          <w:tcPr>
            <w:tcW w:w="66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Impact of 2019 Treasury regulations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CARES Act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Return to provision</w:t>
            </w:r>
          </w:p>
        </w:tc>
        <w:tc>
          <w:tcPr>
            <w:tcW w:w="66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Taxes on unremitted foreign earnings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Restructuring gain</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Intercompany lending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Warrant revaluation</w:t>
            </w:r>
          </w:p>
        </w:tc>
        <w:tc>
          <w:tcPr>
            <w:tcW w:w="66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adjustments,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580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10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effective tax rate for continuing operations was 7.8% for 2021. The 2021 effective tax rate for continuing operations differs from the U.S. federal statutory tax rate of 21% primarily due to the impact of our valuation allowance change during the year.</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effective tax rate for continuing operations was 5.9% for 2020. The 2020 effective tax rate for continuing operations differs from the U.S. federal statutory tax rate of 21% primarily due to (1) the impact of the impairment of nondeductible goodwill which is treated as a permanent difference and (2) the accrual of taxes on unremitted earnings of foreign subsidiaries which may be repatriated.</w:t>
      </w:r>
    </w:p>
    <w:p>
      <w:pPr>
        <w:spacing w:after="0" w:line="74"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On March 27, 2020, the Coronavirus Aid, Relief, and Economic Security Act (the “CARES Act”) was enacted. Among other provisions, the CARES Act allows for the carryback of certain tax losses and favorably impacts the deductibility of interest expense and depreciation. The CARES Act had a material impact on our consolidated financial statements, primarily due to a higher enacted federal rate in the carryback periods, and has been accounted for in the benefit for income taxes for the year ended December 31, 2020.</w:t>
      </w:r>
    </w:p>
    <w:p>
      <w:pPr>
        <w:spacing w:after="0" w:line="80"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On October 6, 2020, we sold our Life Sciences business via a sale of our equity interest in Precision Engineered Products Holdings, Inc., a wholly owned U.S. domestic subsidiary. Prior to the sale, we completed tax restructuring in which Precision Engineered Products Holdings, Inc., distributed to NN, Inc., all of its asset and equity holdings related to the Power Solutions segment. The restructuring process created a deferred gain, required to be realized upon the third party equity sale, equal to the fair market value of the distributed assets over tax basis. The associated U.S. federal, state, and foreign tax impacts are reflected in the tables within this footnote.</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effective tax rate for continuing operations was (1.0)% for 2019. The 2019 effective tax rate for continuing operations differs from the U.S. federal statutory tax rate of 21% principally due to a discrete tax charge of $6.0 million related to final tax regulations published by the Department of the Treasury and Internal Revenue Service on February 4, 2019. The tax rate was also impacted by valuation of its state tax attributes.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principal components of the deferred tax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1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Tax in excess of book depreciation</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25,732</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27,459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23,695</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Taxes on unremitted foreign earnings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6,601</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78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deferred income tax liabilities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69,437</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Pension and personnel accruals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23,629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18,659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Credit carryforwards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reserves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deferred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r>
      <w:tr>
        <w:trPr>
          <w:trHeight w:val="223"/>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assets before valuation allowance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79,940</w:t>
            </w:r>
          </w:p>
        </w:tc>
      </w:tr>
      <w:tr>
        <w:trPr>
          <w:trHeight w:val="229"/>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(25,809)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(21,681)</w:t>
            </w:r>
          </w:p>
        </w:tc>
      </w:tr>
      <w:tr>
        <w:trPr>
          <w:trHeight w:val="223"/>
        </w:trPr>
        <w:tc>
          <w:tcPr>
            <w:tcW w:w="7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deferred income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58,259</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deferred income tax liabilities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11,178</w:t>
            </w: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2021, we had a $26.4 million U.S. federal net operating loss (“NOL”) carryover. The federal NOL has an indefinite life, but utilization within any tax year is limited to 80% of taxable income. Therefore, a valuation allowance of $1.3 million has been established to reduce the attribute balance to the amount expected to be utilized. As of December 31, 2021, we had $251.5 million of state NOL carryovers, which begin to expire in 2030. Management believes that certain of the state NOL carryovers will more likely than not expire prior to utilization. As such, a valuation allowance of $13.1 million (net of federal benefit) has been established to reduce the state attribute balance to the amount expected to be utilized before expiration. We also have $5.0 million, tax-effected, of foreign NOL carryovers at December 31, 2021. The foreign NOLs have an indefinite life; however, management believes that benefit for certain of the foreign NOLs may not be realized. Therefore, we have established a valuation allowance of $2.3 million to reduce the carrying value of the asset related to foreign NOLs to the amount that has been determined to be more likely than not realized.</w:t>
      </w:r>
    </w:p>
    <w:p>
      <w:pPr>
        <w:spacing w:after="0" w:line="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have $0.2 million and $2.8 million of U.S. federal tax credits and tax credits in foreign jurisdictions, respectively, as of December 31, 2021. We have recognized a valuation allowance of $2.1 million for the foreign tax credits. In addition, we have $1.0 million of state deferred tax assets for which we believe recognition is not appropriate.</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a U.S. federal and state deferred tax asset related to currency losses on intercompany loans and interest expense carryforwards. Management believes it is more likely than not that the benefit for these assets will not be realized based on timing of expected repayment of the intercompany loans. We have established a valuation allowance of $2.1 million and $4.0 million, respectively, to eliminate the carrying value of these assets.</w:t>
      </w:r>
    </w:p>
    <w:p>
      <w:pPr>
        <w:spacing w:after="0" w:line="4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Management assesses available positive and negative evidence to estimate whether it is more likely than not sufficient future taxable income will be generated to provide use of the existing deferred tax assets. A significant piece of objective negative evidence evaluated is cumulative losses incurred over the three-year period ended December 31, 2021. Such objective evidence limits the ability to consider other subjective evidence, such as our projections for future earnings growth. On the basis of this evaluation, as of December 31, 2021, a valuation allowance of $25.8 million has been recorded to recognize only the portion of the deferred tax asset that is more likely than not to be realized without consideration of future earnings growth.</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Management believes all remaining tax assets will more likely than not be realized. However, the amount of the deferred tax asset realized will change based on future conditions, and the amount considered realizable will be adjusted if objective negative evidence in the form of cumulative losses is no longer present allowing additional weight to be given to subjective evidence such as our projections for growth.</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2021, the valuation allowance increased by $4.1 million, primarily due to allowances recorded against U.S. federal net operating loss carryforwards and carryforwards of disallowed interest expense which are subject to certain annual deduction limitations. The increase was partially offset by utilization of previously reserved net operating loss carryforwards in certain foreign jurisdictions.</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result of the deemed mandatory repatriation provisions in the U.S. Tax Cuts and Jobs Act of 2017 and subsequent recognition in income of GILTI, we do not have material basis differences related to cumulative unremitted earnings for U.S. income tax purposes. However, we continue to evaluate quarterly the impact that repatriation of foreign earnings would have on withholding and other taxes. As of December 31, 2021, we have recorded a liability of $5.6 million for the anticipated withholding taxes that would be due upon repatriation of the unremitted earnings of those subsidiaries for which management does not intend to permanently reinvest all earnings.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2021, the Company asserted that it was permanently reinvested in certain jurisdictions for which it previously was unable to assert permanent reinvestment. Prior to the Company’s debt refinancing in 2021, the Company had recorded a liability on all unremitted earnings. However, upon completion of the debt refinancing, the Company reevaluated repatriation plans, changed its assertion for certain jurisdictions and recorded the resulting tax benefit of $2.4 million.</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2017. We regularly assess the outcomes of both ongoing and future examinations for the current or prior years to ensure our provision for income taxes is sufficient. We recognize liabilities based on estimates of whether additional taxes will be due, and we believe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Consolidated Statements of Operations and Comprehensive Income (Loss). Accrued interest and penalties of $0.5 million, $0.6 million, and $1.5 million are included in other non-current liabilities as of December 31, 2021, 2020, and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beginning and ending amounts of unrecognized tax benefits, excluding interest and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for tax positions of prior years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reduction to unrecognized tax benefits in 2021 is related to the remeasurement of previously unrecognized tax benefits. As of December 31, 2021, the unrecognized tax benefits would, if recognized, impact our effective tax rate by $0.7 million, inclusive of the impact of interest and penalties. Management believes that it is reasonably possible that the amount of unrecognized income tax benefits, including interest and penalties, may not decrease during the next twelve months as no statutes are expected to lapse within the period.</w:t>
      </w:r>
    </w:p>
    <w:p>
      <w:pPr>
        <w:spacing w:after="0" w:line="7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impact of these tax holidays decreased foreign taxes by $0.2 million and $0.2 million for 2021 and 2020, respectively. The tax holidays had no impact on our 2019 foreign taxes.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22, 2021, we entered into a new $150.0 million term loan facility (the “Term Loan Facility”) and a new $50.0 million asset backed credit facility (the “ABL Facility”). The proceeds from the Term Loan Facility were used to prepay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amounts outstanding on our previous term loans. The previous credit facility was terminated and consisted of a Senior Secured Term Loan, Incremental Term Loan, and Senior Secured Revolver. No amounts were outstanding on the Senior Secured Revolver at the time of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outstanding debt balances as of December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148,875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9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47,728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Term Loan</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lines of credit and other loans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14,418</w:t>
            </w:r>
          </w:p>
        </w:tc>
      </w:tr>
      <w:tr>
        <w:trPr>
          <w:trHeight w:val="22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principal</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159,805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84,862</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maturities of long-term debt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r>
      <w:tr>
        <w:trPr>
          <w:trHeight w:val="22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net of current portion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156,731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Less-unamortized debt issuance costs and discount (1)</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 of current portion</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151,052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hanging="244"/>
        <w:spacing w:after="0" w:line="308" w:lineRule="auto"/>
        <w:tabs>
          <w:tab w:leader="none" w:pos="9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addition to this amount, costs of $0.7 million related to the ABL Facility were recorded in other non-current assets as of December 31, 2021, and $1.8 million related to the Senior Secured Revolver are recorded in other non-current assets as of December 31, 2020.</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capitalized interest costs of $0.3 million, $0.2 million, and $1.5 million in the years ended December 31, 2021, 2020, and 2019, respectively, related to construction in progress.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December 31, 2021, the Term Loan Facility bore interest, based on one-month LIBOR, at 7.875%.</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We were in compliance with all requirements under the Term Loan Facility as of December 31, 2021. On March 3, 2022, we amended our Term Loan Facility, which increases the quarterly maximum consolidated net leverage ratio beginning with the first quarter of 2022 (see Note 20).</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Term Loan Facility was issued at a $3.8 million discount. We capitalized an additional $2.8 million in new debt issuance costs related to the Term Loan Facility. Debt issuance costs and original issue discount related to the Term Loan Facility are recorded as a direct reduction to the carrying amount of the associated long-term debt and amortized over the term of the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December 31, 2021, using one-month LIBOR plus a 1.75% spread, the weighted average interest rate on outstanding borrowings under the ABL Facility would have been 2.25% if there had been any balance outstanding. We pay a commitment fee of 0.375% for unused capacity under the ABL Facility and a 1.875% fee on the amount of letters of credit outstanding. The final maturity date of the ABL Facility is March 22, 2026.</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of December 31, 2021, we had no outstanding borrowings under the ABL Facility, $11.2 million of outstanding letters of credit, and $36.0 million available for future borrowings under the ABL Facility. The ABL Facility has a first lien on accounts receivable and inventory. We were in compliance with all requirements under the ABL Facility as of December 31, 2021.</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capitalized a total of $0.8 million in new debt issuance costs related to the ABL Facility. Costs related to the ABL Facility are recorded in other non-current assets and amortized over the term of the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Outstanding borrowings under the Senior Secured Term Loan bore interest at one-month LIBOR (subject to a 0.75% floor) plus an applicable margin of 5.75%. During 2021 until termination, the Senior Secured Term Loan bore interest at 6.50%.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Outstanding borrowings under the Incremental Term Loan bore interest at one-month LIBOR plus an applicable margin of 5.75%. During 2021 until termination, the Incremental Term Loan bore interest at 5.90%.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Outstanding borrowings under the Senior Secured Revolver bore interest on a variable rate structure at either 1) one-month LIBOR plus an applicable margin of 4.00% or 2) the prime lending rate plus an applicable margin of 3.00%. We had no outstanding borrowings under the Senior Secured Revolver during 2021. We incurred a commitment fee of 0.50% for unused capacity under the Senior Secured Revolver until it was terminated.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recognized a $2.4 million loss on extinguishment for unamortized debt issuance costs that were written off in the year ended December 31, 2021, in connection with the termination of our previous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July 22, 2021, we entered into a fixed-rate interest rate swap agreement to change the LIBOR-based component of the interest rate on a portion of the Term Loan Facility to a fixed rate of 1.291%. The interest rate swap has a notional amount of $60.0 million and a maturity date of July 31, 2024.</w:t>
      </w:r>
    </w:p>
    <w:p>
      <w:pPr>
        <w:spacing w:after="0" w:line="1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portion of the proceeds from the Term Loan Facility was used to settle and terminate our previous fixed-rate interest rate swap agreement with a cash payment of $13.7 million during the first quarter of 2021. Refer to Note 19 for further discussion of the interest rate swap agreements.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aggregate maturities of long-term debt for the next five years and thereafter.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9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135"/>
        </w:trPr>
        <w:tc>
          <w:tcPr>
            <w:tcW w:w="9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1"/>
                <w:szCs w:val="11"/>
                <w:color w:val="auto"/>
              </w:rPr>
            </w:pPr>
          </w:p>
        </w:tc>
        <w:tc>
          <w:tcPr>
            <w:tcW w:w="134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88"/>
        </w:trPr>
        <w:tc>
          <w:tcPr>
            <w:tcW w:w="9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24"/>
        </w:trPr>
        <w:tc>
          <w:tcPr>
            <w:tcW w:w="9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146,788</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outstanding principal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159,805</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adopted ASC 842 on January 1, 2019, and elected the modified retrospective approach in which the new standard is applied to all leases existing at the date of adoption through a cumulative-effect adjustment of $0.1 million to accumulated deficit. As part of the adoption, we elected the package of practical expedients, the short-term lease exemption, and the practical expedient to not separate lease and non-lease components. Accordingly, we accounted for our existing operating leases as operating leases under the new standard, without reassessing (a) whether the contracts contain a lease under ASC 842, (b) whether</w:t>
      </w:r>
    </w:p>
    <w:p>
      <w:pPr>
        <w:sectPr>
          <w:pgSz w:w="11900" w:h="16838" w:orient="portrait"/>
          <w:cols w:equalWidth="0" w:num="1">
            <w:col w:w="11200"/>
          </w:cols>
          <w:pgMar w:left="320" w:top="233" w:right="37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classification of the operating leases would be different in accordance with ASC 842, or (c) whether any unamortized initial direct costs would have met the definition of initial direct costs in ASC 842 at lease commencement.</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whether an arrangement is a lease at inception. Right-of-use (“ROU”) lease assets represent our right to use an underlying asset for the lease term, and lease liabilities represent our obligation to make lease payments arising from the lease. ROU lease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ROU lease assets is recognized in expense on a straight-line basis over the lease term.</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Short-term leases are leases having a term of twelve months or less. We recognize short-term leases on a straight-line basis and do not record a related lease asset or liability for such leases. Finance lease ROU assets consist primarily of equipment used in the manufacturing process with terms three years to eight years. Operating lease ROU assets consist of the following:</w:t>
      </w:r>
    </w:p>
    <w:p>
      <w:pPr>
        <w:spacing w:after="0" w:line="7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Equipment used in the manufacturing process as well as office equipment with terms two years to five years;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plants and office facilities with terms three years to 20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lease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900" w:type="dxa"/>
            <w:vAlign w:val="bottom"/>
            <w:gridSpan w:val="2"/>
          </w:tcPr>
          <w:p>
            <w:pPr>
              <w:ind w:left="960"/>
              <w:spacing w:after="0"/>
              <w:rPr>
                <w:sz w:val="20"/>
                <w:szCs w:val="20"/>
                <w:color w:val="auto"/>
              </w:rPr>
            </w:pPr>
            <w:r>
              <w:rPr>
                <w:rFonts w:ascii="Arial" w:cs="Arial" w:eastAsia="Arial" w:hAnsi="Arial"/>
                <w:sz w:val="14"/>
                <w:szCs w:val="14"/>
                <w:b w:val="1"/>
                <w:bCs w:val="1"/>
                <w:color w:val="auto"/>
              </w:rPr>
              <w:t>Financial Statement Line Item</w:t>
            </w: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40"/>
              <w:spacing w:after="0"/>
              <w:rPr>
                <w:sz w:val="20"/>
                <w:szCs w:val="20"/>
                <w:color w:val="auto"/>
              </w:rPr>
            </w:pPr>
            <w:r>
              <w:rPr>
                <w:rFonts w:ascii="Arial" w:cs="Arial" w:eastAsia="Arial" w:hAnsi="Arial"/>
                <w:sz w:val="18"/>
                <w:szCs w:val="18"/>
                <w:color w:val="auto"/>
              </w:rPr>
              <w:t>Amortization of right-of-use assets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Operating lease cost</w:t>
            </w:r>
          </w:p>
        </w:tc>
        <w:tc>
          <w:tcPr>
            <w:tcW w:w="3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sales and selling, general, and</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administrative expense</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Short-term lease cost (1)</w:t>
            </w:r>
          </w:p>
        </w:tc>
        <w:tc>
          <w:tcPr>
            <w:tcW w:w="3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sales and selling, general, and</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w:t>
            </w: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Variable lease cost (2)</w:t>
            </w:r>
          </w:p>
        </w:tc>
        <w:tc>
          <w:tcPr>
            <w:tcW w:w="3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sales and selling, general, and</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expenses related to leases with a lease term of one month or less.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changes to index-based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lease-related assets and liabilities recorded on the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4980" w:type="dxa"/>
            <w:vAlign w:val="bottom"/>
            <w:gridSpan w:val="2"/>
          </w:tcPr>
          <w:p>
            <w:pPr>
              <w:ind w:left="1500"/>
              <w:spacing w:after="0"/>
              <w:rPr>
                <w:sz w:val="20"/>
                <w:szCs w:val="20"/>
                <w:color w:val="auto"/>
              </w:rPr>
            </w:pPr>
            <w:r>
              <w:rPr>
                <w:rFonts w:ascii="Arial" w:cs="Arial" w:eastAsia="Arial" w:hAnsi="Arial"/>
                <w:sz w:val="14"/>
                <w:szCs w:val="14"/>
                <w:b w:val="1"/>
                <w:bCs w:val="1"/>
                <w:color w:val="auto"/>
              </w:rPr>
              <w:t>Financial Statement Line Item</w:t>
            </w: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3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4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60"/>
              <w:spacing w:after="0"/>
              <w:rPr>
                <w:sz w:val="20"/>
                <w:szCs w:val="20"/>
                <w:color w:val="auto"/>
              </w:rPr>
            </w:pPr>
            <w:r>
              <w:rPr>
                <w:rFonts w:ascii="Arial" w:cs="Arial" w:eastAsia="Arial" w:hAnsi="Arial"/>
                <w:sz w:val="18"/>
                <w:szCs w:val="18"/>
                <w:color w:val="auto"/>
              </w:rPr>
              <w:t>Operating lease assets</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46,443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50,264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assets</w:t>
            </w: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rPr>
              <w:t>Total lease assets</w:t>
            </w: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4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liabilities</w:t>
            </w: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Non-current liabilities:</w:t>
            </w: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55,053</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Finance lease liabilities</w:t>
            </w:r>
          </w:p>
        </w:tc>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4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ind w:left="2460"/>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0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 of continuing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1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Operating cash flows used in 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used in operating leases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Financing cash flows used in finance leases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3,156</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2021, the weighted average remaining lease term and weighted-average discount rate for finance and operating leases of continuing operations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Years Ended December 31,</w:t>
            </w:r>
          </w:p>
        </w:tc>
        <w:tc>
          <w:tcPr>
            <w:tcW w:w="1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7"/>
        </w:trPr>
        <w:tc>
          <w:tcPr>
            <w:tcW w:w="6780" w:type="dxa"/>
            <w:vAlign w:val="bottom"/>
          </w:tcPr>
          <w:p>
            <w:pPr>
              <w:spacing w:after="0"/>
              <w:rPr>
                <w:sz w:val="16"/>
                <w:szCs w:val="16"/>
                <w:color w:val="auto"/>
              </w:rPr>
            </w:pP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24"/>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years</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 years</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 years</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11.1 years</w:t>
            </w:r>
          </w:p>
        </w:tc>
        <w:tc>
          <w:tcPr>
            <w:tcW w:w="120" w:type="dxa"/>
            <w:vAlign w:val="bottom"/>
          </w:tcPr>
          <w:p>
            <w:pPr>
              <w:spacing w:after="0"/>
              <w:rPr>
                <w:sz w:val="19"/>
                <w:szCs w:val="19"/>
                <w:color w:val="auto"/>
              </w:rPr>
            </w:pPr>
          </w:p>
        </w:tc>
        <w:tc>
          <w:tcPr>
            <w:tcW w:w="1580" w:type="dxa"/>
            <w:vAlign w:val="bottom"/>
            <w:gridSpan w:val="5"/>
          </w:tcPr>
          <w:p>
            <w:pPr>
              <w:jc w:val="right"/>
              <w:ind w:right="180"/>
              <w:spacing w:after="0"/>
              <w:rPr>
                <w:sz w:val="20"/>
                <w:szCs w:val="20"/>
                <w:color w:val="auto"/>
              </w:rPr>
            </w:pPr>
            <w:r>
              <w:rPr>
                <w:rFonts w:ascii="Arial" w:cs="Arial" w:eastAsia="Arial" w:hAnsi="Arial"/>
                <w:sz w:val="18"/>
                <w:szCs w:val="18"/>
                <w:color w:val="auto"/>
              </w:rPr>
              <w:t>11.7 years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11.0 years</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5.7 %</w:t>
            </w:r>
          </w:p>
        </w:tc>
      </w:tr>
      <w:tr>
        <w:trPr>
          <w:trHeight w:val="418"/>
        </w:trPr>
        <w:tc>
          <w:tcPr>
            <w:tcW w:w="6780" w:type="dxa"/>
            <w:vAlign w:val="bottom"/>
          </w:tcPr>
          <w:p>
            <w:pPr>
              <w:spacing w:after="0"/>
              <w:rPr>
                <w:sz w:val="20"/>
                <w:szCs w:val="20"/>
                <w:color w:val="auto"/>
              </w:rPr>
            </w:pPr>
            <w:r>
              <w:rPr>
                <w:rFonts w:ascii="Arial" w:cs="Arial" w:eastAsia="Arial" w:hAnsi="Arial"/>
                <w:sz w:val="18"/>
                <w:szCs w:val="18"/>
                <w:color w:val="auto"/>
              </w:rPr>
              <w:t>The maturities of lease liabilities as of December 31, 2021, is as follows: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6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gridSpan w:val="4"/>
          </w:tcPr>
          <w:p>
            <w:pPr>
              <w:ind w:left="28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Finance Leases</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40" w:type="dxa"/>
            <w:vAlign w:val="bottom"/>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2023</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2,675</w:t>
            </w:r>
          </w:p>
        </w:tc>
        <w:tc>
          <w:tcPr>
            <w:tcW w:w="4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40" w:type="dxa"/>
            <w:vAlign w:val="bottom"/>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2025</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0" w:type="dxa"/>
            <w:vAlign w:val="bottom"/>
          </w:tcPr>
          <w:p>
            <w:pPr>
              <w:spacing w:after="0"/>
              <w:rPr>
                <w:sz w:val="19"/>
                <w:szCs w:val="19"/>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42,964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40" w:type="dxa"/>
            <w:vAlign w:val="bottom"/>
          </w:tcPr>
          <w:p>
            <w:pPr>
              <w:spacing w:after="0"/>
              <w:rPr>
                <w:sz w:val="19"/>
                <w:szCs w:val="19"/>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24,407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40" w:type="dxa"/>
            <w:vAlign w:val="bottom"/>
          </w:tcPr>
          <w:p>
            <w:pPr>
              <w:spacing w:after="0"/>
              <w:rPr>
                <w:sz w:val="19"/>
                <w:szCs w:val="19"/>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40" w:type="dxa"/>
            <w:vAlign w:val="bottom"/>
          </w:tcPr>
          <w:p>
            <w:pPr>
              <w:spacing w:after="0"/>
              <w:rPr>
                <w:sz w:val="21"/>
                <w:szCs w:val="2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2020, we amended the lease of our corporate headquarters building to exit over half of the previously leased space and reduce annual base rent payments.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(income), net,” on the Consolidated Statements of Operations and Comprehensive Income (Loss) for the year ended December 31, 2020. In connection with the discontinued use of the previously leased space, we also recognized a $4.4 million termination charge and a $2.9 million impairment charge on the associated leasehold improvements, all of which were also recognized in “Other operating expense (income), net” for the year ended December 31, 2020.</w:t>
      </w:r>
    </w:p>
    <w:p>
      <w:pPr>
        <w:spacing w:after="0" w:line="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2020 and as part of our overall plan to improve liquidity during the COVID-19 pandemic, we negotiated with certain lessors to defer rent payments on leased buildings. In total, $0.5 million of operating lease payments for continuing operations were deferred over a period ranging from April 2020 to December 2020 and are being repaid over a period ranging from June 2020 through December 2022. The deferral of rent payments did not result in a substantial change in total lease payments over the individual lease terms. We elected to apply lease accounting relief announced by the FASB in April 2020 and treated these lease concessions as if they existed in the original contracts rather than applying lease modification accounting. The net impact on cash flows from operating activities on the Consolidated Statements of Cash Flows for the years ended December 31, 2021 and 2020, was $(0.2) million and $0.7 million,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acquisition of Autocam Corporation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0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October 26, 2020, Corre Opportunities Qualified Master Fund, LP, and Corre Horizon Fund, LP, (collectively, “Corre Partners”) filed a complaint in the Chancery Court of the State of Delaware against the Company. The complaint alleged that the Company’s sale of its Life Sciences business without obtaining the prior consent of the plaintiffs was a breach of the terms of the Series B Preferred Stock. On May 13, 2021, the Company entered into a cooperation agreement with Corre Partners. In connection with the cooperation agreement, on May 13, 2021, the Company also entered into a settlement agreement with Corre Partners, which resolved the complaint.</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Preferred Stock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Perpetual Preferred Stock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5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certain features of the Series D Preferred Stock were bifurcated and accounted for as derivatives separately. Note 19 discusses the accounting for these features.</w:t>
      </w:r>
    </w:p>
    <w:p>
      <w:pPr>
        <w:spacing w:after="0" w:line="6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December 31, 2021, the carrying value of the Series D Preferred Stock shares was $53.8 million, which included $7.1 million of accumulated unpaid and deemed dividends. The following table presents the change in the Series D Preferred Stock carrying value during the year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Year Ended December</w:t>
            </w:r>
          </w:p>
        </w:tc>
      </w:tr>
      <w:tr>
        <w:trPr>
          <w:trHeight w:val="188"/>
        </w:trPr>
        <w:tc>
          <w:tcPr>
            <w:tcW w:w="9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31,</w:t>
            </w:r>
          </w:p>
        </w:tc>
      </w:tr>
      <w:tr>
        <w:trPr>
          <w:trHeight w:val="183"/>
        </w:trPr>
        <w:tc>
          <w:tcPr>
            <w:tcW w:w="98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Proceeds from issuance of shares,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61,793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2021 Warrants issued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of in-kind dividends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Series B Preferred Stock had a liquidation preference of $1,000 per share and was redeemable in cash at our option, subject to the applicable redemption premium. Series B Preferred Stock shares earned cumulative dividends at a rate of 10.625% per year, and accrued whether or not earned or declared. The Series B Preferred Stock was recognized at a discounted value, net of issuance costs and allocation to warrants and bifurcated embedded derivatives. The aggregate discount was amortized as a deemed dividend through December 31, 2023, which is the date the holders had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At redemption on March 22, 2021, the carrying value of the Series B Preferred Stock shares included $14.3 million of accumulated unpaid and deemed dividends. The following table presents the change in the Series B Preferred Stock carrying value during the years ended December 31, 2021,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Gross proceeds from issuance of shares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Relative fair value of Warrants issued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issuance costs to Preferred Stock</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Accrual of in-kind dividends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15, 2020, our Board of Directors authorized and declared a dividend of one preferred share purchase right for each outstanding share of common stock to shareholders of record on April 27, 2020. The rights expired on March 31, 2021.</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from Contracts with Customers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The following tables summarize revenue by customer geographical region.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(79)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56,972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35,697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191,800</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(79)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Mobile</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3"/>
              </w:rPr>
              <w:t>(95)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29,865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256,360</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(95)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427,534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2019</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(335)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319,055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45,515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32,304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5"/>
              </w:rPr>
              <w:t>(335)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tables summarize revenue by customer industry for the years ended December 31, 2021 and 2020. Comparable sales data by customer industry is not available prior to 2020.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220,873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477,584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128,324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utilize the portfolio approach practical expedient to evaluate sales-related discounts on a portfolio basis to contracts with similar characteristics. The effect on our consolidated financial statements of applying the portfolio approach would not differ materially from evaluation of individual contracts.</w:t>
      </w:r>
    </w:p>
    <w:p>
      <w:pPr>
        <w:spacing w:after="0" w:line="1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and we estimate the impact to the transaction price based on an analysis of historical experience.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jc w:val="right"/>
              <w:ind w:right="739"/>
              <w:spacing w:after="0"/>
              <w:rPr>
                <w:sz w:val="20"/>
                <w:szCs w:val="20"/>
                <w:color w:val="auto"/>
              </w:rPr>
            </w:pPr>
            <w:r>
              <w:rPr>
                <w:rFonts w:ascii="Arial" w:cs="Arial" w:eastAsia="Arial" w:hAnsi="Arial"/>
                <w:sz w:val="14"/>
                <w:szCs w:val="14"/>
                <w:b w:val="1"/>
                <w:bCs w:val="1"/>
                <w:color w:val="auto"/>
              </w:rPr>
              <w:t>Deferred</w:t>
            </w:r>
          </w:p>
        </w:tc>
      </w:tr>
      <w:tr>
        <w:trPr>
          <w:trHeight w:val="188"/>
        </w:trPr>
        <w:tc>
          <w:tcPr>
            <w:tcW w:w="90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Revenue</w:t>
            </w:r>
          </w:p>
        </w:tc>
      </w:tr>
      <w:tr>
        <w:trPr>
          <w:trHeight w:val="224"/>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489</w:t>
            </w:r>
          </w:p>
        </w:tc>
      </w:tr>
    </w:tbl>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and customer advances and deposits (e.g. contract liability) on the Consolidated Balance Sheets. These contract liabilities are reported on the Consolidated Balance Sheets on a contract-by-contract basis at the end of each reporting period as deferred revenue. Deferred revenue relates to payments received in advance of performance under the contract and recognized as revenue as (or when) we perform under the contract. Changes in the contract liability balances during the year ended December 31, 2021, were not materially impacted by any other factors. Revenue recognized for the year ended December 31, 2021, from amounts included in deferred revenue at the beginning of the period for performance obligations satisfied or partially satisfied during the period was $0.8 million. Deferred revenue is reported in the “Other current liabilities” line on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December 31, 2021, unless our contracts meet one of the practical expedients. Our contracts met the practical expedient for a performance obligation that is part of a contract that has an original expected duration of one year or less.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recognize commissions paid to internal sales personnel that are incremental to obtaining customer contracts as an expense when incurred since the amortization period is less than one year. Costs to obtain a contract are expensed as selling, general and administrative expense.</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7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recognized sales from a single customer of $49.7 million, or 10% of consolidated net sales, during the year ended December 31, 2019. Revenues from this customer are in our Mobile Solutions segment and were less than 10% of consolidated net sales during the years ended December 31, 2021 and 2020.</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recognize compensation expense of all employee and non-employee director share-based compensation awards in the consolidated financial statements based upon the grant-date fair value of the awards over the requisite service or vesting period, less any expense incurred for estimated forfeitures. As of December 31, 2021, we have 2.2 million maximum shares available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that can be issued as options, stock appreciation rights, and other share-based awards. Shares of our common stock delivered upon exercise or vesting may consist of newly issued shares of our common stock or shares acquired in the open market.</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Share-based compensation expense is recognized in the “Selling, general, and administrative expense” line in the Consolidated Statements of Operations and Comprehensive Income (Loss) except for $0.8 million and $0.4 million attributable to discontinued operations for the years ended December 31, 2020, and 2019, respectively. The following table lists the components of share-based compensation expense by type of award.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29"/>
        </w:trPr>
        <w:tc>
          <w:tcPr>
            <w:tcW w:w="6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Change in estimate of share-based award vesting </w:t>
            </w:r>
            <w:r>
              <w:rPr>
                <w:rFonts w:ascii="Arial" w:cs="Arial" w:eastAsia="Arial" w:hAnsi="Arial"/>
                <w:sz w:val="23"/>
                <w:szCs w:val="23"/>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r>
      <w:tr>
        <w:trPr>
          <w:trHeight w:val="248"/>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right="260" w:hanging="247"/>
        <w:spacing w:after="0" w:line="277" w:lineRule="auto"/>
        <w:tabs>
          <w:tab w:leader="none" w:pos="6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reflect the decrease in share-based compensation expense based on the change in estimate of the probability of vesting of share-based awards.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Unrecognized compensation cost related to unvested awards was $3.8 million as of December 31, 2021. We expect that cost to be recognized over a weighted-average period of 1.7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Option awards were typically granted to key employees on an annual basis by the Compensation Committee of the Board of Directors. All options have an exercise price equal to the closing price of our stock on the date of grant. The term life of options is generally ten years with a vesting period of generally three years.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years ended 2020 and 2019, we granted options to purchase 159 thousand, and 210 thousand shares, respectively, to certain key employees. The weighted average grant-date fair value of the options granted during 2020 and 2019 was $4.76, and $2.77 per share, respectively. No options were granted in 2021. The fair value of our options cannot be determined by market value because they are not traded in an open market. Accordingly, we utilized the Black Scholes financial pricing model to estimate the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each year.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9"/>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0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Average 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30"/>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52.80 %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49.53 %</w:t>
            </w:r>
          </w:p>
        </w:tc>
      </w:tr>
      <w:tr>
        <w:trPr>
          <w:trHeight w:val="230"/>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forfeiture rate</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bl>
    <w:p>
      <w:pPr>
        <w:spacing w:after="0" w:line="20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SAB Topic 14,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The simplified method was used because sufficient historical stock option exercise experience was not available,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of the management structure over the past several years.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 The expected dividend yield for 2020 grants reflects no expected annual dividends over the expected term because we discontinued dividends in 2019.</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expected volatility rate is derived by a mathematical formula utilizing daily closing price data.</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expected forfeiture rate is determined from examining the historical pre-vesting forfeiture patterns of past option issuances to key employees. While the expected forfeiture rate is not an input of the Black Scholes financial pricing model for determining the fair value of the options, it is an important determinant of stock option compensation expense to be recorded.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Aggregate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Options</w:t>
            </w:r>
          </w:p>
        </w:tc>
        <w:tc>
          <w:tcPr>
            <w:tcW w:w="24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6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Intrinsic</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Term (years)</w:t>
            </w:r>
          </w:p>
        </w:tc>
        <w:tc>
          <w:tcPr>
            <w:tcW w:w="26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Value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99"/>
              </w:rPr>
              <w:t>3.8 years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12.80</w:t>
            </w:r>
          </w:p>
        </w:tc>
        <w:tc>
          <w:tcPr>
            <w:tcW w:w="100" w:type="dxa"/>
            <w:vAlign w:val="bottom"/>
          </w:tcPr>
          <w:p>
            <w:pPr>
              <w:spacing w:after="0"/>
              <w:rPr>
                <w:sz w:val="17"/>
                <w:szCs w:val="17"/>
                <w:color w:val="auto"/>
              </w:rPr>
            </w:pPr>
          </w:p>
        </w:tc>
        <w:tc>
          <w:tcPr>
            <w:tcW w:w="1520" w:type="dxa"/>
            <w:vAlign w:val="bottom"/>
            <w:gridSpan w:val="2"/>
          </w:tcPr>
          <w:p>
            <w:pPr>
              <w:ind w:left="760"/>
              <w:spacing w:after="0" w:line="203" w:lineRule="exact"/>
              <w:rPr>
                <w:sz w:val="20"/>
                <w:szCs w:val="20"/>
                <w:color w:val="auto"/>
              </w:rPr>
            </w:pPr>
            <w:r>
              <w:rPr>
                <w:rFonts w:ascii="Arial" w:cs="Arial" w:eastAsia="Arial" w:hAnsi="Arial"/>
                <w:sz w:val="18"/>
                <w:szCs w:val="18"/>
                <w:color w:val="auto"/>
                <w:w w:val="99"/>
              </w:rPr>
              <w:t>3.2 years</w:t>
            </w: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80" w:right="180" w:hanging="324"/>
        <w:spacing w:after="0" w:line="342" w:lineRule="auto"/>
        <w:tabs>
          <w:tab w:leader="none" w:pos="97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aggregate intrinsic value is the sum of intrinsic values for each exercisable individual option grant. The intrinsic value is the amount by which the closing market price of our stock at December 31, 2021, was greater than the exercise price of any individual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years ended December 31, 2021, 2020, and 2019, we granted 459 thousand, 460 thousand, and 339 thousand shares of restricted stock to non-executive directors, officers, and certain other key employees. The shares of restricted stock granted during the years ended December 31, 2021, 2020, and 2019, vest pro-rata generally over three years for officers and certain other key employees and over one year for non-executive directors and certain key employees. We determined the fair value of the shares awarded by using the closing price of our common stock as of the date of grant. The weighted average grant-date fair value of restricted stock granted in the years ended December 31, 2021, 2020, and 2019, was $6.84, $9.35, and $7.74 per share, respectively. The total grant-date fair value of restricted stock that vested in the years ended December 31, 2021, 2020, and 2019, was $2.8 million, $1.9 million, and $2.9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December 31, 2021, and changes during the year then ended.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2021 and 2020 were made pursuant to the NN, Inc. 2019 Omnibus Incentive Plan and a Performance Share Unit Agreement (the “2019 Omnibus Agreement”). PSUs granted in 2019 were made pursuant to the NN, Inc. 2016 Omnibus Incentive Plan and a Performance Share Unit Agreement (the “2016 Omnibus Agreement”). Some PSUs are based on total shareholder return (“TSR Awards”), and other PSUs are based on return on invested capital (“ROIC Awards”).</w:t>
      </w:r>
    </w:p>
    <w:p>
      <w:pPr>
        <w:spacing w:after="0" w:line="5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and the 2016 Omnibus Agreement. The ROIC Awards will vest, if at all, upon our achieving a specified average return on invested capital during the performance periods. Each performance period generally begins on January 1 of the year of grant and ends 36 months later on December 31.</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or 50%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goals with respect to TSR Awards and ROIC Awards granted in 2021, 2020, and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3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Threshold Performance</w:t>
            </w:r>
          </w:p>
        </w:tc>
        <w:tc>
          <w:tcPr>
            <w:tcW w:w="440" w:type="dxa"/>
            <w:vAlign w:val="bottom"/>
          </w:tcPr>
          <w:p>
            <w:pPr>
              <w:spacing w:after="0"/>
              <w:rPr>
                <w:sz w:val="14"/>
                <w:szCs w:val="14"/>
                <w:color w:val="auto"/>
              </w:rPr>
            </w:pPr>
          </w:p>
        </w:tc>
        <w:tc>
          <w:tcPr>
            <w:tcW w:w="256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3"/>
              </w:rPr>
              <w:t>Target Performance</w:t>
            </w:r>
          </w:p>
        </w:tc>
        <w:tc>
          <w:tcPr>
            <w:tcW w:w="2480" w:type="dxa"/>
            <w:vAlign w:val="bottom"/>
          </w:tcPr>
          <w:p>
            <w:pPr>
              <w:jc w:val="right"/>
              <w:ind w:right="63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33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(50% of Shares)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4"/>
          </w:tcPr>
          <w:p>
            <w:pPr>
              <w:jc w:val="center"/>
              <w:ind w:right="138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80" w:type="dxa"/>
            <w:vAlign w:val="bottom"/>
          </w:tcPr>
          <w:p>
            <w:pPr>
              <w:jc w:val="right"/>
              <w:ind w:right="837"/>
              <w:spacing w:after="0" w:line="149"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1240" w:type="dxa"/>
            <w:vAlign w:val="bottom"/>
            <w:shd w:val="clear" w:color="auto" w:fill="CCEEFF"/>
          </w:tcPr>
          <w:p>
            <w:pPr>
              <w:spacing w:after="0"/>
              <w:rPr>
                <w:sz w:val="19"/>
                <w:szCs w:val="19"/>
                <w:color w:val="auto"/>
              </w:rPr>
            </w:pPr>
          </w:p>
        </w:tc>
        <w:tc>
          <w:tcPr>
            <w:tcW w:w="16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35 th Percentile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1"/>
              </w:rPr>
              <w:t>50 th Percentile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th Percentile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2020 grants</w:t>
            </w:r>
          </w:p>
        </w:tc>
        <w:tc>
          <w:tcPr>
            <w:tcW w:w="1240" w:type="dxa"/>
            <w:vAlign w:val="bottom"/>
          </w:tcPr>
          <w:p>
            <w:pPr>
              <w:spacing w:after="0"/>
              <w:rPr>
                <w:sz w:val="19"/>
                <w:szCs w:val="19"/>
                <w:color w:val="auto"/>
              </w:rPr>
            </w:pPr>
          </w:p>
        </w:tc>
        <w:tc>
          <w:tcPr>
            <w:tcW w:w="2060" w:type="dxa"/>
            <w:vAlign w:val="bottom"/>
            <w:gridSpan w:val="3"/>
          </w:tcPr>
          <w:p>
            <w:pPr>
              <w:ind w:left="520"/>
              <w:spacing w:after="0"/>
              <w:rPr>
                <w:sz w:val="20"/>
                <w:szCs w:val="20"/>
                <w:color w:val="auto"/>
              </w:rPr>
            </w:pPr>
            <w:r>
              <w:rPr>
                <w:rFonts w:ascii="Arial" w:cs="Arial" w:eastAsia="Arial" w:hAnsi="Arial"/>
                <w:sz w:val="18"/>
                <w:szCs w:val="18"/>
                <w:color w:val="auto"/>
              </w:rPr>
              <w:t>35 th Percentile</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4"/>
          </w:tcPr>
          <w:p>
            <w:pPr>
              <w:ind w:left="740"/>
              <w:spacing w:after="0"/>
              <w:rPr>
                <w:sz w:val="20"/>
                <w:szCs w:val="20"/>
                <w:color w:val="auto"/>
              </w:rPr>
            </w:pPr>
            <w:r>
              <w:rPr>
                <w:rFonts w:ascii="Arial" w:cs="Arial" w:eastAsia="Arial" w:hAnsi="Arial"/>
                <w:sz w:val="18"/>
                <w:szCs w:val="18"/>
                <w:color w:val="auto"/>
              </w:rPr>
              <w:t>50 th Percentile</w:t>
            </w:r>
          </w:p>
        </w:tc>
        <w:tc>
          <w:tcPr>
            <w:tcW w:w="2480" w:type="dxa"/>
            <w:vAlign w:val="bottom"/>
          </w:tcPr>
          <w:p>
            <w:pPr>
              <w:jc w:val="right"/>
              <w:spacing w:after="0"/>
              <w:rPr>
                <w:sz w:val="20"/>
                <w:szCs w:val="20"/>
                <w:color w:val="auto"/>
              </w:rPr>
            </w:pPr>
            <w:r>
              <w:rPr>
                <w:rFonts w:ascii="Arial" w:cs="Arial" w:eastAsia="Arial" w:hAnsi="Arial"/>
                <w:sz w:val="18"/>
                <w:szCs w:val="18"/>
                <w:color w:val="auto"/>
              </w:rPr>
              <w:t>75 th Percentile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2019 grants</w:t>
            </w:r>
          </w:p>
        </w:tc>
        <w:tc>
          <w:tcPr>
            <w:tcW w:w="124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35 th Percentile</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4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50 th Percentile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th Percentile</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1240" w:type="dxa"/>
            <w:vAlign w:val="bottom"/>
          </w:tcPr>
          <w:p>
            <w:pPr>
              <w:spacing w:after="0"/>
              <w:rPr>
                <w:sz w:val="24"/>
                <w:szCs w:val="24"/>
                <w:color w:val="auto"/>
              </w:rPr>
            </w:pPr>
          </w:p>
        </w:tc>
        <w:tc>
          <w:tcPr>
            <w:tcW w:w="2060" w:type="dxa"/>
            <w:vAlign w:val="bottom"/>
            <w:gridSpan w:val="3"/>
          </w:tcPr>
          <w:p>
            <w:pPr>
              <w:ind w:left="520"/>
              <w:spacing w:after="0"/>
              <w:rPr>
                <w:sz w:val="20"/>
                <w:szCs w:val="20"/>
                <w:color w:val="auto"/>
              </w:rPr>
            </w:pPr>
            <w:r>
              <w:rPr>
                <w:rFonts w:ascii="Arial" w:cs="Arial" w:eastAsia="Arial" w:hAnsi="Arial"/>
                <w:sz w:val="14"/>
                <w:szCs w:val="14"/>
                <w:b w:val="1"/>
                <w:bCs w:val="1"/>
                <w:color w:val="auto"/>
                <w:w w:val="96"/>
              </w:rPr>
              <w:t>Threshold Performance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480" w:type="dxa"/>
            <w:vAlign w:val="bottom"/>
          </w:tcPr>
          <w:p>
            <w:pPr>
              <w:jc w:val="right"/>
              <w:ind w:right="41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3"/>
              </w:rPr>
              <w:t>(35% or 50% of Shares)</w:t>
            </w:r>
            <w:r>
              <w:rPr>
                <w:rFonts w:ascii="Arial" w:cs="Arial" w:eastAsia="Arial" w:hAnsi="Arial"/>
                <w:sz w:val="17"/>
                <w:szCs w:val="17"/>
                <w:b w:val="1"/>
                <w:bCs w:val="1"/>
                <w:color w:val="auto"/>
                <w:w w:val="93"/>
                <w:vertAlign w:val="superscript"/>
              </w:rPr>
              <w:t>(1)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(100% of Shares)</w:t>
            </w:r>
          </w:p>
        </w:tc>
        <w:tc>
          <w:tcPr>
            <w:tcW w:w="2480" w:type="dxa"/>
            <w:vAlign w:val="bottom"/>
          </w:tcPr>
          <w:p>
            <w:pPr>
              <w:jc w:val="right"/>
              <w:ind w:right="617"/>
              <w:spacing w:after="0" w:line="149"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2021 grants</w:t>
            </w:r>
          </w:p>
        </w:tc>
        <w:tc>
          <w:tcPr>
            <w:tcW w:w="1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6.3 %</w:t>
            </w:r>
          </w:p>
        </w:tc>
        <w:tc>
          <w:tcPr>
            <w:tcW w:w="1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2020 grants (2)</w:t>
            </w: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6"/>
              </w:rPr>
              <w:t>6.7 %</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2019 grants</w:t>
            </w:r>
          </w:p>
        </w:tc>
        <w:tc>
          <w:tcPr>
            <w:tcW w:w="1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4.7 %</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80" w:right="80" w:hanging="324"/>
        <w:spacing w:after="0" w:line="277" w:lineRule="auto"/>
        <w:tabs>
          <w:tab w:leader="none" w:pos="9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Threshold performance for the 2021 grants and 2020 grants will earn 50% of the target number of PSUs. Threshold performance for the 2019 grants is 35% of the target number of PSUs.</w:t>
      </w:r>
    </w:p>
    <w:p>
      <w:pPr>
        <w:spacing w:after="0" w:line="8" w:lineRule="exact"/>
        <w:rPr>
          <w:rFonts w:ascii="Arial" w:cs="Arial" w:eastAsia="Arial" w:hAnsi="Arial"/>
          <w:sz w:val="18"/>
          <w:szCs w:val="18"/>
          <w:color w:val="auto"/>
        </w:rPr>
      </w:pPr>
    </w:p>
    <w:p>
      <w:pPr>
        <w:jc w:val="both"/>
        <w:ind w:left="980" w:right="80" w:hanging="324"/>
        <w:spacing w:after="0" w:line="287" w:lineRule="auto"/>
        <w:tabs>
          <w:tab w:leader="none" w:pos="97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performance levels for 2020 grants were modified by the compensation committee of the board of directors in the first quarter of 2021 to adjust for the sale of the Life Sciences business and the ongoing effects of the COVID-19 pandemic. Threshold Performance was changed to 6.7% to earn 50% of Shares, Target Performance was changed to 7.9% to earn 100% of Shares, and Maximum Performance was changed to</w:t>
      </w:r>
    </w:p>
    <w:p>
      <w:pPr>
        <w:spacing w:after="0" w:line="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8.7% to earn 150% of Shares.</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We estimate the grant-date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grant-date fair value of ROIC Awards is based on the closing price of a share of our common stock on the date of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grant-date fair value of each award in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TSR Awards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ROIC Awards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jc w:val="center"/>
              <w:ind w:right="319"/>
              <w:spacing w:after="0" w:line="135" w:lineRule="exact"/>
              <w:rPr>
                <w:sz w:val="20"/>
                <w:szCs w:val="20"/>
                <w:color w:val="auto"/>
              </w:rPr>
            </w:pPr>
            <w:r>
              <w:rPr>
                <w:rFonts w:ascii="Arial" w:cs="Arial" w:eastAsia="Arial" w:hAnsi="Arial"/>
                <w:sz w:val="14"/>
                <w:szCs w:val="14"/>
                <w:b w:val="1"/>
                <w:bCs w:val="1"/>
                <w:color w:val="auto"/>
                <w:w w:val="96"/>
              </w:rPr>
              <w:t>Grant-Date</w:t>
            </w:r>
          </w:p>
        </w:tc>
        <w:tc>
          <w:tcPr>
            <w:tcW w:w="120" w:type="dxa"/>
            <w:vAlign w:val="bottom"/>
          </w:tcPr>
          <w:p>
            <w:pPr>
              <w:spacing w:after="0"/>
              <w:rPr>
                <w:sz w:val="11"/>
                <w:szCs w:val="11"/>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1"/>
                <w:szCs w:val="11"/>
                <w:color w:val="auto"/>
              </w:rPr>
            </w:pPr>
          </w:p>
        </w:tc>
        <w:tc>
          <w:tcPr>
            <w:tcW w:w="1200" w:type="dxa"/>
            <w:vAlign w:val="bottom"/>
          </w:tcPr>
          <w:p>
            <w:pPr>
              <w:jc w:val="center"/>
              <w:ind w:right="339"/>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Award Year</w:t>
            </w:r>
          </w:p>
        </w:tc>
        <w:tc>
          <w:tcPr>
            <w:tcW w:w="12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7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jc w:val="center"/>
              <w:ind w:right="339"/>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8"/>
        </w:trPr>
        <w:tc>
          <w:tcPr>
            <w:tcW w:w="4320" w:type="dxa"/>
            <w:vAlign w:val="bottom"/>
            <w:gridSpan w:val="2"/>
            <w:vMerge w:val="continue"/>
          </w:tcPr>
          <w:p>
            <w:pPr>
              <w:spacing w:after="0"/>
              <w:rPr>
                <w:sz w:val="16"/>
                <w:szCs w:val="16"/>
                <w:color w:val="auto"/>
              </w:rPr>
            </w:pPr>
          </w:p>
        </w:tc>
        <w:tc>
          <w:tcPr>
            <w:tcW w:w="126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6"/>
                <w:szCs w:val="16"/>
                <w:color w:val="auto"/>
              </w:rPr>
            </w:pPr>
          </w:p>
        </w:tc>
        <w:tc>
          <w:tcPr>
            <w:tcW w:w="1200" w:type="dxa"/>
            <w:vAlign w:val="bottom"/>
          </w:tcPr>
          <w:p>
            <w:pPr>
              <w:jc w:val="center"/>
              <w:ind w:right="33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December 31, 2021, and changes during the year then ended.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500" w:type="dxa"/>
            <w:vAlign w:val="bottom"/>
            <w:gridSpan w:val="6"/>
          </w:tcPr>
          <w:p>
            <w:pPr>
              <w:ind w:left="960"/>
              <w:spacing w:after="0"/>
              <w:rPr>
                <w:sz w:val="20"/>
                <w:szCs w:val="20"/>
                <w:color w:val="auto"/>
              </w:rPr>
            </w:pPr>
            <w:r>
              <w:rPr>
                <w:rFonts w:ascii="Arial" w:cs="Arial" w:eastAsia="Arial" w:hAnsi="Arial"/>
                <w:sz w:val="14"/>
                <w:szCs w:val="14"/>
                <w:b w:val="1"/>
                <w:bCs w:val="1"/>
                <w:color w:val="auto"/>
              </w:rPr>
              <w:t>Nonvested TSR Awards</w:t>
            </w:r>
          </w:p>
        </w:tc>
        <w:tc>
          <w:tcPr>
            <w:tcW w:w="3360" w:type="dxa"/>
            <w:vAlign w:val="bottom"/>
            <w:gridSpan w:val="4"/>
          </w:tcPr>
          <w:p>
            <w:pPr>
              <w:ind w:left="90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tcBorders>
              <w:top w:val="single" w:sz="8" w:color="auto"/>
            </w:tcBorders>
            <w:vMerge w:val="restart"/>
          </w:tcPr>
          <w:p>
            <w:pPr>
              <w:jc w:val="center"/>
              <w:ind w:left="268"/>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9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98"/>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28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6"/>
              </w:rPr>
              <w:t>Grant-Date</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2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60" w:type="dxa"/>
            <w:vAlign w:val="bottom"/>
          </w:tcPr>
          <w:p>
            <w:pPr>
              <w:ind w:left="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1620" w:type="dxa"/>
            <w:vAlign w:val="bottom"/>
          </w:tcPr>
          <w:p>
            <w:pPr>
              <w:ind w:left="128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3"/>
              </w:rPr>
              <w:t>(71)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Expired</w:t>
            </w:r>
          </w:p>
        </w:tc>
        <w:tc>
          <w:tcPr>
            <w:tcW w:w="360" w:type="dxa"/>
            <w:vAlign w:val="bottom"/>
          </w:tcPr>
          <w:p>
            <w:pPr>
              <w:ind w:left="40"/>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9"/>
                <w:szCs w:val="19"/>
                <w:color w:val="auto"/>
              </w:rPr>
            </w:pPr>
          </w:p>
        </w:tc>
        <w:tc>
          <w:tcPr>
            <w:tcW w:w="1620" w:type="dxa"/>
            <w:vAlign w:val="bottom"/>
          </w:tcPr>
          <w:p>
            <w:pPr>
              <w:ind w:left="1300"/>
              <w:spacing w:after="0"/>
              <w:rPr>
                <w:sz w:val="20"/>
                <w:szCs w:val="20"/>
                <w:color w:val="auto"/>
              </w:rPr>
            </w:pPr>
            <w:r>
              <w:rPr>
                <w:rFonts w:ascii="Arial" w:cs="Arial" w:eastAsia="Arial" w:hAnsi="Arial"/>
                <w:sz w:val="18"/>
                <w:szCs w:val="18"/>
                <w:color w:val="auto"/>
                <w:w w:val="93"/>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194</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228</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None of the PSUs that were granted in 2017, 2018, and 2019 vested in 2019, 2020, and 2021, respectively, because the actual performance achieved was below the “Threshold Performance” level as defined by the grant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Vesting Estimates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year ended December 31, 2021, we recognized a decrease in share-based compensation expense of $0.6 million in the “Selling, general, and administrative expense” line in the Consolidated Statements of Operations and Comprehensive Income (Loss) to reverse cumulative expense for restricted stock and PSU awards that were forfeited upon termination of employment in excess of our estimated forfeiture rate and for ROIC Awards that were granted in 2020 and are now expected to achieve threshold performance rather than the target performance level.</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year ended December 31, 2020, we recognized a decrease in share-based compensation expense in continuing operations of $0.3 million in the “Selling, general, and administrative expense” line of the Consolidated Statements of Operations and Comprehensive Income (Loss) to reverse cumulative expense for option, restricted stock, and PSU awards that were forfeited upon termination of employment and for ROIC Awards that were granted in 2019 and are not expected to achieve Threshold Performance. In 2020 we also recognized a decrease in share-based compensation expense of $0.5 million in the “Income (loss) from discontinued operations, net of tax” line in the Consolidated Statements of Operations and Comprehensive Income (Loss) to reverse cumulative expense for option, restricted stock, and PSU awards that were forfeited upon termination of employees related to the Life Sciences business.</w:t>
      </w:r>
    </w:p>
    <w:p>
      <w:pPr>
        <w:spacing w:after="0" w:line="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the year ended December 31, 2019, we recognized a decrease in share-based compensation expense in continuing operations of $1.1 million in the “Selling, general, and administrative expense” line in the Consolidated Statements of Operations and Comprehensive Income (Loss) to reverse cumulative expense for option, restricted stock, and PSU awards that were forfeited upon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(“AOCI”)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Amounts reclassified from AOCI to loss on interest rate swap (3)</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discontinued operations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Amounts reclassified from AOCI to loss on interest rate swap (3)</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(31,902)</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interest rate swap settlements of effective hedge.</w:t>
      </w:r>
    </w:p>
    <w:p>
      <w:pPr>
        <w:spacing w:after="0" w:line="117" w:lineRule="exact"/>
        <w:rPr>
          <w:rFonts w:ascii="Arial" w:cs="Arial" w:eastAsia="Arial" w:hAnsi="Arial"/>
          <w:sz w:val="18"/>
          <w:szCs w:val="18"/>
          <w:color w:val="auto"/>
        </w:rPr>
      </w:pPr>
    </w:p>
    <w:p>
      <w:pPr>
        <w:ind w:left="660" w:right="160" w:hanging="247"/>
        <w:spacing w:after="0" w:line="277" w:lineRule="auto"/>
        <w:tabs>
          <w:tab w:leader="none" w:pos="6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reclassification of derivative loss and settlements after discontinuation of hedge accounting. See Note 19 for further discussion of the interest rate swap.</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Income (Loss) Per Common Share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 company that has participating securities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common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2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(139,490)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(30,749)</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Preferred stock cumulative dividends and deemed dividends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3"/>
        </w:trPr>
        <w:tc>
          <w:tcPr>
            <w:tcW w:w="7420" w:type="dxa"/>
            <w:vAlign w:val="bottom"/>
          </w:tcPr>
          <w:p>
            <w:pPr>
              <w:ind w:left="240"/>
              <w:spacing w:after="0"/>
              <w:rPr>
                <w:sz w:val="20"/>
                <w:szCs w:val="20"/>
                <w:color w:val="auto"/>
              </w:rPr>
            </w:pPr>
            <w:r>
              <w:rPr>
                <w:rFonts w:ascii="Arial" w:cs="Arial" w:eastAsia="Arial" w:hAnsi="Arial"/>
                <w:sz w:val="18"/>
                <w:szCs w:val="18"/>
                <w:color w:val="auto"/>
              </w:rPr>
              <w:t>Numerator for basic and diluted loss from continuing operations per common share (1)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(31,391)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 (Note 2)</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23"/>
        </w:trPr>
        <w:tc>
          <w:tcPr>
            <w:tcW w:w="7420" w:type="dxa"/>
            <w:vAlign w:val="bottom"/>
          </w:tcPr>
          <w:p>
            <w:pPr>
              <w:ind w:left="220"/>
              <w:spacing w:after="0"/>
              <w:rPr>
                <w:sz w:val="20"/>
                <w:szCs w:val="20"/>
                <w:color w:val="auto"/>
              </w:rPr>
            </w:pPr>
            <w:r>
              <w:rPr>
                <w:rFonts w:ascii="Arial" w:cs="Arial" w:eastAsia="Arial" w:hAnsi="Arial"/>
                <w:sz w:val="18"/>
                <w:szCs w:val="18"/>
                <w:color w:val="auto"/>
              </w:rPr>
              <w:t>Numerator for basic and diluted undistributed net loss per common share (1)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(47,383)</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w:t>
            </w:r>
          </w:p>
        </w:tc>
        <w:tc>
          <w:tcPr>
            <w:tcW w:w="0" w:type="dxa"/>
            <w:vAlign w:val="bottom"/>
          </w:tcPr>
          <w:p>
            <w:pPr>
              <w:spacing w:after="0"/>
              <w:rPr>
                <w:sz w:val="1"/>
                <w:szCs w:val="1"/>
                <w:color w:val="auto"/>
              </w:rPr>
            </w:pPr>
          </w:p>
        </w:tc>
      </w:tr>
      <w:tr>
        <w:trPr>
          <w:trHeight w:val="229"/>
        </w:trPr>
        <w:tc>
          <w:tcPr>
            <w:tcW w:w="7420" w:type="dxa"/>
            <w:vAlign w:val="bottom"/>
          </w:tcPr>
          <w:p>
            <w:pPr>
              <w:ind w:left="440"/>
              <w:spacing w:after="0"/>
              <w:rPr>
                <w:sz w:val="20"/>
                <w:szCs w:val="20"/>
                <w:color w:val="auto"/>
              </w:rPr>
            </w:pPr>
            <w:r>
              <w:rPr>
                <w:rFonts w:ascii="Arial" w:cs="Arial" w:eastAsia="Arial" w:hAnsi="Arial"/>
                <w:sz w:val="18"/>
                <w:szCs w:val="18"/>
                <w:color w:val="auto"/>
              </w:rPr>
              <w:t>Adjustment for unvested restricted common stock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2021 Warrants outstanding (2)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20" w:type="dxa"/>
            <w:vAlign w:val="bottom"/>
          </w:tcPr>
          <w:p>
            <w:pPr>
              <w:ind w:left="220"/>
              <w:spacing w:after="0"/>
              <w:rPr>
                <w:sz w:val="20"/>
                <w:szCs w:val="20"/>
                <w:color w:val="auto"/>
              </w:rPr>
            </w:pPr>
            <w:r>
              <w:rPr>
                <w:rFonts w:ascii="Arial" w:cs="Arial" w:eastAsia="Arial" w:hAnsi="Arial"/>
                <w:sz w:val="18"/>
                <w:szCs w:val="18"/>
                <w:color w:val="auto"/>
              </w:rPr>
              <w:t>Shares used to calculate income (loss) per share, basic and diluted</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44,011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42,030</w:t>
            </w:r>
          </w:p>
        </w:tc>
        <w:tc>
          <w:tcPr>
            <w:tcW w:w="0" w:type="dxa"/>
            <w:vAlign w:val="bottom"/>
          </w:tcPr>
          <w:p>
            <w:pPr>
              <w:spacing w:after="0"/>
              <w:rPr>
                <w:sz w:val="1"/>
                <w:szCs w:val="1"/>
                <w:color w:val="auto"/>
              </w:rPr>
            </w:pPr>
          </w:p>
        </w:tc>
      </w:tr>
      <w:tr>
        <w:trPr>
          <w:trHeight w:val="270"/>
        </w:trPr>
        <w:tc>
          <w:tcPr>
            <w:tcW w:w="7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Per common share net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loss from continuing operations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 income (loss) from discontinued operations per common share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net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loss from continuing operations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(3.60)</w:t>
            </w:r>
          </w:p>
        </w:tc>
        <w:tc>
          <w:tcPr>
            <w:tcW w:w="10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income (loss) from discontinued operations per common share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7420" w:type="dxa"/>
            <w:vAlign w:val="bottom"/>
          </w:tcPr>
          <w:p>
            <w:pPr>
              <w:ind w:left="220"/>
              <w:spacing w:after="0"/>
              <w:rPr>
                <w:sz w:val="20"/>
                <w:szCs w:val="20"/>
                <w:color w:val="auto"/>
              </w:rPr>
            </w:pPr>
            <w:r>
              <w:rPr>
                <w:rFonts w:ascii="Arial" w:cs="Arial" w:eastAsia="Arial" w:hAnsi="Arial"/>
                <w:sz w:val="18"/>
                <w:szCs w:val="18"/>
                <w:color w:val="auto"/>
              </w:rPr>
              <w:t>Diluted net loss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Preferred Stock does not participate in losses.</w:t>
      </w:r>
    </w:p>
    <w:p>
      <w:pPr>
        <w:spacing w:after="0" w:line="63" w:lineRule="exact"/>
        <w:rPr>
          <w:rFonts w:ascii="Arial" w:cs="Arial" w:eastAsia="Arial" w:hAnsi="Arial"/>
          <w:sz w:val="18"/>
          <w:szCs w:val="18"/>
          <w:color w:val="auto"/>
        </w:rPr>
      </w:pPr>
    </w:p>
    <w:p>
      <w:pPr>
        <w:ind w:left="900" w:right="280" w:hanging="244"/>
        <w:spacing w:after="0" w:line="277" w:lineRule="auto"/>
        <w:tabs>
          <w:tab w:leader="none" w:pos="9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Weighted average 2021 Warrants outstanding are included in shares outstanding for calculation of basic earnings per share because they are exercisable at an exercise price of $0.01 per share, subject to certain adjustments (see Note 19).</w:t>
      </w:r>
    </w:p>
    <w:p>
      <w:pPr>
        <w:spacing w:after="0" w:line="170"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following table presents potentially dilutive securities that were excluded from the calculation of diluted net income (loss) per common share because they had an anti-dilutive effect.</w:t>
      </w: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Years Ended December 31,</w:t>
            </w:r>
          </w:p>
        </w:tc>
        <w:tc>
          <w:tcPr>
            <w:tcW w:w="1640" w:type="dxa"/>
            <w:vAlign w:val="bottom"/>
            <w:tcBorders>
              <w:bottom w:val="single" w:sz="8" w:color="auto"/>
            </w:tcBorders>
          </w:tcPr>
          <w:p>
            <w:pPr>
              <w:spacing w:after="0"/>
              <w:rPr>
                <w:sz w:val="16"/>
                <w:szCs w:val="16"/>
                <w:color w:val="auto"/>
              </w:rPr>
            </w:pPr>
          </w:p>
        </w:tc>
      </w:tr>
      <w:tr>
        <w:trPr>
          <w:trHeight w:val="187"/>
        </w:trPr>
        <w:tc>
          <w:tcPr>
            <w:tcW w:w="60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2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2019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 as-converted</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w:t>
            </w:r>
          </w:p>
        </w:tc>
      </w:tr>
      <w:tr>
        <w:trPr>
          <w:trHeight w:val="223"/>
        </w:trPr>
        <w:tc>
          <w:tcPr>
            <w:tcW w:w="60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21,392</w:t>
            </w:r>
          </w:p>
        </w:tc>
        <w:tc>
          <w:tcPr>
            <w:tcW w:w="1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15,053</w:t>
            </w:r>
          </w:p>
        </w:tc>
      </w:tr>
      <w:tr>
        <w:trPr>
          <w:trHeight w:val="20"/>
        </w:trPr>
        <w:tc>
          <w:tcPr>
            <w:tcW w:w="60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elected to allocate undistributed income to participating securities based on year-to-date results. As there was no undistributed income for the years ended December 31, 2021, 2020, and 2019, no such allocation was necessary. In addition, given the undistributed loss from continuing operations in the years ended December 31, 2021, 2020, and 2019, all options and the 2019 Warrants are considered anti-dilutive and were excluded from the calculation of diluted net income (loss) per share. Stock options excluded from the calculations of diluted net income (loss) per share had a per share exercise price ranging from $7.93 to $25.16 for the year ended December 31, 2021 and 2020, and $8.54 to $25.16 for the year ended December 31, 2019. The 2019 Warrants excluded from the calculation of diluted net income (loss) per share for the year ended December 31, 2021 had a per share exercise price of $11.49, and for the years ended December 31, 2020 and 2019, had a per share exercise price of $12.00. Series B Preferred Stock excluded from the calculation of diluted net income (loss) per share for the years ended December 31, 2020 and 2019, was calculated on an as-converted basis.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financial instruments that are subject to fair value disclosure consist of cash and cash equivalents, accounts receivable, accounts payable, derivatives, and long-term debt. As of December 31, 2021, the carrying values of these financial instruments approximated fair value.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Certain features were bifurcated and accounted for separately from the Series B Preferred Stock. The following features were recorded as derivatives.</w:t>
      </w:r>
    </w:p>
    <w:p>
      <w:pPr>
        <w:spacing w:after="0" w:line="140" w:lineRule="exact"/>
        <w:rPr>
          <w:sz w:val="20"/>
          <w:szCs w:val="20"/>
          <w:color w:val="auto"/>
        </w:rPr>
      </w:pPr>
    </w:p>
    <w:p>
      <w:pPr>
        <w:ind w:left="660" w:right="160" w:hanging="328"/>
        <w:spacing w:after="0" w:line="301" w:lineRule="auto"/>
        <w:tabs>
          <w:tab w:leader="none" w:pos="655"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Series B Preferred Stock included a redemption option based on a leverage ratio threshold that provided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holder the option to convert the Series B Preferred Stock to a variable number of shares of common stock at a discount to the then fair value of our common stock. The conversion feature was considered a redemption right at a premium which was not clearly and closely related to the debt host. The conversion feature was terminated upon redemption of the Series B Preferred Stock in March 2021.</w:t>
      </w:r>
    </w:p>
    <w:p>
      <w:pPr>
        <w:spacing w:after="0" w:line="49" w:lineRule="exact"/>
        <w:rPr>
          <w:rFonts w:ascii="Arial" w:cs="Arial" w:eastAsia="Arial" w:hAnsi="Arial"/>
          <w:sz w:val="16"/>
          <w:szCs w:val="16"/>
          <w:i w:val="1"/>
          <w:iCs w:val="1"/>
          <w:color w:val="auto"/>
        </w:rPr>
      </w:pPr>
    </w:p>
    <w:p>
      <w:pPr>
        <w:ind w:left="660" w:right="60" w:hanging="328"/>
        <w:spacing w:after="0" w:line="275"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Dividends withholding. </w:t>
      </w:r>
      <w:r>
        <w:rPr>
          <w:rFonts w:ascii="Arial" w:cs="Arial" w:eastAsia="Arial" w:hAnsi="Arial"/>
          <w:sz w:val="17"/>
          <w:szCs w:val="17"/>
          <w:color w:val="auto"/>
        </w:rPr>
        <w:t>The Series B Preferred Stock bore a feature that could require us to make an effective distribution to purchasers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indexed to the tax rate of the purchasers. This distribution would be partially offset by an adjustment to the redemption price and/or conversion rate. The dividends withholding feature was not clearly and closely related to the debt host. Upon redemption of the Series B Preferred Stock in March 2021, we made a net cash distribution of $3.0 million to settle this withholding feature after effectively receiving a $1.0 million offset from the purchasers upon redemption of the Series B Preferred Stock.</w:t>
      </w:r>
    </w:p>
    <w:p>
      <w:pPr>
        <w:spacing w:after="0" w:line="68"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conjunction with our placement of the Series B Preferred Stock, we issued detachable warrants to purchase up to 1.5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(the “2019 Warrants”), which are exercisable, in full or in part, at any time prior to December 11, 2026. The original exercise price was $12.00 per share, subject to anti-dilution adjustments in the event of future below market issuances, stock splits, stock dividends, combinations or similar events. The issuance of the 2021 Warrants resulted in an adjusted exercise price of $11.49 per share for the 2019 Warrants because the new warrants have an exercise price below market value.</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features were bifurcated and accounted for separately from the Series D Preferred Stock that was issued on March 22, 2021. The following features were recorded as derivatives.</w:t>
      </w:r>
    </w:p>
    <w:p>
      <w:pPr>
        <w:spacing w:after="0" w:line="62" w:lineRule="exact"/>
        <w:rPr>
          <w:sz w:val="20"/>
          <w:szCs w:val="20"/>
          <w:color w:val="auto"/>
        </w:rPr>
      </w:pPr>
    </w:p>
    <w:p>
      <w:pPr>
        <w:ind w:left="660" w:right="200" w:hanging="328"/>
        <w:spacing w:after="0" w:line="311"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put feature. </w:t>
      </w:r>
      <w:r>
        <w:rPr>
          <w:rFonts w:ascii="Arial" w:cs="Arial" w:eastAsia="Arial" w:hAnsi="Arial"/>
          <w:sz w:val="16"/>
          <w:szCs w:val="16"/>
          <w:color w:val="auto"/>
        </w:rPr>
        <w:t>The Series D Preferred Stock includes a put feature that allows the holder to redeem the Series 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40" w:lineRule="exact"/>
        <w:rPr>
          <w:rFonts w:ascii="Arial" w:cs="Arial" w:eastAsia="Arial" w:hAnsi="Arial"/>
          <w:sz w:val="16"/>
          <w:szCs w:val="16"/>
          <w:color w:val="auto"/>
        </w:rPr>
      </w:pPr>
    </w:p>
    <w:p>
      <w:pPr>
        <w:ind w:left="660" w:right="18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conjunction with our placement of the Series D Preferred Stock, we issued detachable warrants to purchase up to 1.9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liabilities measured at fair value for the above derivatives above as of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2021</w:t>
            </w: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45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Assets (Level 1)</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9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7,771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864"/>
        </w:trPr>
        <w:tc>
          <w:tcPr>
            <w:tcW w:w="4520" w:type="dxa"/>
            <w:vAlign w:val="bottom"/>
          </w:tcPr>
          <w:p>
            <w:pPr>
              <w:spacing w:after="0"/>
              <w:rPr>
                <w:sz w:val="24"/>
                <w:szCs w:val="24"/>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71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62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6"/>
        </w:trPr>
        <w:tc>
          <w:tcPr>
            <w:tcW w:w="6420" w:type="dxa"/>
            <w:vAlign w:val="bottom"/>
            <w:vMerge w:val="continue"/>
          </w:tcPr>
          <w:p>
            <w:pPr>
              <w:spacing w:after="0"/>
              <w:rPr>
                <w:sz w:val="16"/>
                <w:szCs w:val="16"/>
                <w:color w:val="auto"/>
              </w:rPr>
            </w:pPr>
          </w:p>
        </w:tc>
        <w:tc>
          <w:tcPr>
            <w:tcW w:w="16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Assets (Level 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7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9540" w:type="dxa"/>
            <w:vAlign w:val="bottom"/>
            <w:gridSpan w:val="7"/>
          </w:tcPr>
          <w:p>
            <w:pPr>
              <w:spacing w:after="0"/>
              <w:rPr>
                <w:sz w:val="20"/>
                <w:szCs w:val="20"/>
                <w:color w:val="auto"/>
              </w:rPr>
            </w:pPr>
            <w:r>
              <w:rPr>
                <w:rFonts w:ascii="Arial" w:cs="Arial" w:eastAsia="Arial" w:hAnsi="Arial"/>
                <w:sz w:val="18"/>
                <w:szCs w:val="18"/>
                <w:color w:val="auto"/>
                <w:w w:val="92"/>
              </w:rPr>
              <w:t>The following table presents the change in the Preferred Stock derivatives during the years ended December 31, 2021 and 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6"/>
        </w:trPr>
        <w:tc>
          <w:tcPr>
            <w:tcW w:w="6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52"/>
              <w:spacing w:after="0"/>
              <w:rPr>
                <w:sz w:val="20"/>
                <w:szCs w:val="20"/>
                <w:color w:val="auto"/>
              </w:rPr>
            </w:pPr>
            <w:r>
              <w:rPr>
                <w:rFonts w:ascii="Arial" w:cs="Arial" w:eastAsia="Arial" w:hAnsi="Arial"/>
                <w:sz w:val="14"/>
                <w:szCs w:val="14"/>
                <w:b w:val="1"/>
                <w:bCs w:val="1"/>
                <w:color w:val="auto"/>
              </w:rPr>
              <w:t>Years Ended December 31,</w:t>
            </w:r>
          </w:p>
        </w:tc>
      </w:tr>
      <w:tr>
        <w:trPr>
          <w:trHeight w:val="187"/>
        </w:trPr>
        <w:tc>
          <w:tcPr>
            <w:tcW w:w="64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7"/>
              </w:rPr>
              <w:t>3,117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15,121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4"/>
          </w:tcPr>
          <w:p>
            <w:pPr>
              <w:ind w:left="540"/>
              <w:spacing w:after="0"/>
              <w:rPr>
                <w:sz w:val="20"/>
                <w:szCs w:val="20"/>
                <w:color w:val="auto"/>
              </w:rPr>
            </w:pPr>
            <w:r>
              <w:rPr>
                <w:rFonts w:ascii="Arial" w:cs="Arial" w:eastAsia="Arial" w:hAnsi="Arial"/>
                <w:sz w:val="18"/>
                <w:szCs w:val="18"/>
                <w:color w:val="auto"/>
                <w:w w:val="97"/>
              </w:rPr>
              <w:t>8,224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r>
      <w:tr>
        <w:trPr>
          <w:trHeight w:val="21"/>
        </w:trPr>
        <w:tc>
          <w:tcPr>
            <w:tcW w:w="6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right="1140" w:hanging="248"/>
        <w:spacing w:after="0" w:line="277"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fair value are recognized in the “Other expense (income), net” line in the Consolidated Statements of Operations and Comprehensive Income (Loss).</w:t>
      </w:r>
    </w:p>
    <w:p>
      <w:pPr>
        <w:spacing w:after="0" w:line="62" w:lineRule="exact"/>
        <w:rPr>
          <w:rFonts w:ascii="Arial" w:cs="Arial" w:eastAsia="Arial" w:hAnsi="Arial"/>
          <w:sz w:val="18"/>
          <w:szCs w:val="18"/>
          <w:color w:val="auto"/>
        </w:rPr>
      </w:pPr>
    </w:p>
    <w:p>
      <w:pPr>
        <w:ind w:left="580" w:right="120" w:hanging="248"/>
        <w:spacing w:after="0" w:line="342" w:lineRule="auto"/>
        <w:tabs>
          <w:tab w:leader="none" w:pos="5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2020, we determined that certain anti-dilution provisions of the Warrants require liability accounting; therefore, we reclassified the $1.1 million value of the Warrants recorded in Stockholders’ Equity as of December 31, 2019, to a liability during the year ended December 31, 2020.</w:t>
      </w:r>
    </w:p>
    <w:p>
      <w:pPr>
        <w:spacing w:after="0" w:line="17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fair value of the change-in-control put feature utilizes unobservable inputs based on the Company’s assessment of the probability of a change-in-control event occurring in a future period. The probability of a change-in-control event ranged from 1% to 10% as of December 31, 2021.</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leverage ratio put feature and the dividends withholding feature utilized unobservable inputs based on the best information available to determine the probability of the Series B Preferred Stock remaining outstanding for future periods. These inputs included probability assessments of how long the Series B Preferred Stock would remain outstanding and whether the leverage ratio threshold would be exceeded. Inputs also included the percentage of Series B Preferred Stock held by non-U.S. resident holders and the applicable tax withholding rates for those holders. The probability of the Series B Preferred Stock remaining in future periods ranged from 3% to 2% as of December 31, 2020. The leverage ratio put feature also utilized unobservable inputs to determine the probability of the leverage ratio put being exercisable as of March 31, 2023, which ranged from 10% to 1% as of December 31, 2020. These probabilities were determined based on management’s assessment of facts and circumstances at each reporting date. An increase in these probabilities would have resulted in an increase in the derivative liability fair value. Given the Series B Preferred Stock value changed by period as a result of dividends and redemption premiums, weighted average values for these assumptions are not meaningful.</w:t>
      </w:r>
    </w:p>
    <w:p>
      <w:pPr>
        <w:spacing w:after="0" w:line="5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3.6 years as of December 31, 2021, and 2.4 years as of December 31, 2020.</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the 2021 Warrants is determined using the observable market price of a share of our common stock, less the $0.01 per share exercise price.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manage our exposure to fluctuations in interest rates using a mix of fixed and variable rate debt. We utilize fixed-rate interest rate swap agreements to change the variable interest rate to a fixed rate on a portion of our variable rate debt.</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Amounts recognized in earnings related to the 2019 Swap are recorded in the “Loss on interest rate swap” line on the Consolidated Statements of Operations and Comprehensive Income (Loss) except that cash settlements prior to termination are recognized in “Derivative payments on interest rate swap.” Cash settlements during 2021 and the fourth quarter of 2020 are presented in investing activities on the Consolidated Statements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effect of the interest rate swaps on the Consolidated Statements of Operations and Comprehensive Income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(1)</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Derivative payments on interest rate swap (2)</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interest rate swap (2)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settlements on the interest rate swaps while the hedges are effective.</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settlements and changes in fair value on the 2019 Swap while the hedge was ineffective.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2021 and 2020, we reported a $0.1 million gain and a $2.9 million loss, respectively, net of tax, in accumulated other comprehensive income related to the interest rate swap.</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the assets and liabilities measured at fair value on a recurring basis for the interest rate swap as of December 31, 2021 and 2020.</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4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 2021</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7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16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7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56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82"/>
              </w:rPr>
              <w:t>Assets</w:t>
            </w:r>
          </w:p>
        </w:tc>
        <w:tc>
          <w:tcPr>
            <w:tcW w:w="1560" w:type="dxa"/>
            <w:vAlign w:val="bottom"/>
          </w:tcPr>
          <w:p>
            <w:pPr>
              <w:ind w:left="180"/>
              <w:spacing w:after="0" w:line="135" w:lineRule="exact"/>
              <w:rPr>
                <w:sz w:val="20"/>
                <w:szCs w:val="20"/>
                <w:color w:val="auto"/>
              </w:rPr>
            </w:pPr>
            <w:r>
              <w:rPr>
                <w:rFonts w:ascii="Arial" w:cs="Arial" w:eastAsia="Arial" w:hAnsi="Arial"/>
                <w:sz w:val="14"/>
                <w:szCs w:val="14"/>
                <w:b w:val="1"/>
                <w:bCs w:val="1"/>
                <w:color w:val="auto"/>
              </w:rPr>
              <w:t>Observable Inputs</w:t>
            </w:r>
          </w:p>
        </w:tc>
        <w:tc>
          <w:tcPr>
            <w:tcW w:w="168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asset - other non-current assets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Derivative liability - other current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11"/>
          </w:tcPr>
          <w:p>
            <w:pPr>
              <w:jc w:val="center"/>
              <w:ind w:right="16"/>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Quoted Prices in Active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Assets (Level 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11 to these Notes to Consolidated Financial Statements approximated carrying value as of December 31, 2021 and 2020, respectively. These fair values represent Level 2 under the three-tier hierarchy described above. The carrying value of this fixed-rate debt was $10.9 million and $14.4 million as of December 31, 2021 and 2020,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Amendment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March 3, 2022, we amended the Term Loan Facility to adjust certain covenants under the agreement. The amendment increases the maximum total leverage ratio for all quarters of 2022 and 2023.</w:t>
      </w:r>
    </w:p>
    <w:p>
      <w:pPr>
        <w:spacing w:after="0" w:line="200" w:lineRule="exact"/>
        <w:rPr>
          <w:sz w:val="20"/>
          <w:szCs w:val="20"/>
          <w:color w:val="auto"/>
        </w:rPr>
      </w:pPr>
    </w:p>
    <w:p>
      <w:pPr>
        <w:spacing w:after="0" w:line="3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Dismissal of Previous Independent Registered Public Accounting Firm</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29, 2020, the Audit Committee of our Board of Directors dismissed PricewaterhouseCoopers LLP (“PwC”) as our independent registered public accounting firm.</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reports of PwC on our consolidated financial statements as of and for the year ended December 31, 2019, did not contain an adverse opinion or a disclaimer of opinion and were not qualified or modified as to uncertainty, audit scope, or accounting principles.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year ended December 31, 2019, and during the interim period through May 29, 2020, there were (i) no disagreements within the meaning of Item 304(a)(1)(iv) of Regulation S-K between the Company and PwC on any matter of accounting principles or practices, financial statement disclosure, or auditing scope or procedure, any of which, if not resolved to PwC’s satisfaction, would have caused PwC to make reference thereto in their reports, and (ii) no “reportable events” within the meaning of Item 304(a)(1)(v) of Regulation S-K, except as noted below.</w:t>
      </w:r>
    </w:p>
    <w:p>
      <w:pPr>
        <w:spacing w:after="0" w:line="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the year ended December 31, 2019, the material weaknesses in the Company’s internal control over financial reporting previously reported in Item 9A of our Annual Report on Form 10-K for the year ended December 31, 2019, filed on March 16, 2020, related to (a) an ineffective control environment due to a lack of a sufficient complement of personnel with an appropriate level of knowledge, experience and training commensurate with our financial reporting requirements and (b) ineffective design and maintenance of monitoring controls over our Paragon Medical business. These material weaknesses contributed to additional material weakness in that we (1) did not design and maintain effective internal controls over the accounting for transactions in the revenue and receivables business process within our Paragon Medical business to determine whether the transactions occurred and were complete and accurate, and (2) did not design and maintain effective controls over certain information technology general controls within our Paragon Medical business for information systems that are relevant to the preparation of our financial statements. Additionally, for the fiscal year ended December 31, 2019, we did not maintain effective control activities at one of our smaller foreign subsidiaries in which certain employees intentionally did not operate the controls related to inventory quantities as designed that resulted in the creation of unsupported physical inventory counts and inventory quantity adjustments.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New Independent Registered Public Accounting Firm</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29, 2020, the Audit Committee approved the engagement of Grant Thornton LLP (“Grant Thornton”) as our independent registered public accounting firm for the year ending December 31, 2020, effective immediately. During the year ended December 31, 2019, and during the interim period through May 29, 2020, neither the Company nor anyone acting on its behalf consulted with Grant Thornton regarding any of the matters described in Items 304(a)(2)(i) and (ii) of Regulation S-K.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evaluated the effectiveness of disclosure controls and procedures (as defined in Rules 13a-15(e) and 15d-15(e) of the Exchange Act). Based upon that evaluation, our Chief Executive Officer and Chief Financial Officer concluded that our disclosure controls and procedures were effective as of December 31, 2021, to ensure that information required to be disclosed</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Management, under the supervision and with the participation of the Chief Executive Officer and Chief Financial Officer, conducted an evaluation of the effectiveness of our internal control over financial reporting as of December 31, 2021, based on the criteria described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 Based on this assessment,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has determined that the Company's internal control over financial reporting was effective as of December 31, 2021.</w:t>
      </w:r>
    </w:p>
    <w:p>
      <w:pPr>
        <w:spacing w:after="0" w:line="6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Grant Thornton LLP, the independent registered public accounting firm that has audited our consolidated financial statements, has audited the effectiveness of the Company’s internal control over financial reporting as of December 31, 2021, as stated in their report included in Item 8 of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the Exchange Act Rules 13a-15(f) and 15d-15(f)) that occurred during the quarter ended December 31, 2021,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10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information required by this Item 10 of Form 10-K concerning our directors is contained in our definitive proxy statement to be filed with the Securities and Exchange Commission within 120 days after December 31, 2021 (“our definitive proxy statement”), and in accordance with General Instruction G to Form 10-K, is hereby incorporated herein by reference.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Table of Equity Compensation Plan Information</w:t>
            </w: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40" w:type="dxa"/>
            <w:vAlign w:val="bottom"/>
            <w:gridSpan w:val="6"/>
          </w:tcPr>
          <w:p>
            <w:pPr>
              <w:jc w:val="center"/>
              <w:spacing w:after="0"/>
              <w:rPr>
                <w:sz w:val="20"/>
                <w:szCs w:val="20"/>
                <w:color w:val="auto"/>
              </w:rPr>
            </w:pPr>
            <w:r>
              <w:rPr>
                <w:rFonts w:ascii="Arial" w:cs="Arial" w:eastAsia="Arial" w:hAnsi="Arial"/>
                <w:sz w:val="14"/>
                <w:szCs w:val="14"/>
                <w:color w:val="auto"/>
                <w:w w:val="90"/>
              </w:rPr>
              <w:t>(in thousands, except per share data)</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jc w:val="center"/>
              <w:spacing w:after="0" w:line="142" w:lineRule="exact"/>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tcPr>
          <w:p>
            <w:pPr>
              <w:jc w:val="center"/>
              <w:ind w:right="6"/>
              <w:spacing w:after="0" w:line="135" w:lineRule="exact"/>
              <w:rPr>
                <w:sz w:val="20"/>
                <w:szCs w:val="20"/>
                <w:color w:val="auto"/>
              </w:rPr>
            </w:pPr>
            <w:r>
              <w:rPr>
                <w:rFonts w:ascii="Arial" w:cs="Arial" w:eastAsia="Arial" w:hAnsi="Arial"/>
                <w:sz w:val="14"/>
                <w:szCs w:val="14"/>
                <w:color w:val="auto"/>
                <w:w w:val="95"/>
              </w:rPr>
              <w:t>remaining available for</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4"/>
              </w:rPr>
              <w:t>Number of securities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vMerge w:val="restart"/>
          </w:tcPr>
          <w:p>
            <w:pPr>
              <w:jc w:val="center"/>
              <w:ind w:right="360"/>
              <w:spacing w:after="0"/>
              <w:rPr>
                <w:sz w:val="20"/>
                <w:szCs w:val="20"/>
                <w:color w:val="auto"/>
              </w:rPr>
            </w:pPr>
            <w:r>
              <w:rPr>
                <w:rFonts w:ascii="Arial" w:cs="Arial" w:eastAsia="Arial" w:hAnsi="Arial"/>
                <w:sz w:val="14"/>
                <w:szCs w:val="14"/>
                <w:color w:val="auto"/>
                <w:w w:val="90"/>
              </w:rPr>
              <w:t>Weighted-average</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2"/>
              </w:rPr>
              <w:t>future issuance under</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color w:val="auto"/>
                <w:w w:val="90"/>
              </w:rPr>
              <w:t>be issued upon exercise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right="360"/>
              <w:spacing w:after="0" w:line="135" w:lineRule="exact"/>
              <w:rPr>
                <w:sz w:val="20"/>
                <w:szCs w:val="20"/>
                <w:color w:val="auto"/>
              </w:rPr>
            </w:pPr>
            <w:r>
              <w:rPr>
                <w:rFonts w:ascii="Arial" w:cs="Arial" w:eastAsia="Arial" w:hAnsi="Arial"/>
                <w:sz w:val="14"/>
                <w:szCs w:val="14"/>
                <w:color w:val="auto"/>
                <w:w w:val="94"/>
              </w:rPr>
              <w:t>exercise price of</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4"/>
              </w:rPr>
              <w:t>(excluding securities reflected</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color w:val="auto"/>
                <w:w w:val="93"/>
              </w:rPr>
              <w:t>of outstanding options,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right="360"/>
              <w:spacing w:after="0" w:line="135" w:lineRule="exact"/>
              <w:rPr>
                <w:sz w:val="20"/>
                <w:szCs w:val="20"/>
                <w:color w:val="auto"/>
              </w:rPr>
            </w:pPr>
            <w:r>
              <w:rPr>
                <w:rFonts w:ascii="Arial" w:cs="Arial" w:eastAsia="Arial" w:hAnsi="Arial"/>
                <w:sz w:val="14"/>
                <w:szCs w:val="14"/>
                <w:color w:val="auto"/>
                <w:w w:val="92"/>
              </w:rPr>
              <w:t>outstanding options,</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35"/>
        </w:trPr>
        <w:tc>
          <w:tcPr>
            <w:tcW w:w="5320" w:type="dxa"/>
            <w:vAlign w:val="bottom"/>
            <w:vMerge w:val="restart"/>
          </w:tcPr>
          <w:p>
            <w:pPr>
              <w:ind w:left="20"/>
              <w:spacing w:after="0"/>
              <w:rPr>
                <w:sz w:val="20"/>
                <w:szCs w:val="20"/>
                <w:color w:val="auto"/>
              </w:rPr>
            </w:pPr>
            <w:r>
              <w:rPr>
                <w:rFonts w:ascii="Arial" w:cs="Arial" w:eastAsia="Arial" w:hAnsi="Arial"/>
                <w:sz w:val="14"/>
                <w:szCs w:val="14"/>
                <w:color w:val="auto"/>
              </w:rPr>
              <w:t>Plan Category</w:t>
            </w:r>
          </w:p>
        </w:tc>
        <w:tc>
          <w:tcPr>
            <w:tcW w:w="120" w:type="dxa"/>
            <w:vAlign w:val="bottom"/>
            <w:vMerge w:val="restart"/>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color w:val="auto"/>
                <w:w w:val="91"/>
              </w:rPr>
              <w:t>warrants, and rights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2"/>
              </w:rPr>
              <w:t>warrants, and rights</w:t>
            </w:r>
          </w:p>
        </w:tc>
        <w:tc>
          <w:tcPr>
            <w:tcW w:w="1820" w:type="dxa"/>
            <w:vAlign w:val="bottom"/>
          </w:tcPr>
          <w:p>
            <w:pPr>
              <w:jc w:val="center"/>
              <w:spacing w:after="0" w:line="135" w:lineRule="exact"/>
              <w:rPr>
                <w:sz w:val="20"/>
                <w:szCs w:val="20"/>
                <w:color w:val="auto"/>
              </w:rPr>
            </w:pPr>
            <w:r>
              <w:rPr>
                <w:rFonts w:ascii="Arial" w:cs="Arial" w:eastAsia="Arial" w:hAnsi="Arial"/>
                <w:sz w:val="14"/>
                <w:szCs w:val="14"/>
                <w:color w:val="auto"/>
                <w:w w:val="95"/>
              </w:rPr>
              <w:t>column (a))</w:t>
            </w:r>
          </w:p>
        </w:tc>
        <w:tc>
          <w:tcPr>
            <w:tcW w:w="0" w:type="dxa"/>
            <w:vAlign w:val="bottom"/>
          </w:tcPr>
          <w:p>
            <w:pPr>
              <w:spacing w:after="0"/>
              <w:rPr>
                <w:sz w:val="1"/>
                <w:szCs w:val="1"/>
                <w:color w:val="auto"/>
              </w:rPr>
            </w:pPr>
          </w:p>
        </w:tc>
      </w:tr>
      <w:tr>
        <w:trPr>
          <w:trHeight w:val="186"/>
        </w:trPr>
        <w:tc>
          <w:tcPr>
            <w:tcW w:w="5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color w:val="auto"/>
                <w:w w:val="93"/>
              </w:rPr>
              <w:t>(b)</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76"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 and Financial Statement Schedules</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consolidated financial statements of NN, Inc. filed as part of this Annual Report on Form 10-K begin on the following pages hereof:</w:t>
      </w:r>
    </w:p>
    <w:p>
      <w:pPr>
        <w:spacing w:after="0" w:line="159"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01"/>
        </w:trPr>
        <w:tc>
          <w:tcPr>
            <w:tcW w:w="4360" w:type="dxa"/>
            <w:vAlign w:val="bottom"/>
            <w:tcBorders>
              <w:bottom w:val="single" w:sz="8" w:color="0000FF"/>
            </w:tcBorders>
            <w:gridSpan w:val="4"/>
          </w:tcPr>
          <w:p>
            <w:pPr>
              <w:spacing w:after="0" w:line="201" w:lineRule="exact"/>
              <w:rPr>
                <w:rFonts w:ascii="Arial" w:cs="Arial" w:eastAsia="Arial" w:hAnsi="Arial"/>
                <w:sz w:val="18"/>
                <w:szCs w:val="18"/>
                <w:color w:val="0000FF"/>
                <w:w w:val="90"/>
              </w:rPr>
            </w:pPr>
            <w:hyperlink w:anchor="page33">
              <w:r>
                <w:rPr>
                  <w:rFonts w:ascii="Arial" w:cs="Arial" w:eastAsia="Arial" w:hAnsi="Arial"/>
                  <w:sz w:val="18"/>
                  <w:szCs w:val="18"/>
                  <w:color w:val="0000FF"/>
                  <w:w w:val="90"/>
                </w:rPr>
                <w:t>Reports of Independent Registered Public Accounting Firms</w:t>
              </w:r>
            </w:hyperlink>
          </w:p>
        </w:tc>
        <w:tc>
          <w:tcPr>
            <w:tcW w:w="2340" w:type="dxa"/>
            <w:vAlign w:val="bottom"/>
            <w:gridSpan w:val="3"/>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1"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209"/>
        </w:trPr>
        <w:tc>
          <w:tcPr>
            <w:tcW w:w="670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Consolidated Statements of Operations and Comprehensive Income (Loss)</w:t>
              </w:r>
            </w:hyperlink>
          </w:p>
        </w:tc>
        <w:tc>
          <w:tcPr>
            <w:tcW w:w="1620" w:type="dxa"/>
            <w:vAlign w:val="bottom"/>
            <w:gridSpan w:val="2"/>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10"/>
        </w:trPr>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Consolidated Balance Sheets</w:t>
              </w:r>
            </w:hyperlink>
          </w:p>
        </w:tc>
        <w:tc>
          <w:tcPr>
            <w:tcW w:w="3280" w:type="dxa"/>
            <w:vAlign w:val="bottom"/>
            <w:tcBorders>
              <w:top w:val="single" w:sz="8" w:color="0000FF"/>
            </w:tcBorders>
            <w:gridSpan w:val="5"/>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r>
        <w:trPr>
          <w:trHeight w:val="210"/>
        </w:trPr>
        <w:tc>
          <w:tcPr>
            <w:tcW w:w="44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Consolidated Statements of Changes in Stockholders’ Equity</w:t>
              </w:r>
            </w:hyperlink>
          </w:p>
        </w:tc>
        <w:tc>
          <w:tcPr>
            <w:tcW w:w="23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09"/>
        </w:trPr>
        <w:tc>
          <w:tcPr>
            <w:tcW w:w="28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Consolidated Statements of Cash Flows</w:t>
              </w:r>
            </w:hyperlink>
          </w:p>
        </w:tc>
        <w:tc>
          <w:tcPr>
            <w:tcW w:w="3820" w:type="dxa"/>
            <w:vAlign w:val="bottom"/>
            <w:gridSpan w:val="5"/>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r>
      <w:tr>
        <w:trPr>
          <w:trHeight w:val="210"/>
        </w:trPr>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Notes to Consolidated Financial Statements</w:t>
              </w:r>
            </w:hyperlink>
          </w:p>
        </w:tc>
        <w:tc>
          <w:tcPr>
            <w:tcW w:w="3540" w:type="dxa"/>
            <w:vAlign w:val="bottom"/>
            <w:gridSpan w:val="4"/>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1300" w:right="240"/>
        <w:spacing w:after="0" w:line="324" w:lineRule="auto"/>
        <w:rPr>
          <w:sz w:val="20"/>
          <w:szCs w:val="20"/>
          <w:color w:val="auto"/>
        </w:rPr>
      </w:pPr>
      <w:r>
        <w:rPr>
          <w:rFonts w:ascii="Arial" w:cs="Arial" w:eastAsia="Arial" w:hAnsi="Arial"/>
          <w:sz w:val="18"/>
          <w:szCs w:val="18"/>
          <w:color w:val="auto"/>
        </w:rPr>
        <w:t>NN, Inc. will provide without charge to any person, upon the written request of such person, a copy of any of the following Exhibits to this Form 10-K.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7"/>
              </w:rPr>
              <w:t>Incorporation by Reference</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340" w:type="dxa"/>
            <w:vAlign w:val="bottom"/>
            <w:gridSpan w:val="22"/>
            <w:vMerge w:val="restart"/>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SEC File No.</w:t>
            </w: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7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8"/>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40" w:type="dxa"/>
            <w:vAlign w:val="bottom"/>
            <w:gridSpan w:val="2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right"/>
              <w:ind w:right="613"/>
              <w:spacing w:after="0" w:line="184"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23"/>
          </w:tcPr>
          <w:p>
            <w:pPr>
              <w:spacing w:after="0" w:line="184"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Agreement and Plan of Merger, dated as of July 18, 2014, by</w:t>
              </w:r>
            </w:hyperlink>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ind w:left="200"/>
              <w:spacing w:after="0" w:line="184" w:lineRule="exact"/>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center"/>
              <w:ind w:right="52"/>
              <w:spacing w:after="0" w:line="184" w:lineRule="exact"/>
              <w:rPr>
                <w:sz w:val="20"/>
                <w:szCs w:val="20"/>
                <w:color w:val="auto"/>
              </w:rPr>
            </w:pPr>
            <w:r>
              <w:rPr>
                <w:rFonts w:ascii="Arial" w:cs="Arial" w:eastAsia="Arial" w:hAnsi="Arial"/>
                <w:sz w:val="18"/>
                <w:szCs w:val="18"/>
                <w:color w:val="auto"/>
                <w:w w:val="89"/>
              </w:rPr>
              <w:t>July 22, 2014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and among NN, Inc., PMC Global Acquisition Corporation,</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Autocam Corporation, Newport Global Advisors, L.P.,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11">
              <w:r>
                <w:rPr>
                  <w:rFonts w:ascii="Arial" w:cs="Arial" w:eastAsia="Arial" w:hAnsi="Arial"/>
                  <w:sz w:val="18"/>
                  <w:szCs w:val="18"/>
                  <w:color w:val="0000FF"/>
                  <w:w w:val="88"/>
                </w:rPr>
                <w:t>John C. Kennedy</w:t>
              </w:r>
            </w:hyperlink>
          </w:p>
        </w:tc>
        <w:tc>
          <w:tcPr>
            <w:tcW w:w="300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Stock Purchase Agreement, dated as of August 17, 2015, by</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91"/>
              </w:rPr>
              <w:t>August 18, 2015</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and among NN, Inc., Precision Engineered Products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Holdings, Inc. and PEP Industries, LLC</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rPr>
            </w:pPr>
            <w:hyperlink r:id="rId113">
              <w:r>
                <w:rPr>
                  <w:rFonts w:ascii="Arial" w:cs="Arial" w:eastAsia="Arial" w:hAnsi="Arial"/>
                  <w:sz w:val="18"/>
                  <w:szCs w:val="18"/>
                  <w:color w:val="0000FF"/>
                </w:rPr>
                <w:t>Purchase Agreement, dated as of July 10, 2017, by and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89"/>
              </w:rPr>
              <w:t>July 10,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11"/>
          </w:tcPr>
          <w:p>
            <w:pPr>
              <w:spacing w:after="0" w:line="156"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between NN, Inc. and TSUBAKI NAKASHIMA Co.,</w:t>
              </w:r>
            </w:hyperlink>
          </w:p>
        </w:tc>
        <w:tc>
          <w:tcPr>
            <w:tcW w:w="660" w:type="dxa"/>
            <w:vAlign w:val="bottom"/>
            <w:gridSpan w:val="13"/>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Ltd.</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w w:val="94"/>
              </w:rPr>
            </w:pPr>
            <w:hyperlink r:id="rId114">
              <w:r>
                <w:rPr>
                  <w:rFonts w:ascii="Arial" w:cs="Arial" w:eastAsia="Arial" w:hAnsi="Arial"/>
                  <w:sz w:val="18"/>
                  <w:szCs w:val="18"/>
                  <w:color w:val="0000FF"/>
                  <w:w w:val="94"/>
                </w:rPr>
                <w:t>Stock Purchase Agreement, dated as of April 2, 2018, by and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94"/>
              </w:rPr>
              <w:t>April 3, 2018</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8"/>
              </w:rPr>
            </w:pPr>
            <w:hyperlink r:id="rId114">
              <w:r>
                <w:rPr>
                  <w:rFonts w:ascii="Arial" w:cs="Arial" w:eastAsia="Arial" w:hAnsi="Arial"/>
                  <w:sz w:val="18"/>
                  <w:szCs w:val="18"/>
                  <w:color w:val="0000FF"/>
                  <w:w w:val="88"/>
                </w:rPr>
                <w:t>among NN, Inc. Precision Engineered Products LLC, Paragon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22"/>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Equity LLC, and PMG Intermediate Holding Corporation</w:t>
              </w:r>
            </w:hyperlink>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w w:val="95"/>
              </w:rPr>
            </w:pPr>
            <w:hyperlink r:id="rId115">
              <w:r>
                <w:rPr>
                  <w:rFonts w:ascii="Arial" w:cs="Arial" w:eastAsia="Arial" w:hAnsi="Arial"/>
                  <w:sz w:val="18"/>
                  <w:szCs w:val="18"/>
                  <w:color w:val="0000FF"/>
                  <w:w w:val="95"/>
                </w:rPr>
                <w:t>Stock Purchase Agreement, dated as of August 22, 2020, by</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91"/>
              </w:rPr>
              <w:t>August 24, 2020</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and between NN, Inc., Precision Engineered Products</w:t>
              </w:r>
            </w:hyperlink>
          </w:p>
        </w:tc>
        <w:tc>
          <w:tcPr>
            <w:tcW w:w="80" w:type="dxa"/>
            <w:vAlign w:val="bottom"/>
            <w:gridSpan w:val="3"/>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10"/>
          </w:tcPr>
          <w:p>
            <w:pPr>
              <w:spacing w:after="0" w:line="156"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Holdings, Inc. and ASP Navigate Acquisition Corp.</w:t>
              </w:r>
            </w:hyperlink>
          </w:p>
        </w:tc>
        <w:tc>
          <w:tcPr>
            <w:tcW w:w="3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top w:val="single" w:sz="8" w:color="0000FF"/>
            </w:tcBorders>
            <w:gridSpan w:val="7"/>
          </w:tcPr>
          <w:p>
            <w:pPr>
              <w:spacing w:after="0"/>
              <w:rPr>
                <w:rFonts w:ascii="Arial" w:cs="Arial" w:eastAsia="Arial" w:hAnsi="Arial"/>
                <w:sz w:val="18"/>
                <w:szCs w:val="18"/>
                <w:color w:val="0000FF"/>
                <w:w w:val="97"/>
              </w:rPr>
            </w:pPr>
            <w:hyperlink r:id="rId116">
              <w:r>
                <w:rPr>
                  <w:rFonts w:ascii="Arial" w:cs="Arial" w:eastAsia="Arial" w:hAnsi="Arial"/>
                  <w:sz w:val="18"/>
                  <w:szCs w:val="18"/>
                  <w:color w:val="0000FF"/>
                  <w:w w:val="97"/>
                </w:rPr>
                <w:t>Restated Certificate of Incorporation of NN, Inc.</w:t>
              </w:r>
            </w:hyperlink>
          </w:p>
        </w:tc>
        <w:tc>
          <w:tcPr>
            <w:tcW w:w="900" w:type="dxa"/>
            <w:vAlign w:val="bottom"/>
            <w:gridSpan w:val="17"/>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1180" w:type="dxa"/>
            <w:vAlign w:val="bottom"/>
          </w:tcPr>
          <w:p>
            <w:pPr>
              <w:ind w:left="200"/>
              <w:spacing w:after="0"/>
              <w:rPr>
                <w:sz w:val="20"/>
                <w:szCs w:val="20"/>
                <w:color w:val="auto"/>
              </w:rPr>
            </w:pPr>
            <w:r>
              <w:rPr>
                <w:rFonts w:ascii="Arial" w:cs="Arial" w:eastAsia="Arial" w:hAnsi="Arial"/>
                <w:sz w:val="18"/>
                <w:szCs w:val="18"/>
                <w:color w:val="auto"/>
              </w:rPr>
              <w:t>333-89950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88"/>
              </w:rPr>
              <w:t>June 6,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rPr>
            </w:pPr>
            <w:hyperlink r:id="rId117">
              <w:r>
                <w:rPr>
                  <w:rFonts w:ascii="Arial" w:cs="Arial" w:eastAsia="Arial" w:hAnsi="Arial"/>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91"/>
              </w:rPr>
              <w:t>May 20, 2019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Incorporation of NN, Inc. (Declassification).</w:t>
              </w:r>
            </w:hyperlink>
          </w:p>
        </w:tc>
        <w:tc>
          <w:tcPr>
            <w:tcW w:w="48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rPr>
            </w:pPr>
            <w:hyperlink r:id="rId118">
              <w:r>
                <w:rPr>
                  <w:rFonts w:ascii="Arial" w:cs="Arial" w:eastAsia="Arial" w:hAnsi="Arial"/>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91"/>
              </w:rPr>
              <w:t>May 20, 2019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Incorporation of NN, Inc. (Share Increase)</w:t>
              </w:r>
            </w:hyperlink>
          </w:p>
        </w:tc>
        <w:tc>
          <w:tcPr>
            <w:tcW w:w="680" w:type="dxa"/>
            <w:vAlign w:val="bottom"/>
            <w:tcBorders>
              <w:top w:val="single" w:sz="8" w:color="0000FF"/>
            </w:tcBorders>
            <w:gridSpan w:val="4"/>
          </w:tcPr>
          <w:p>
            <w:pPr>
              <w:spacing w:after="0"/>
              <w:rPr>
                <w:sz w:val="13"/>
                <w:szCs w:val="13"/>
                <w:color w:val="auto"/>
              </w:rPr>
            </w:pPr>
          </w:p>
        </w:tc>
        <w:tc>
          <w:tcPr>
            <w:tcW w:w="48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rPr>
            </w:pPr>
            <w:hyperlink r:id="rId119">
              <w:r>
                <w:rPr>
                  <w:rFonts w:ascii="Arial" w:cs="Arial" w:eastAsia="Arial" w:hAnsi="Arial"/>
                  <w:sz w:val="18"/>
                  <w:szCs w:val="18"/>
                  <w:color w:val="0000FF"/>
                </w:rPr>
                <w:t>Certificate of Designation of Series A Junior Participating</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88"/>
              </w:rPr>
              <w:t>December 18, 2008</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Preferred Stock of NN, Inc., as filed with the Secretary of</w:t>
              </w:r>
            </w:hyperlink>
          </w:p>
        </w:tc>
        <w:tc>
          <w:tcPr>
            <w:tcW w:w="400" w:type="dxa"/>
            <w:vAlign w:val="bottom"/>
            <w:gridSpan w:val="11"/>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the</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State of Delaware</w:t>
              </w:r>
            </w:hyperlink>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4"/>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Certificate of Designation of Series B Convertible Preferred</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Arial" w:cs="Arial" w:eastAsia="Arial" w:hAnsi="Arial"/>
                <w:sz w:val="18"/>
                <w:szCs w:val="18"/>
                <w:color w:val="auto"/>
                <w:w w:val="88"/>
              </w:rPr>
              <w:t>December 11, 2019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Stock of NN, Inc.</w:t>
              </w:r>
            </w:hyperlink>
          </w:p>
        </w:tc>
        <w:tc>
          <w:tcPr>
            <w:tcW w:w="300" w:type="dxa"/>
            <w:vAlign w:val="bottom"/>
            <w:gridSpan w:val="8"/>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top w:val="single" w:sz="8" w:color="0000FF"/>
            </w:tcBorders>
            <w:gridSpan w:val="2"/>
          </w:tcPr>
          <w:p>
            <w:pPr>
              <w:spacing w:after="0"/>
              <w:rPr>
                <w:sz w:val="24"/>
                <w:szCs w:val="24"/>
                <w:color w:val="auto"/>
              </w:rPr>
            </w:pPr>
          </w:p>
        </w:tc>
        <w:tc>
          <w:tcPr>
            <w:tcW w:w="3240" w:type="dxa"/>
            <w:vAlign w:val="bottom"/>
            <w:gridSpan w:val="21"/>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80" w:type="dxa"/>
            <w:vAlign w:val="bottom"/>
            <w:gridSpan w:val="38"/>
            <w:vMerge w:val="restart"/>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8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40"/>
          </w:tcPr>
          <w:p>
            <w:pPr>
              <w:spacing w:after="0" w:line="184" w:lineRule="exact"/>
              <w:rPr>
                <w:rFonts w:ascii="Arial" w:cs="Arial" w:eastAsia="Arial" w:hAnsi="Arial"/>
                <w:sz w:val="18"/>
                <w:szCs w:val="18"/>
                <w:color w:val="0000FF"/>
                <w:w w:val="97"/>
              </w:rPr>
            </w:pPr>
            <w:hyperlink r:id="rId123">
              <w:r>
                <w:rPr>
                  <w:rFonts w:ascii="Arial" w:cs="Arial" w:eastAsia="Arial" w:hAnsi="Arial"/>
                  <w:sz w:val="18"/>
                  <w:szCs w:val="18"/>
                  <w:color w:val="0000FF"/>
                  <w:w w:val="97"/>
                </w:rPr>
                <w:t>Certificate of Designations of Series C Junior Participating</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Preferred Stock of NN,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Borders>
              <w:bottom w:val="single" w:sz="8" w:color="0000FF"/>
            </w:tcBorders>
            <w:gridSpan w:val="16"/>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Amended and Restated By-Laws of NN, Inc.</w:t>
              </w:r>
            </w:hyperlink>
          </w:p>
        </w:tc>
        <w:tc>
          <w:tcPr>
            <w:tcW w:w="128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28"/>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Amendment to Amended and Restated Bylaws of NN, Inc.</w:t>
              </w:r>
            </w:hyperlink>
          </w:p>
        </w:tc>
        <w:tc>
          <w:tcPr>
            <w:tcW w:w="2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26">
              <w:r>
                <w:rPr>
                  <w:rFonts w:ascii="Arial" w:cs="Arial" w:eastAsia="Arial" w:hAnsi="Arial"/>
                  <w:sz w:val="18"/>
                  <w:szCs w:val="18"/>
                  <w:color w:val="0000FF"/>
                </w:rPr>
                <w:t>Certificate of Designation of Series D Preferred Stock</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27">
              <w:r>
                <w:rPr>
                  <w:rFonts w:ascii="Arial" w:cs="Arial" w:eastAsia="Arial" w:hAnsi="Arial"/>
                  <w:sz w:val="18"/>
                  <w:szCs w:val="18"/>
                  <w:color w:val="0000FF"/>
                </w:rPr>
                <w:t>The specimen stock certificate representing NN, Inc.’s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 xml:space="preserve">Common Stock, par value </w:t>
              </w:r>
              <w:r>
                <w:rPr>
                  <w:rFonts w:ascii="Arial" w:cs="Arial" w:eastAsia="Arial" w:hAnsi="Arial"/>
                  <w:sz w:val="18"/>
                  <w:szCs w:val="18"/>
                  <w:u w:val="single" w:color="auto"/>
                  <w:color w:val="0000FF"/>
                </w:rPr>
                <w:t>$</w:t>
              </w:r>
              <w:r>
                <w:rPr>
                  <w:rFonts w:ascii="Arial" w:cs="Arial" w:eastAsia="Arial" w:hAnsi="Arial"/>
                  <w:sz w:val="18"/>
                  <w:szCs w:val="18"/>
                  <w:color w:val="0000FF"/>
                </w:rPr>
                <w:t>0.01 per share</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Stockholders’ Agreement, effective as of August 29, 2014, by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and between NN, Inc. and John C. Kennedy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tcBorders>
              <w:top w:val="single" w:sz="8" w:color="0000FF"/>
            </w:tcBorders>
            <w:gridSpan w:val="15"/>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Form of Common Stock Purchase Warrant</w:t>
              </w:r>
            </w:hyperlink>
          </w:p>
        </w:tc>
        <w:tc>
          <w:tcPr>
            <w:tcW w:w="136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Rights Agreement, dated as of April 15, 2020, between NN,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Inc. and Computershare Inc., as Rights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Description of Securities</w:t>
              </w:r>
            </w:hyperlink>
          </w:p>
        </w:tc>
        <w:tc>
          <w:tcPr>
            <w:tcW w:w="1520" w:type="dxa"/>
            <w:vAlign w:val="bottom"/>
            <w:tcBorders>
              <w:top w:val="single" w:sz="8" w:color="0000FF"/>
            </w:tcBorders>
            <w:gridSpan w:val="11"/>
          </w:tcPr>
          <w:p>
            <w:pPr>
              <w:spacing w:after="0"/>
              <w:rPr>
                <w:sz w:val="18"/>
                <w:szCs w:val="18"/>
                <w:color w:val="auto"/>
              </w:rPr>
            </w:pPr>
          </w:p>
        </w:tc>
        <w:tc>
          <w:tcPr>
            <w:tcW w:w="120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0000FF"/>
            </w:tcBorders>
            <w:gridSpan w:val="5"/>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Common Stock Warrant</w:t>
              </w:r>
            </w:hyperlink>
          </w:p>
        </w:tc>
        <w:tc>
          <w:tcPr>
            <w:tcW w:w="2740" w:type="dxa"/>
            <w:vAlign w:val="bottom"/>
            <w:gridSpan w:val="3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bottom w:val="single" w:sz="8" w:color="0000FF"/>
            </w:tcBorders>
            <w:gridSpan w:val="10"/>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NN, Inc. 2005 Stock Incentive Plan</w:t>
              </w:r>
            </w:hyperlink>
          </w:p>
        </w:tc>
        <w:tc>
          <w:tcPr>
            <w:tcW w:w="196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bottom w:val="single" w:sz="8" w:color="0000FF"/>
            </w:tcBorders>
            <w:gridSpan w:val="32"/>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NN, Inc. 2011 Amended and Restated Stock Incentive Plan</w:t>
              </w:r>
            </w:hyperlink>
          </w:p>
        </w:tc>
        <w:tc>
          <w:tcPr>
            <w:tcW w:w="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bottom w:val="single" w:sz="8" w:color="0000FF"/>
            </w:tcBorders>
            <w:gridSpan w:val="11"/>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Form of Indemnification Agreement</w:t>
              </w:r>
            </w:hyperlink>
          </w:p>
        </w:tc>
        <w:tc>
          <w:tcPr>
            <w:tcW w:w="1900" w:type="dxa"/>
            <w:vAlign w:val="bottom"/>
            <w:gridSpan w:val="2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7"/>
              </w:rPr>
            </w:pPr>
            <w:hyperlink r:id="rId136">
              <w:r>
                <w:rPr>
                  <w:rFonts w:ascii="Arial" w:cs="Arial" w:eastAsia="Arial" w:hAnsi="Arial"/>
                  <w:sz w:val="18"/>
                  <w:szCs w:val="18"/>
                  <w:color w:val="0000FF"/>
                  <w:w w:val="97"/>
                </w:rPr>
                <w:t>Elective Deferred Compensation Plan, dated February 26,</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36">
              <w:r>
                <w:rPr>
                  <w:rFonts w:ascii="Arial" w:cs="Arial" w:eastAsia="Arial" w:hAnsi="Arial"/>
                  <w:sz w:val="18"/>
                  <w:szCs w:val="18"/>
                  <w:color w:val="0000FF"/>
                  <w:w w:val="84"/>
                </w:rPr>
                <w:t>1999</w:t>
              </w:r>
            </w:hyperlink>
          </w:p>
        </w:tc>
        <w:tc>
          <w:tcPr>
            <w:tcW w:w="3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Escrow Agreement, effective as of August 29, 2014,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36"/>
          </w:tcPr>
          <w:p>
            <w:pPr>
              <w:spacing w:after="0" w:line="156" w:lineRule="exact"/>
              <w:rPr>
                <w:rFonts w:ascii="Arial" w:cs="Arial" w:eastAsia="Arial" w:hAnsi="Arial"/>
                <w:sz w:val="18"/>
                <w:szCs w:val="18"/>
                <w:color w:val="0000FF"/>
                <w:w w:val="97"/>
              </w:rPr>
            </w:pPr>
            <w:hyperlink r:id="rId137">
              <w:r>
                <w:rPr>
                  <w:rFonts w:ascii="Arial" w:cs="Arial" w:eastAsia="Arial" w:hAnsi="Arial"/>
                  <w:sz w:val="18"/>
                  <w:szCs w:val="18"/>
                  <w:color w:val="0000FF"/>
                  <w:w w:val="97"/>
                </w:rPr>
                <w:t>among NN, Inc., Newport Global Advisors, L.P., John C.</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Kennedy and Computershare Trust Company, N.A.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0000FF"/>
            </w:tcBorders>
            <w:gridSpan w:val="29"/>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Indemnity Agreement, effective as of August 29, 2014, by</w:t>
              </w:r>
            </w:hyperlink>
          </w:p>
        </w:tc>
        <w:tc>
          <w:tcPr>
            <w:tcW w:w="2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and among NN, Inc. and each of the shareholders of Autocam</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Corporation identified therein</w:t>
              </w:r>
            </w:hyperlink>
          </w:p>
        </w:tc>
        <w:tc>
          <w:tcPr>
            <w:tcW w:w="230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Executive Employment Agreement, dated September 9, 2014,</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between NN, Inc. and Warren A. Veltman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40">
              <w:r>
                <w:rPr>
                  <w:rFonts w:ascii="Arial" w:cs="Arial" w:eastAsia="Arial" w:hAnsi="Arial"/>
                  <w:sz w:val="18"/>
                  <w:szCs w:val="18"/>
                  <w:color w:val="0000FF"/>
                </w:rPr>
                <w:t>Amendment and Restatement Agreement, dated as of</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September 30, 2016, by and among NN, Inc., certain</w:t>
              </w:r>
            </w:hyperlink>
          </w:p>
        </w:tc>
        <w:tc>
          <w:tcPr>
            <w:tcW w:w="640" w:type="dxa"/>
            <w:vAlign w:val="bottom"/>
            <w:gridSpan w:val="21"/>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NN,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Inc. subsidiaries named therein, SunTrust Bank, KeyBank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National Association and Regions Bank</w:t>
              </w:r>
            </w:hyperlink>
          </w:p>
        </w:tc>
        <w:tc>
          <w:tcPr>
            <w:tcW w:w="13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tcBorders>
              <w:bottom w:val="single" w:sz="8" w:color="0000FF"/>
            </w:tcBorders>
            <w:gridSpan w:val="26"/>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Incremental Amendment to Amended and Restated Credit</w:t>
              </w:r>
            </w:hyperlink>
          </w:p>
        </w:tc>
        <w:tc>
          <w:tcPr>
            <w:tcW w:w="3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Agreement, dated as of October 31, 2016, among NN, Inc.,</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the Guarantors, HomeTrust Bank, as 2016 Revolving Credit</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35"/>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Increase Lender, KeyBank National Association, as an L/C</w:t>
              </w:r>
            </w:hyperlink>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Issuer, Regions Bank, as Swing Line Lender and an 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Issuer, and SunTrust Bank, as Administrative Agent and</w:t>
              </w:r>
            </w:hyperlink>
          </w:p>
        </w:tc>
        <w:tc>
          <w:tcPr>
            <w:tcW w:w="480" w:type="dxa"/>
            <w:vAlign w:val="bottom"/>
            <w:gridSpan w:val="19"/>
          </w:tcPr>
          <w:p>
            <w:pPr>
              <w:ind w:left="40"/>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an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L/C Issuer</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42">
              <w:r>
                <w:rPr>
                  <w:rFonts w:ascii="Arial" w:cs="Arial" w:eastAsia="Arial" w:hAnsi="Arial"/>
                  <w:sz w:val="18"/>
                  <w:szCs w:val="18"/>
                  <w:color w:val="0000FF"/>
                </w:rPr>
                <w:t>NN, Inc. 2016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6"/>
              </w:rPr>
            </w:pPr>
            <w:hyperlink r:id="rId143">
              <w:r>
                <w:rPr>
                  <w:rFonts w:ascii="Arial" w:cs="Arial" w:eastAsia="Arial" w:hAnsi="Arial"/>
                  <w:sz w:val="18"/>
                  <w:szCs w:val="18"/>
                  <w:color w:val="0000FF"/>
                  <w:w w:val="96"/>
                </w:rPr>
                <w:t>Form of Incentive Stock Option Agreement under the 2016</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Omnibus Incentive Plan</w:t>
              </w:r>
            </w:hyperlink>
          </w:p>
        </w:tc>
        <w:tc>
          <w:tcPr>
            <w:tcW w:w="2540" w:type="dxa"/>
            <w:vAlign w:val="bottom"/>
            <w:tcBorders>
              <w:top w:val="single" w:sz="8" w:color="0000FF"/>
            </w:tcBorders>
            <w:gridSpan w:val="27"/>
          </w:tcPr>
          <w:p>
            <w:pPr>
              <w:spacing w:after="0"/>
              <w:rPr>
                <w:sz w:val="13"/>
                <w:szCs w:val="13"/>
                <w:color w:val="auto"/>
              </w:rPr>
            </w:pPr>
          </w:p>
        </w:tc>
        <w:tc>
          <w:tcPr>
            <w:tcW w:w="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44">
              <w:r>
                <w:rPr>
                  <w:rFonts w:ascii="Arial" w:cs="Arial" w:eastAsia="Arial" w:hAnsi="Arial"/>
                  <w:sz w:val="18"/>
                  <w:szCs w:val="18"/>
                  <w:color w:val="0000FF"/>
                </w:rPr>
                <w:t>Form of Nonqualified Stock Option Agreement under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2016 Omnibus Incentive Plan</w:t>
              </w:r>
            </w:hyperlink>
          </w:p>
        </w:tc>
        <w:tc>
          <w:tcPr>
            <w:tcW w:w="2000" w:type="dxa"/>
            <w:vAlign w:val="bottom"/>
            <w:tcBorders>
              <w:top w:val="single" w:sz="8" w:color="0000FF"/>
            </w:tcBorders>
            <w:gridSpan w:val="15"/>
          </w:tcPr>
          <w:p>
            <w:pPr>
              <w:spacing w:after="0"/>
              <w:rPr>
                <w:sz w:val="13"/>
                <w:szCs w:val="13"/>
                <w:color w:val="auto"/>
              </w:rPr>
            </w:pPr>
          </w:p>
        </w:tc>
        <w:tc>
          <w:tcPr>
            <w:tcW w:w="160" w:type="dxa"/>
            <w:vAlign w:val="bottom"/>
            <w:gridSpan w:val="9"/>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4"/>
              </w:rPr>
            </w:pPr>
            <w:hyperlink r:id="rId145">
              <w:r>
                <w:rPr>
                  <w:rFonts w:ascii="Arial" w:cs="Arial" w:eastAsia="Arial" w:hAnsi="Arial"/>
                  <w:sz w:val="18"/>
                  <w:szCs w:val="18"/>
                  <w:color w:val="0000FF"/>
                  <w:w w:val="94"/>
                </w:rPr>
                <w:t>Form of Restricted Share Award Agreement under the 2016</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Omnibus Incentive Plan</w:t>
              </w:r>
            </w:hyperlink>
          </w:p>
        </w:tc>
        <w:tc>
          <w:tcPr>
            <w:tcW w:w="2560" w:type="dxa"/>
            <w:vAlign w:val="bottom"/>
            <w:tcBorders>
              <w:top w:val="single" w:sz="8" w:color="0000FF"/>
            </w:tcBorders>
            <w:gridSpan w:val="29"/>
          </w:tcPr>
          <w:p>
            <w:pPr>
              <w:spacing w:after="0"/>
              <w:rPr>
                <w:sz w:val="13"/>
                <w:szCs w:val="13"/>
                <w:color w:val="auto"/>
              </w:rPr>
            </w:pPr>
          </w:p>
        </w:tc>
        <w:tc>
          <w:tcPr>
            <w:tcW w:w="2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40" w:type="dxa"/>
            <w:vAlign w:val="bottom"/>
            <w:gridSpan w:val="41"/>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4290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 File No.</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April 16, 2020</w:t>
            </w:r>
          </w:p>
        </w:tc>
      </w:tr>
      <w:tr>
        <w:trPr>
          <w:trHeight w:val="403"/>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20, 2019</w:t>
            </w:r>
          </w:p>
        </w:tc>
      </w:tr>
      <w:tr>
        <w:trPr>
          <w:trHeight w:val="229"/>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000-39268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22, 2021</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June 6, 2002</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 2014</w:t>
            </w:r>
          </w:p>
        </w:tc>
      </w:tr>
      <w:tr>
        <w:trPr>
          <w:trHeight w:val="40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11, 2019</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April 16, 2020</w:t>
            </w:r>
          </w:p>
        </w:tc>
      </w:tr>
      <w:tr>
        <w:trPr>
          <w:trHeight w:val="40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9"/>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000-39268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22, 2021</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333-130395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16, 2005</w:t>
            </w:r>
          </w:p>
        </w:tc>
      </w:tr>
      <w:tr>
        <w:trPr>
          <w:trHeight w:val="229"/>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DEF14A</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Appendix A</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1, 2016</w:t>
            </w:r>
          </w:p>
        </w:tc>
      </w:tr>
      <w:tr>
        <w:trPr>
          <w:trHeight w:val="229"/>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S-3/A</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15, 2002</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31, 1999</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 2014</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 2014</w:t>
            </w:r>
          </w:p>
        </w:tc>
      </w:tr>
      <w:tr>
        <w:trPr>
          <w:trHeight w:val="581"/>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16, 2015</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3, 2016</w:t>
            </w:r>
          </w:p>
        </w:tc>
      </w:tr>
      <w:tr>
        <w:trPr>
          <w:trHeight w:val="75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4,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4"/>
              </w:rPr>
              <w:t>DEF14A</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000-23486</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91"/>
              </w:rPr>
              <w:t>November 10, 2016</w:t>
            </w:r>
          </w:p>
        </w:tc>
      </w:tr>
      <w:tr>
        <w:trPr>
          <w:trHeight w:val="230"/>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000-23486</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92"/>
              </w:rPr>
              <w:t>March 16, 2017</w:t>
            </w:r>
          </w:p>
        </w:tc>
      </w:tr>
      <w:tr>
        <w:trPr>
          <w:trHeight w:val="405"/>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000-23486</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92"/>
              </w:rPr>
              <w:t>March 16, 2017</w:t>
            </w:r>
          </w:p>
        </w:tc>
      </w:tr>
      <w:tr>
        <w:trPr>
          <w:trHeight w:val="405"/>
        </w:trPr>
        <w:tc>
          <w:tcPr>
            <w:tcW w:w="8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000-23486</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92"/>
              </w:rPr>
              <w:t>March 16, 2017</w:t>
            </w:r>
          </w:p>
        </w:tc>
      </w:tr>
    </w:tbl>
    <w:p>
      <w:pPr>
        <w:sectPr>
          <w:pgSz w:w="11900" w:h="16838" w:orient="portrait"/>
          <w:cols w:equalWidth="0" w:num="2">
            <w:col w:w="5740" w:space="100"/>
            <w:col w:w="5400"/>
          </w:cols>
          <w:pgMar w:left="320" w:top="233" w:right="3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60" w:type="dxa"/>
            <w:vAlign w:val="bottom"/>
            <w:gridSpan w:val="37"/>
            <w:vMerge w:val="restart"/>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60" w:type="dxa"/>
            <w:vAlign w:val="bottom"/>
            <w:gridSpan w:val="3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40"/>
          </w:tcPr>
          <w:p>
            <w:pPr>
              <w:spacing w:after="0" w:line="184"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Form of Performance Share Unit Award Agreement under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2016 Omnibus Incentive Plan</w:t>
              </w:r>
            </w:hyperlink>
          </w:p>
        </w:tc>
        <w:tc>
          <w:tcPr>
            <w:tcW w:w="236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49">
              <w:r>
                <w:rPr>
                  <w:rFonts w:ascii="Arial" w:cs="Arial" w:eastAsia="Arial" w:hAnsi="Arial"/>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between NN, Inc. and Matthew S. Heiter.</w:t>
              </w:r>
            </w:hyperlink>
          </w:p>
        </w:tc>
        <w:tc>
          <w:tcPr>
            <w:tcW w:w="11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50">
              <w:r>
                <w:rPr>
                  <w:rFonts w:ascii="Arial" w:cs="Arial" w:eastAsia="Arial" w:hAnsi="Arial"/>
                  <w:sz w:val="18"/>
                  <w:szCs w:val="18"/>
                  <w:color w:val="0000FF"/>
                </w:rPr>
                <w:t>Amendment No. 1 to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Agreement, dated as of April 3, 2017, by and among</w:t>
              </w:r>
            </w:hyperlink>
          </w:p>
        </w:tc>
        <w:tc>
          <w:tcPr>
            <w:tcW w:w="100" w:type="dxa"/>
            <w:vAlign w:val="bottom"/>
          </w:tcPr>
          <w:p>
            <w:pPr>
              <w:spacing w:after="0"/>
              <w:rPr>
                <w:sz w:val="13"/>
                <w:szCs w:val="13"/>
                <w:color w:val="auto"/>
              </w:rPr>
            </w:pPr>
          </w:p>
        </w:tc>
        <w:tc>
          <w:tcPr>
            <w:tcW w:w="680" w:type="dxa"/>
            <w:vAlign w:val="bottom"/>
            <w:gridSpan w:val="26"/>
          </w:tcPr>
          <w:p>
            <w:pPr>
              <w:jc w:val="center"/>
              <w:ind w:right="300"/>
              <w:spacing w:after="0" w:line="156"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NN,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Inc., certain NN, Inc. subsidiaries named therein, SunTrust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6"/>
          </w:tcPr>
          <w:p>
            <w:pPr>
              <w:spacing w:after="0" w:line="156"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Bank, JPMorgan Chase Bank, N.A., KeyBank National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Association and Regions Bank</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Borders>
              <w:bottom w:val="single" w:sz="8" w:color="0000FF"/>
            </w:tcBorders>
            <w:gridSpan w:val="13"/>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Amendment No. 2 to Amended and Restated Credit</w:t>
              </w:r>
            </w:hyperlink>
          </w:p>
        </w:tc>
        <w:tc>
          <w:tcPr>
            <w:tcW w:w="78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Agreement, dated as of August 15, 2017, by and among NN,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Inc., certain NN, Inc. subsidiaries named therein, and</w:t>
              </w:r>
            </w:hyperlink>
          </w:p>
        </w:tc>
        <w:tc>
          <w:tcPr>
            <w:tcW w:w="64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SunTrust Bank, Regions Bank, JPMorgan Chase Bank, N.A.,</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HomeTrust Bank and Key Bank National Association,</w:t>
              </w:r>
            </w:hyperlink>
          </w:p>
        </w:tc>
        <w:tc>
          <w:tcPr>
            <w:tcW w:w="5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collectively, the Revolving Credit Lenders, and SunTrust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Bank, as the Administrative Agent.</w:t>
              </w:r>
            </w:hyperlink>
          </w:p>
        </w:tc>
        <w:tc>
          <w:tcPr>
            <w:tcW w:w="15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52">
              <w:r>
                <w:rPr>
                  <w:rFonts w:ascii="Arial" w:cs="Arial" w:eastAsia="Arial" w:hAnsi="Arial"/>
                  <w:sz w:val="18"/>
                  <w:szCs w:val="18"/>
                  <w:color w:val="0000FF"/>
                </w:rPr>
                <w:t>Amendment No. 3 to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r:id="rId152">
              <w:r>
                <w:rPr>
                  <w:rFonts w:ascii="Arial" w:cs="Arial" w:eastAsia="Arial" w:hAnsi="Arial"/>
                  <w:sz w:val="18"/>
                  <w:szCs w:val="18"/>
                  <w:color w:val="0000FF"/>
                  <w:w w:val="89"/>
                </w:rPr>
                <w:t>Agreement, dated as of November 24, 2017, by and</w:t>
              </w:r>
            </w:hyperlink>
          </w:p>
        </w:tc>
        <w:tc>
          <w:tcPr>
            <w:tcW w:w="780" w:type="dxa"/>
            <w:vAlign w:val="bottom"/>
            <w:gridSpan w:val="27"/>
          </w:tcPr>
          <w:p>
            <w:pPr>
              <w:jc w:val="center"/>
              <w:ind w:right="160"/>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among</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NN, Inc., certain NN, Inc. subsidiaries named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SunTrust Bank, as administrative agent, and certain</w:t>
              </w:r>
            </w:hyperlink>
          </w:p>
        </w:tc>
        <w:tc>
          <w:tcPr>
            <w:tcW w:w="640" w:type="dxa"/>
            <w:vAlign w:val="bottom"/>
            <w:gridSpan w:val="25"/>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lenders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named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Commitment Letter, dated as of April 2, 2018, by and among</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37"/>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NN, Inc., SunTrust Bank and SunTrust Robinson Humphrey,</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Inc.</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54">
              <w:r>
                <w:rPr>
                  <w:rFonts w:ascii="Arial" w:cs="Arial" w:eastAsia="Arial" w:hAnsi="Arial"/>
                  <w:sz w:val="18"/>
                  <w:szCs w:val="18"/>
                  <w:color w:val="0000FF"/>
                </w:rPr>
                <w:t>Amendment No. 4 to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Agreement, dated May 7, 2018, by and among NN,</w:t>
              </w:r>
            </w:hyperlink>
          </w:p>
        </w:tc>
        <w:tc>
          <w:tcPr>
            <w:tcW w:w="800" w:type="dxa"/>
            <w:vAlign w:val="bottom"/>
            <w:gridSpan w:val="28"/>
          </w:tcPr>
          <w:p>
            <w:pPr>
              <w:jc w:val="center"/>
              <w:ind w:right="180"/>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Inc.,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affiliated Guarantors party thereto, SunTrust Bank, SunTrust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34"/>
          </w:tcPr>
          <w:p>
            <w:pPr>
              <w:spacing w:after="0" w:line="156"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Robinson Humphrey, Inc. and the Lenders party thereto</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top w:val="single" w:sz="8" w:color="0000FF"/>
            </w:tcBorders>
            <w:gridSpan w:val="18"/>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Amendment No. 5 to Amended and Restated Credit</w:t>
              </w:r>
            </w:hyperlink>
          </w:p>
        </w:tc>
        <w:tc>
          <w:tcPr>
            <w:tcW w:w="52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3"/>
          </w:tcPr>
          <w:p>
            <w:pPr>
              <w:spacing w:after="0" w:line="156" w:lineRule="exact"/>
              <w:rPr>
                <w:rFonts w:ascii="Arial" w:cs="Arial" w:eastAsia="Arial" w:hAnsi="Arial"/>
                <w:sz w:val="18"/>
                <w:szCs w:val="18"/>
                <w:color w:val="0000FF"/>
                <w:w w:val="86"/>
              </w:rPr>
            </w:pPr>
            <w:hyperlink r:id="rId155">
              <w:r>
                <w:rPr>
                  <w:rFonts w:ascii="Arial" w:cs="Arial" w:eastAsia="Arial" w:hAnsi="Arial"/>
                  <w:sz w:val="18"/>
                  <w:szCs w:val="18"/>
                  <w:color w:val="0000FF"/>
                  <w:w w:val="86"/>
                </w:rPr>
                <w:t>Agreement, dated December 26, 2018, by and among</w:t>
              </w:r>
            </w:hyperlink>
          </w:p>
        </w:tc>
        <w:tc>
          <w:tcPr>
            <w:tcW w:w="780" w:type="dxa"/>
            <w:vAlign w:val="bottom"/>
            <w:gridSpan w:val="27"/>
          </w:tcPr>
          <w:p>
            <w:pPr>
              <w:jc w:val="center"/>
              <w:ind w:right="180"/>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NN,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25"/>
          </w:tcPr>
          <w:p>
            <w:pPr>
              <w:spacing w:after="0" w:line="156"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Inc., certain NN, Inc. subsidiaries named therein, SunTrust</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Bank, as administrative agent and certain lenders named</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155">
              <w:r>
                <w:rPr>
                  <w:rFonts w:ascii="Arial" w:cs="Arial" w:eastAsia="Arial" w:hAnsi="Arial"/>
                  <w:sz w:val="18"/>
                  <w:szCs w:val="18"/>
                  <w:color w:val="0000FF"/>
                  <w:w w:val="87"/>
                </w:rPr>
                <w:t>therein</w:t>
              </w:r>
            </w:hyperlink>
          </w:p>
        </w:tc>
        <w:tc>
          <w:tcPr>
            <w:tcW w:w="35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bottom w:val="single" w:sz="8" w:color="0000FF"/>
            </w:tcBorders>
            <w:gridSpan w:val="22"/>
          </w:tcPr>
          <w:p>
            <w:pPr>
              <w:spacing w:after="0"/>
              <w:rPr>
                <w:rFonts w:ascii="Arial" w:cs="Arial" w:eastAsia="Arial" w:hAnsi="Arial"/>
                <w:sz w:val="18"/>
                <w:szCs w:val="18"/>
                <w:color w:val="0000FF"/>
                <w:w w:val="89"/>
              </w:rPr>
            </w:pPr>
            <w:hyperlink r:id="rId156">
              <w:r>
                <w:rPr>
                  <w:rFonts w:ascii="Arial" w:cs="Arial" w:eastAsia="Arial" w:hAnsi="Arial"/>
                  <w:sz w:val="18"/>
                  <w:szCs w:val="18"/>
                  <w:color w:val="0000FF"/>
                  <w:w w:val="89"/>
                </w:rPr>
                <w:t>Cooperation Agreement dated February 25, 2019, by and</w:t>
              </w:r>
            </w:hyperlink>
          </w:p>
        </w:tc>
        <w:tc>
          <w:tcPr>
            <w:tcW w:w="40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among NN, Inc., Legion Partners Asset Management, LLC,</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and certain persons listed therein</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Borders>
              <w:bottom w:val="single" w:sz="8" w:color="0000FF"/>
            </w:tcBorders>
            <w:gridSpan w:val="13"/>
          </w:tcPr>
          <w:p>
            <w:pPr>
              <w:spacing w:after="0"/>
              <w:rPr>
                <w:rFonts w:ascii="Arial" w:cs="Arial" w:eastAsia="Arial" w:hAnsi="Arial"/>
                <w:sz w:val="18"/>
                <w:szCs w:val="18"/>
                <w:color w:val="0000FF"/>
                <w:w w:val="90"/>
              </w:rPr>
            </w:pPr>
            <w:hyperlink r:id="rId157">
              <w:r>
                <w:rPr>
                  <w:rFonts w:ascii="Arial" w:cs="Arial" w:eastAsia="Arial" w:hAnsi="Arial"/>
                  <w:sz w:val="18"/>
                  <w:szCs w:val="18"/>
                  <w:color w:val="0000FF"/>
                  <w:w w:val="90"/>
                </w:rPr>
                <w:t>Amendment No. 6 to Amended and Restated Credit</w:t>
              </w:r>
            </w:hyperlink>
          </w:p>
        </w:tc>
        <w:tc>
          <w:tcPr>
            <w:tcW w:w="780" w:type="dxa"/>
            <w:vAlign w:val="bottom"/>
            <w:gridSpan w:val="27"/>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5"/>
              </w:rPr>
            </w:pPr>
            <w:hyperlink r:id="rId157">
              <w:r>
                <w:rPr>
                  <w:rFonts w:ascii="Arial" w:cs="Arial" w:eastAsia="Arial" w:hAnsi="Arial"/>
                  <w:sz w:val="18"/>
                  <w:szCs w:val="18"/>
                  <w:color w:val="0000FF"/>
                  <w:w w:val="95"/>
                </w:rPr>
                <w:t>Agreement, dated March 15, 2019, by and among NN, Inc.,</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89"/>
              </w:rPr>
            </w:pPr>
            <w:hyperlink r:id="rId157">
              <w:r>
                <w:rPr>
                  <w:rFonts w:ascii="Arial" w:cs="Arial" w:eastAsia="Arial" w:hAnsi="Arial"/>
                  <w:sz w:val="18"/>
                  <w:szCs w:val="18"/>
                  <w:color w:val="0000FF"/>
                  <w:w w:val="89"/>
                </w:rPr>
                <w:t>certain NN, Inc. subsidiaries named therein, SunTrust Bank,</w:t>
              </w:r>
            </w:hyperlink>
          </w:p>
        </w:tc>
        <w:tc>
          <w:tcPr>
            <w:tcW w:w="80" w:type="dxa"/>
            <w:vAlign w:val="bottom"/>
            <w:tcBorders>
              <w:bottom w:val="single" w:sz="8" w:color="0000FF"/>
            </w:tcBorders>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gridSpan w:val="33"/>
          </w:tcPr>
          <w:p>
            <w:pPr>
              <w:spacing w:after="0" w:line="156"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as administrative agent and certain lenders named therein</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NN, Inc. 2019 Omnibus Incentive Plan.</w:t>
              </w:r>
            </w:hyperlink>
          </w:p>
        </w:tc>
        <w:tc>
          <w:tcPr>
            <w:tcW w:w="1260" w:type="dxa"/>
            <w:vAlign w:val="bottom"/>
            <w:tcBorders>
              <w:top w:val="single" w:sz="8" w:color="0000FF"/>
            </w:tcBorders>
            <w:gridSpan w:val="12"/>
          </w:tcPr>
          <w:p>
            <w:pPr>
              <w:spacing w:after="0"/>
              <w:rPr>
                <w:sz w:val="18"/>
                <w:szCs w:val="18"/>
                <w:color w:val="auto"/>
              </w:rPr>
            </w:pPr>
          </w:p>
        </w:tc>
        <w:tc>
          <w:tcPr>
            <w:tcW w:w="40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59">
              <w:r>
                <w:rPr>
                  <w:rFonts w:ascii="Arial" w:cs="Arial" w:eastAsia="Arial" w:hAnsi="Arial"/>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between NN, Inc. and D. Gail Nixon.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Amendment No. 7 to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8"/>
              </w:rPr>
            </w:pPr>
            <w:hyperlink r:id="rId160">
              <w:r>
                <w:rPr>
                  <w:rFonts w:ascii="Arial" w:cs="Arial" w:eastAsia="Arial" w:hAnsi="Arial"/>
                  <w:sz w:val="18"/>
                  <w:szCs w:val="18"/>
                  <w:color w:val="0000FF"/>
                  <w:w w:val="88"/>
                </w:rPr>
                <w:t>Agreement, dated June 11, 2019, by and among NN,</w:t>
              </w:r>
            </w:hyperlink>
          </w:p>
        </w:tc>
        <w:tc>
          <w:tcPr>
            <w:tcW w:w="400" w:type="dxa"/>
            <w:vAlign w:val="bottom"/>
            <w:tcBorders>
              <w:bottom w:val="single" w:sz="8" w:color="0000FF"/>
            </w:tcBorders>
            <w:gridSpan w:val="10"/>
          </w:tcPr>
          <w:p>
            <w:pPr>
              <w:ind w:left="80"/>
              <w:spacing w:after="0" w:line="156" w:lineRule="exact"/>
              <w:rPr>
                <w:rFonts w:ascii="Arial" w:cs="Arial" w:eastAsia="Arial" w:hAnsi="Arial"/>
                <w:sz w:val="18"/>
                <w:szCs w:val="18"/>
                <w:color w:val="0000FF"/>
                <w:w w:val="88"/>
              </w:rPr>
            </w:pPr>
            <w:hyperlink r:id="rId160">
              <w:r>
                <w:rPr>
                  <w:rFonts w:ascii="Arial" w:cs="Arial" w:eastAsia="Arial" w:hAnsi="Arial"/>
                  <w:sz w:val="18"/>
                  <w:szCs w:val="18"/>
                  <w:color w:val="0000FF"/>
                  <w:w w:val="88"/>
                </w:rPr>
                <w:t>Inc.,</w:t>
              </w:r>
            </w:hyperlink>
          </w:p>
        </w:tc>
        <w:tc>
          <w:tcPr>
            <w:tcW w:w="3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certain NN, Inc. subsidiaries named therein, SunTrust Bank,</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60">
              <w:r>
                <w:rPr>
                  <w:rFonts w:ascii="Arial" w:cs="Arial" w:eastAsia="Arial" w:hAnsi="Arial"/>
                  <w:sz w:val="18"/>
                  <w:szCs w:val="18"/>
                  <w:color w:val="0000FF"/>
                  <w:w w:val="94"/>
                </w:rPr>
                <w:t>as administrative agent and certain lenders named therein</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340" w:type="dxa"/>
            <w:vAlign w:val="bottom"/>
            <w:gridSpan w:val="18"/>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Arial" w:cs="Arial" w:eastAsia="Arial" w:hAnsi="Arial"/>
                <w:sz w:val="18"/>
                <w:szCs w:val="18"/>
                <w:color w:val="0000FF"/>
                <w:w w:val="96"/>
              </w:rPr>
            </w:pPr>
            <w:hyperlink r:id="rId161">
              <w:r>
                <w:rPr>
                  <w:rFonts w:ascii="Arial" w:cs="Arial" w:eastAsia="Arial" w:hAnsi="Arial"/>
                  <w:sz w:val="18"/>
                  <w:szCs w:val="18"/>
                  <w:color w:val="0000FF"/>
                  <w:w w:val="96"/>
                </w:rPr>
                <w:t>Form of Incentive Stock Option Agreement under the 2019</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Omnibus Incentive Plan.</w:t>
              </w:r>
            </w:hyperlink>
          </w:p>
        </w:tc>
        <w:tc>
          <w:tcPr>
            <w:tcW w:w="2480" w:type="dxa"/>
            <w:vAlign w:val="bottom"/>
            <w:tcBorders>
              <w:top w:val="single" w:sz="8" w:color="0000FF"/>
            </w:tcBorders>
            <w:gridSpan w:val="23"/>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40" w:type="dxa"/>
            <w:vAlign w:val="bottom"/>
            <w:gridSpan w:val="41"/>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4290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 File No.</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Pr>
          <w:p>
            <w:pPr>
              <w:spacing w:after="0"/>
              <w:rPr>
                <w:sz w:val="19"/>
                <w:szCs w:val="19"/>
                <w:color w:val="auto"/>
              </w:rPr>
            </w:pPr>
          </w:p>
        </w:tc>
        <w:tc>
          <w:tcPr>
            <w:tcW w:w="11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March 16, 2017</w:t>
            </w:r>
          </w:p>
        </w:tc>
      </w:tr>
      <w:tr>
        <w:trPr>
          <w:trHeight w:val="40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4, 2017</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4, 2017</w:t>
            </w:r>
          </w:p>
        </w:tc>
      </w:tr>
      <w:tr>
        <w:trPr>
          <w:trHeight w:val="9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18, 2017</w:t>
            </w:r>
          </w:p>
        </w:tc>
      </w:tr>
      <w:tr>
        <w:trPr>
          <w:trHeight w:val="1283"/>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November 24, 2017</w:t>
            </w:r>
          </w:p>
        </w:tc>
      </w:tr>
      <w:tr>
        <w:trPr>
          <w:trHeight w:val="9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3, 2018</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May 7, 2018</w:t>
            </w:r>
          </w:p>
        </w:tc>
      </w:tr>
      <w:tr>
        <w:trPr>
          <w:trHeight w:val="75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26, 2018</w:t>
            </w:r>
          </w:p>
        </w:tc>
      </w:tr>
      <w:tr>
        <w:trPr>
          <w:trHeight w:val="931"/>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2019</w:t>
            </w:r>
          </w:p>
        </w:tc>
      </w:tr>
      <w:tr>
        <w:trPr>
          <w:trHeight w:val="75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DEF14A</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Appendix C</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April 8, 2019</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10, 2019</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June 12, 2019</w:t>
            </w:r>
          </w:p>
        </w:tc>
      </w:tr>
      <w:tr>
        <w:trPr>
          <w:trHeight w:val="75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bl>
    <w:p>
      <w:pPr>
        <w:sectPr>
          <w:pgSz w:w="11900" w:h="16838" w:orient="portrait"/>
          <w:cols w:equalWidth="0" w:num="2">
            <w:col w:w="5740" w:space="100"/>
            <w:col w:w="5400"/>
          </w:cols>
          <w:pgMar w:left="320" w:top="233"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36"/>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600" w:type="dxa"/>
            <w:vAlign w:val="bottom"/>
            <w:tcBorders>
              <w:top w:val="single" w:sz="8" w:color="auto"/>
            </w:tcBorders>
            <w:gridSpan w:val="41"/>
          </w:tcPr>
          <w:p>
            <w:pPr>
              <w:spacing w:after="0" w:line="184" w:lineRule="exact"/>
              <w:rPr>
                <w:rFonts w:ascii="Arial" w:cs="Arial" w:eastAsia="Arial" w:hAnsi="Arial"/>
                <w:sz w:val="18"/>
                <w:szCs w:val="18"/>
                <w:color w:val="0000FF"/>
              </w:rPr>
            </w:pPr>
            <w:hyperlink r:id="rId164">
              <w:r>
                <w:rPr>
                  <w:rFonts w:ascii="Arial" w:cs="Arial" w:eastAsia="Arial" w:hAnsi="Arial"/>
                  <w:sz w:val="18"/>
                  <w:szCs w:val="18"/>
                  <w:color w:val="0000FF"/>
                </w:rPr>
                <w:t>Form of Nonqualified Stock Option Agreement under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6"/>
              </w:rPr>
            </w:pPr>
            <w:hyperlink r:id="rId165">
              <w:r>
                <w:rPr>
                  <w:rFonts w:ascii="Arial" w:cs="Arial" w:eastAsia="Arial" w:hAnsi="Arial"/>
                  <w:sz w:val="18"/>
                  <w:szCs w:val="18"/>
                  <w:color w:val="0000FF"/>
                  <w:w w:val="96"/>
                </w:rPr>
                <w:t>Form of Restricted Share Award Agreement under the 2019</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Omnibus Incentive Plan.</w:t>
              </w:r>
            </w:hyperlink>
          </w:p>
        </w:tc>
        <w:tc>
          <w:tcPr>
            <w:tcW w:w="25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Form of Performance Share Unit Award Agreement under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4"/>
              </w:rPr>
            </w:pPr>
            <w:hyperlink r:id="rId167">
              <w:r>
                <w:rPr>
                  <w:rFonts w:ascii="Arial" w:cs="Arial" w:eastAsia="Arial" w:hAnsi="Arial"/>
                  <w:sz w:val="18"/>
                  <w:szCs w:val="18"/>
                  <w:color w:val="0000FF"/>
                  <w:w w:val="94"/>
                </w:rPr>
                <w:t>Letter of Understanding and Relocation Agreement, effective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5"/>
          </w:tcPr>
          <w:p>
            <w:pPr>
              <w:spacing w:after="0" w:line="15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as of August 23, 2019, by and between NN, Inc. and Thomas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DeByle.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rPr>
            </w:pPr>
            <w:hyperlink r:id="rId168">
              <w:r>
                <w:rPr>
                  <w:rFonts w:ascii="Arial" w:cs="Arial" w:eastAsia="Arial" w:hAnsi="Arial"/>
                  <w:sz w:val="18"/>
                  <w:szCs w:val="18"/>
                  <w:color w:val="0000FF"/>
                </w:rPr>
                <w:t>Form of Separation Agreement.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rPr>
            </w:pPr>
            <w:hyperlink r:id="rId169">
              <w:r>
                <w:rPr>
                  <w:rFonts w:ascii="Arial" w:cs="Arial" w:eastAsia="Arial" w:hAnsi="Arial"/>
                  <w:sz w:val="18"/>
                  <w:szCs w:val="18"/>
                  <w:color w:val="0000FF"/>
                </w:rPr>
                <w:t>Amendment No. 1 to Executive Employment Agreement,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6" w:lineRule="exact"/>
              <w:rPr>
                <w:rFonts w:ascii="Arial" w:cs="Arial" w:eastAsia="Arial" w:hAnsi="Arial"/>
                <w:sz w:val="18"/>
                <w:szCs w:val="18"/>
                <w:color w:val="0000FF"/>
                <w:w w:val="89"/>
              </w:rPr>
            </w:pPr>
            <w:hyperlink r:id="rId169">
              <w:r>
                <w:rPr>
                  <w:rFonts w:ascii="Arial" w:cs="Arial" w:eastAsia="Arial" w:hAnsi="Arial"/>
                  <w:sz w:val="18"/>
                  <w:szCs w:val="18"/>
                  <w:color w:val="0000FF"/>
                  <w:w w:val="89"/>
                </w:rPr>
                <w:t>dated as of September 20, 2019, by and between NN,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19"/>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Warren A. Veltman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3"/>
              </w:rPr>
            </w:pPr>
            <w:hyperlink r:id="rId170">
              <w:r>
                <w:rPr>
                  <w:rFonts w:ascii="Arial" w:cs="Arial" w:eastAsia="Arial" w:hAnsi="Arial"/>
                  <w:sz w:val="18"/>
                  <w:szCs w:val="18"/>
                  <w:color w:val="0000FF"/>
                  <w:w w:val="93"/>
                </w:rPr>
                <w:t>Securities Purchase Agreement, dated December 5, 2019, by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and among NN, Inc. and the Investors.</w:t>
              </w:r>
            </w:hyperlink>
          </w:p>
        </w:tc>
        <w:tc>
          <w:tcPr>
            <w:tcW w:w="16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Registration Rights Agreement, dated as of December 11,</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171">
              <w:r>
                <w:rPr>
                  <w:rFonts w:ascii="Arial" w:cs="Arial" w:eastAsia="Arial" w:hAnsi="Arial"/>
                  <w:sz w:val="18"/>
                  <w:szCs w:val="18"/>
                  <w:color w:val="0000FF"/>
                  <w:w w:val="89"/>
                </w:rPr>
                <w:t>2019, by and among NN, Inc. and the Investors.</w:t>
              </w:r>
            </w:hyperlink>
          </w:p>
        </w:tc>
        <w:tc>
          <w:tcPr>
            <w:tcW w:w="7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Amendment No. 8 to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4"/>
          </w:tcPr>
          <w:p>
            <w:pPr>
              <w:spacing w:after="0" w:line="156" w:lineRule="exact"/>
              <w:rPr>
                <w:rFonts w:ascii="Arial" w:cs="Arial" w:eastAsia="Arial" w:hAnsi="Arial"/>
                <w:sz w:val="18"/>
                <w:szCs w:val="18"/>
                <w:color w:val="0000FF"/>
                <w:w w:val="85"/>
              </w:rPr>
            </w:pPr>
            <w:hyperlink r:id="rId172">
              <w:r>
                <w:rPr>
                  <w:rFonts w:ascii="Arial" w:cs="Arial" w:eastAsia="Arial" w:hAnsi="Arial"/>
                  <w:sz w:val="18"/>
                  <w:szCs w:val="18"/>
                  <w:color w:val="0000FF"/>
                  <w:w w:val="85"/>
                </w:rPr>
                <w:t>Agreement, dated December 19, 2019, by and among</w:t>
              </w:r>
            </w:hyperlink>
          </w:p>
        </w:tc>
        <w:tc>
          <w:tcPr>
            <w:tcW w:w="880" w:type="dxa"/>
            <w:vAlign w:val="bottom"/>
            <w:gridSpan w:val="27"/>
          </w:tcPr>
          <w:p>
            <w:pPr>
              <w:ind w:left="160"/>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NN,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Inc., certain NN, Inc. subsidiaries named therein, SunTrust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24"/>
          </w:tcPr>
          <w:p>
            <w:pPr>
              <w:spacing w:after="0" w:line="156"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Bank, as administrative agent and certain lenders named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72">
              <w:r>
                <w:rPr>
                  <w:rFonts w:ascii="Arial" w:cs="Arial" w:eastAsia="Arial" w:hAnsi="Arial"/>
                  <w:sz w:val="18"/>
                  <w:szCs w:val="18"/>
                  <w:color w:val="0000FF"/>
                  <w:w w:val="87"/>
                </w:rPr>
                <w:t>therein</w:t>
              </w:r>
            </w:hyperlink>
          </w:p>
        </w:tc>
        <w:tc>
          <w:tcPr>
            <w:tcW w:w="3560" w:type="dxa"/>
            <w:vAlign w:val="bottom"/>
            <w:tcBorders>
              <w:top w:val="single" w:sz="8" w:color="0000FF"/>
            </w:tcBorders>
            <w:gridSpan w:val="16"/>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Borders>
              <w:bottom w:val="single" w:sz="8" w:color="0000FF"/>
            </w:tcBorders>
            <w:gridSpan w:val="19"/>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Amendment No. 2 to Executive Employment Agreement,</w:t>
              </w:r>
            </w:hyperlink>
          </w:p>
        </w:tc>
        <w:tc>
          <w:tcPr>
            <w:tcW w:w="4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gridSpan w:val="41"/>
          </w:tcPr>
          <w:p>
            <w:pPr>
              <w:spacing w:after="0" w:line="156" w:lineRule="exact"/>
              <w:rPr>
                <w:rFonts w:ascii="Arial" w:cs="Arial" w:eastAsia="Arial" w:hAnsi="Arial"/>
                <w:sz w:val="18"/>
                <w:szCs w:val="18"/>
                <w:color w:val="0000FF"/>
                <w:w w:val="94"/>
              </w:rPr>
            </w:pPr>
            <w:hyperlink r:id="rId173">
              <w:r>
                <w:rPr>
                  <w:rFonts w:ascii="Arial" w:cs="Arial" w:eastAsia="Arial" w:hAnsi="Arial"/>
                  <w:sz w:val="18"/>
                  <w:szCs w:val="18"/>
                  <w:color w:val="0000FF"/>
                  <w:w w:val="94"/>
                </w:rPr>
                <w:t>dated as of February 17, 2020, by and between NN, Inc. and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Warren A. Veltman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8"/>
              </w:rPr>
            </w:pPr>
            <w:hyperlink r:id="rId174">
              <w:r>
                <w:rPr>
                  <w:rFonts w:ascii="Arial" w:cs="Arial" w:eastAsia="Arial" w:hAnsi="Arial"/>
                  <w:sz w:val="18"/>
                  <w:szCs w:val="18"/>
                  <w:color w:val="0000FF"/>
                  <w:w w:val="98"/>
                </w:rPr>
                <w:t>Executive Employment Agreement dated October 3, 2014,</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between the Company and John R. Buchan</w:t>
              </w:r>
            </w:hyperlink>
          </w:p>
        </w:tc>
        <w:tc>
          <w:tcPr>
            <w:tcW w:w="11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5"/>
              </w:rPr>
            </w:pPr>
            <w:hyperlink r:id="rId175">
              <w:r>
                <w:rPr>
                  <w:rFonts w:ascii="Arial" w:cs="Arial" w:eastAsia="Arial" w:hAnsi="Arial"/>
                  <w:sz w:val="18"/>
                  <w:szCs w:val="18"/>
                  <w:color w:val="0000FF"/>
                  <w:w w:val="95"/>
                </w:rPr>
                <w:t>Amendment No. 1 to Second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Agreement, dated as of July 29, 2020, by and among NN,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75">
              <w:r>
                <w:rPr>
                  <w:rFonts w:ascii="Arial" w:cs="Arial" w:eastAsia="Arial" w:hAnsi="Arial"/>
                  <w:sz w:val="18"/>
                  <w:szCs w:val="18"/>
                  <w:color w:val="0000FF"/>
                  <w:w w:val="94"/>
                </w:rPr>
                <w:t>Inc., certain NN, Inc. subsidiaries named therein, Truist</w:t>
              </w:r>
            </w:hyperlink>
          </w:p>
        </w:tc>
        <w:tc>
          <w:tcPr>
            <w:tcW w:w="420" w:type="dxa"/>
            <w:vAlign w:val="bottom"/>
            <w:gridSpan w:val="21"/>
          </w:tcPr>
          <w:p>
            <w:pPr>
              <w:spacing w:after="0" w:line="156" w:lineRule="exact"/>
              <w:rPr>
                <w:rFonts w:ascii="Arial" w:cs="Arial" w:eastAsia="Arial" w:hAnsi="Arial"/>
                <w:sz w:val="18"/>
                <w:szCs w:val="18"/>
                <w:color w:val="0000FF"/>
                <w:w w:val="86"/>
              </w:rPr>
            </w:pPr>
            <w:hyperlink r:id="rId175">
              <w:r>
                <w:rPr>
                  <w:rFonts w:ascii="Arial" w:cs="Arial" w:eastAsia="Arial" w:hAnsi="Arial"/>
                  <w:sz w:val="18"/>
                  <w:szCs w:val="18"/>
                  <w:color w:val="0000FF"/>
                  <w:w w:val="86"/>
                </w:rPr>
                <w:t>Bank,</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39"/>
          </w:tcPr>
          <w:p>
            <w:pPr>
              <w:spacing w:after="0" w:line="156" w:lineRule="exact"/>
              <w:rPr>
                <w:rFonts w:ascii="Arial" w:cs="Arial" w:eastAsia="Arial" w:hAnsi="Arial"/>
                <w:sz w:val="18"/>
                <w:szCs w:val="18"/>
                <w:color w:val="0000FF"/>
                <w:w w:val="94"/>
              </w:rPr>
            </w:pPr>
            <w:hyperlink r:id="rId175">
              <w:r>
                <w:rPr>
                  <w:rFonts w:ascii="Arial" w:cs="Arial" w:eastAsia="Arial" w:hAnsi="Arial"/>
                  <w:sz w:val="18"/>
                  <w:szCs w:val="18"/>
                  <w:color w:val="0000FF"/>
                  <w:w w:val="94"/>
                </w:rPr>
                <w:t>JPMorgan Chase Bank, N.A., KeyBank National Association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and HomeTrust Bank</w:t>
              </w:r>
            </w:hyperlink>
          </w:p>
        </w:tc>
        <w:tc>
          <w:tcPr>
            <w:tcW w:w="292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5"/>
              </w:rPr>
            </w:pPr>
            <w:hyperlink r:id="rId176">
              <w:r>
                <w:rPr>
                  <w:rFonts w:ascii="Arial" w:cs="Arial" w:eastAsia="Arial" w:hAnsi="Arial"/>
                  <w:sz w:val="18"/>
                  <w:szCs w:val="18"/>
                  <w:color w:val="0000FF"/>
                  <w:w w:val="95"/>
                </w:rPr>
                <w:t>Amendment No. 2 to Second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Agreement, dated as of August 22, 2020, by and among NN,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31"/>
          </w:tcPr>
          <w:p>
            <w:pPr>
              <w:spacing w:after="0" w:line="156"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Inc., certain NN, Inc. subsidiaries named therein, Truist Bank,</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39"/>
          </w:tcPr>
          <w:p>
            <w:pPr>
              <w:spacing w:after="0" w:line="156"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JPMorgan Chase Bank, N.A., KeyBank National Association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and HomeTrust Bank</w:t>
              </w:r>
            </w:hyperlink>
          </w:p>
        </w:tc>
        <w:tc>
          <w:tcPr>
            <w:tcW w:w="292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0000FF"/>
            </w:tcBorders>
            <w:gridSpan w:val="9"/>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Form of Retention Bonus Agreement</w:t>
              </w:r>
            </w:hyperlink>
          </w:p>
        </w:tc>
        <w:tc>
          <w:tcPr>
            <w:tcW w:w="1920" w:type="dxa"/>
            <w:vAlign w:val="bottom"/>
            <w:gridSpan w:val="3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Securities Purchase Agreement, dated March 22, 2021,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between NN, Inc. and the NGTV Nevada Holdings LP</w:t>
              </w:r>
            </w:hyperlink>
          </w:p>
        </w:tc>
        <w:tc>
          <w:tcPr>
            <w:tcW w:w="6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Board Observer Agreement, dated March 22, 2021,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between NN, Inc. and the NHTV Nevada Holdings LP</w:t>
              </w:r>
            </w:hyperlink>
          </w:p>
        </w:tc>
        <w:tc>
          <w:tcPr>
            <w:tcW w:w="340" w:type="dxa"/>
            <w:vAlign w:val="bottom"/>
            <w:tcBorders>
              <w:top w:val="single" w:sz="8" w:color="0000FF"/>
            </w:tcBorders>
            <w:gridSpan w:val="9"/>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4"/>
              </w:rPr>
            </w:pPr>
            <w:hyperlink r:id="rId180">
              <w:r>
                <w:rPr>
                  <w:rFonts w:ascii="Arial" w:cs="Arial" w:eastAsia="Arial" w:hAnsi="Arial"/>
                  <w:sz w:val="18"/>
                  <w:szCs w:val="18"/>
                  <w:color w:val="0000FF"/>
                  <w:w w:val="94"/>
                </w:rPr>
                <w:t>Term Loan Credit Agreement, dated March 22, 2021,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among NN, Inc., as borrower, and Oaktree Fund</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13"/>
          </w:tcPr>
          <w:p>
            <w:pPr>
              <w:spacing w:after="0" w:line="156" w:lineRule="exact"/>
              <w:rPr>
                <w:rFonts w:ascii="Arial" w:cs="Arial" w:eastAsia="Arial" w:hAnsi="Arial"/>
                <w:sz w:val="18"/>
                <w:szCs w:val="18"/>
                <w:color w:val="0000FF"/>
                <w:w w:val="97"/>
              </w:rPr>
            </w:pPr>
            <w:hyperlink r:id="rId180">
              <w:r>
                <w:rPr>
                  <w:rFonts w:ascii="Arial" w:cs="Arial" w:eastAsia="Arial" w:hAnsi="Arial"/>
                  <w:sz w:val="18"/>
                  <w:szCs w:val="18"/>
                  <w:color w:val="0000FF"/>
                  <w:w w:val="97"/>
                </w:rPr>
                <w:t>Administration, LLC, as administrative agent</w:t>
              </w:r>
            </w:hyperlink>
          </w:p>
        </w:tc>
        <w:tc>
          <w:tcPr>
            <w:tcW w:w="460" w:type="dxa"/>
            <w:vAlign w:val="bottom"/>
            <w:gridSpan w:val="2"/>
          </w:tcPr>
          <w:p>
            <w:pPr>
              <w:spacing w:after="0"/>
              <w:rPr>
                <w:sz w:val="13"/>
                <w:szCs w:val="13"/>
                <w:color w:val="auto"/>
              </w:rPr>
            </w:pPr>
          </w:p>
        </w:tc>
        <w:tc>
          <w:tcPr>
            <w:tcW w:w="580" w:type="dxa"/>
            <w:vAlign w:val="bottom"/>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80" w:type="dxa"/>
            <w:vAlign w:val="bottom"/>
            <w:gridSpan w:val="2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41"/>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Credit Agreement, dated March 22, 2021, by and among NN,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Inc., as borrower, and JPMorgan Chase Bank, N.A., as</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administrative agent</w:t>
              </w:r>
            </w:hyperlink>
          </w:p>
        </w:tc>
        <w:tc>
          <w:tcPr>
            <w:tcW w:w="2460" w:type="dxa"/>
            <w:vAlign w:val="bottom"/>
            <w:tcBorders>
              <w:top w:val="single" w:sz="8" w:color="0000FF"/>
            </w:tcBorders>
            <w:gridSpan w:val="11"/>
          </w:tcPr>
          <w:p>
            <w:pPr>
              <w:spacing w:after="0"/>
              <w:rPr>
                <w:sz w:val="13"/>
                <w:szCs w:val="13"/>
                <w:color w:val="auto"/>
              </w:rPr>
            </w:pPr>
          </w:p>
        </w:tc>
        <w:tc>
          <w:tcPr>
            <w:tcW w:w="68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4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4290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 File No.</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30"/>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100" w:type="dxa"/>
            <w:vAlign w:val="bottom"/>
          </w:tcPr>
          <w:p>
            <w:pPr>
              <w:spacing w:after="0"/>
              <w:rPr>
                <w:sz w:val="19"/>
                <w:szCs w:val="19"/>
                <w:color w:val="auto"/>
              </w:rPr>
            </w:pPr>
          </w:p>
        </w:tc>
        <w:tc>
          <w:tcPr>
            <w:tcW w:w="11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August 9, 2019</w:t>
            </w:r>
          </w:p>
        </w:tc>
      </w:tr>
      <w:tr>
        <w:trPr>
          <w:trHeight w:val="40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August 9, 2019</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27, 2019</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24, 2019</w:t>
            </w:r>
          </w:p>
        </w:tc>
      </w:tr>
      <w:tr>
        <w:trPr>
          <w:trHeight w:val="581"/>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11, 2019</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11, 2019</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December 19, 2019</w:t>
            </w:r>
          </w:p>
        </w:tc>
      </w:tr>
      <w:tr>
        <w:trPr>
          <w:trHeight w:val="9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May 11, 2020</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31, 2020</w:t>
            </w:r>
          </w:p>
        </w:tc>
      </w:tr>
      <w:tr>
        <w:trPr>
          <w:trHeight w:val="93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24, 2020</w:t>
            </w:r>
          </w:p>
        </w:tc>
      </w:tr>
      <w:tr>
        <w:trPr>
          <w:trHeight w:val="931"/>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October 19, 2020</w:t>
            </w:r>
          </w:p>
        </w:tc>
      </w:tr>
      <w:tr>
        <w:trPr>
          <w:trHeight w:val="23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22, 2021</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22, 2021</w:t>
            </w:r>
          </w:p>
        </w:tc>
      </w:tr>
      <w:tr>
        <w:trPr>
          <w:trHeight w:val="40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22, 2021</w:t>
            </w:r>
          </w:p>
        </w:tc>
      </w:tr>
      <w:tr>
        <w:trPr>
          <w:trHeight w:val="58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22, 2021</w:t>
            </w:r>
          </w:p>
        </w:tc>
      </w:tr>
    </w:tbl>
    <w:p>
      <w:pPr>
        <w:sectPr>
          <w:pgSz w:w="11900" w:h="16838" w:orient="portrait"/>
          <w:cols w:equalWidth="0" w:num="2">
            <w:col w:w="5740" w:space="100"/>
            <w:col w:w="5400"/>
          </w:cols>
          <w:pgMar w:left="320" w:top="233"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Incorporation by Reference</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00" w:type="dxa"/>
            <w:vAlign w:val="bottom"/>
            <w:gridSpan w:val="2"/>
          </w:tcPr>
          <w:p>
            <w:pPr>
              <w:ind w:left="320"/>
              <w:spacing w:after="0" w:line="122"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80" w:type="dxa"/>
            <w:vAlign w:val="bottom"/>
            <w:gridSpan w:val="21"/>
            <w:vMerge w:val="restart"/>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14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16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88"/>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80" w:type="dxa"/>
            <w:vAlign w:val="bottom"/>
            <w:gridSpan w:val="21"/>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0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10.46</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21"/>
          </w:tcPr>
          <w:p>
            <w:pPr>
              <w:spacing w:after="0" w:line="184" w:lineRule="exact"/>
              <w:rPr>
                <w:rFonts w:ascii="Arial" w:cs="Arial" w:eastAsia="Arial" w:hAnsi="Arial"/>
                <w:sz w:val="18"/>
                <w:szCs w:val="18"/>
                <w:color w:val="0000FF"/>
                <w:w w:val="97"/>
              </w:rPr>
            </w:pPr>
            <w:hyperlink r:id="rId184">
              <w:r>
                <w:rPr>
                  <w:rFonts w:ascii="Arial" w:cs="Arial" w:eastAsia="Arial" w:hAnsi="Arial"/>
                  <w:sz w:val="18"/>
                  <w:szCs w:val="18"/>
                  <w:color w:val="0000FF"/>
                  <w:w w:val="97"/>
                </w:rPr>
                <w:t>Cooperation Agreement, dated May 13, 2021, among NN,</w:t>
              </w:r>
            </w:hyperlink>
          </w:p>
        </w:tc>
        <w:tc>
          <w:tcPr>
            <w:tcW w:w="120" w:type="dxa"/>
            <w:vAlign w:val="bottom"/>
          </w:tcPr>
          <w:p>
            <w:pPr>
              <w:spacing w:after="0"/>
              <w:rPr>
                <w:sz w:val="15"/>
                <w:szCs w:val="15"/>
                <w:color w:val="auto"/>
              </w:rPr>
            </w:pPr>
          </w:p>
        </w:tc>
        <w:tc>
          <w:tcPr>
            <w:tcW w:w="9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ind w:left="200"/>
              <w:spacing w:after="0" w:line="184" w:lineRule="exact"/>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114"/>
              <w:spacing w:after="0" w:line="184" w:lineRule="exact"/>
              <w:rPr>
                <w:sz w:val="20"/>
                <w:szCs w:val="20"/>
                <w:color w:val="auto"/>
              </w:rPr>
            </w:pPr>
            <w:r>
              <w:rPr>
                <w:rFonts w:ascii="Arial" w:cs="Arial" w:eastAsia="Arial" w:hAnsi="Arial"/>
                <w:sz w:val="18"/>
                <w:szCs w:val="18"/>
                <w:color w:val="auto"/>
                <w:w w:val="93"/>
              </w:rPr>
              <w:t>May 14, 2021</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Inc., Corre Partners Management, LLC, and each of the</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84">
              <w:r>
                <w:rPr>
                  <w:rFonts w:ascii="Arial" w:cs="Arial" w:eastAsia="Arial" w:hAnsi="Arial"/>
                  <w:sz w:val="18"/>
                  <w:szCs w:val="18"/>
                  <w:color w:val="0000FF"/>
                  <w:w w:val="88"/>
                </w:rPr>
                <w:t>persons listed on the signature page thereto</w:t>
              </w:r>
            </w:hyperlink>
          </w:p>
        </w:tc>
        <w:tc>
          <w:tcPr>
            <w:tcW w:w="90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4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Separation Agreement and General Release, dated June 14,</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4"/>
              <w:spacing w:after="0"/>
              <w:rPr>
                <w:sz w:val="20"/>
                <w:szCs w:val="20"/>
                <w:color w:val="auto"/>
              </w:rPr>
            </w:pPr>
            <w:r>
              <w:rPr>
                <w:rFonts w:ascii="Arial" w:cs="Arial" w:eastAsia="Arial" w:hAnsi="Arial"/>
                <w:sz w:val="18"/>
                <w:szCs w:val="18"/>
                <w:color w:val="auto"/>
                <w:w w:val="89"/>
              </w:rPr>
              <w:t>June 15, 2021</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2021, by and between NN, Inc. and Thomas D. DeByle</w:t>
              </w:r>
            </w:hyperlink>
          </w:p>
        </w:tc>
        <w:tc>
          <w:tcPr>
            <w:tcW w:w="26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w w:val="95"/>
              </w:rPr>
            </w:pPr>
            <w:hyperlink r:id="rId186">
              <w:r>
                <w:rPr>
                  <w:rFonts w:ascii="Arial" w:cs="Arial" w:eastAsia="Arial" w:hAnsi="Arial"/>
                  <w:sz w:val="18"/>
                  <w:szCs w:val="18"/>
                  <w:color w:val="0000FF"/>
                  <w:w w:val="95"/>
                </w:rPr>
                <w:t>Separation Agreement by and between NN, Inc. and Michael</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4"/>
              <w:spacing w:after="0"/>
              <w:rPr>
                <w:sz w:val="20"/>
                <w:szCs w:val="20"/>
                <w:color w:val="auto"/>
              </w:rPr>
            </w:pPr>
            <w:r>
              <w:rPr>
                <w:rFonts w:ascii="Arial" w:cs="Arial" w:eastAsia="Arial" w:hAnsi="Arial"/>
                <w:sz w:val="18"/>
                <w:szCs w:val="18"/>
                <w:color w:val="auto"/>
                <w:w w:val="89"/>
              </w:rPr>
              <w:t>June 15, 2021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86">
              <w:r>
                <w:rPr>
                  <w:rFonts w:ascii="Arial" w:cs="Arial" w:eastAsia="Arial" w:hAnsi="Arial"/>
                  <w:sz w:val="18"/>
                  <w:szCs w:val="18"/>
                  <w:color w:val="0000FF"/>
                  <w:w w:val="89"/>
                </w:rPr>
                <w:t>C. Felcher</w:t>
              </w:r>
            </w:hyperlink>
          </w:p>
        </w:tc>
        <w:tc>
          <w:tcPr>
            <w:tcW w:w="3640" w:type="dxa"/>
            <w:vAlign w:val="bottom"/>
            <w:tcBorders>
              <w:top w:val="single" w:sz="8" w:color="0000FF"/>
            </w:tcBorders>
            <w:gridSpan w:val="19"/>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Amendment No. 1 to Term Loan Credit Agreement, dated as</w:t>
              </w:r>
            </w:hyperlink>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ind w:left="200"/>
              <w:spacing w:after="0"/>
              <w:rPr>
                <w:sz w:val="20"/>
                <w:szCs w:val="20"/>
                <w:color w:val="auto"/>
              </w:rPr>
            </w:pPr>
            <w:r>
              <w:rPr>
                <w:rFonts w:ascii="Arial" w:cs="Arial" w:eastAsia="Arial" w:hAnsi="Arial"/>
                <w:sz w:val="18"/>
                <w:szCs w:val="18"/>
                <w:color w:val="auto"/>
              </w:rPr>
              <w:t>000-39268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4"/>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of March 3, 2022, by and among NN, Inc., certain</w:t>
              </w:r>
            </w:hyperlink>
          </w:p>
        </w:tc>
        <w:tc>
          <w:tcPr>
            <w:tcW w:w="2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subsidiaries of NN, Inc., the lenders party thereto,</w:t>
              </w:r>
            </w:hyperlink>
          </w:p>
        </w:tc>
        <w:tc>
          <w:tcPr>
            <w:tcW w:w="1020" w:type="dxa"/>
            <w:vAlign w:val="bottom"/>
            <w:gridSpan w:val="14"/>
          </w:tcPr>
          <w:p>
            <w:pPr>
              <w:ind w:left="20"/>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and</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Oaktree Fund Administration, LLC, as administrative</w:t>
              </w:r>
            </w:hyperlink>
          </w:p>
        </w:tc>
        <w:tc>
          <w:tcPr>
            <w:tcW w:w="740" w:type="dxa"/>
            <w:vAlign w:val="bottom"/>
            <w:gridSpan w:val="11"/>
          </w:tcPr>
          <w:p>
            <w:pPr>
              <w:ind w:left="20"/>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agent.</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List of Subsidiaries of NN, Inc.</w:t>
              </w:r>
            </w:hyperlink>
          </w:p>
        </w:tc>
        <w:tc>
          <w:tcPr>
            <w:tcW w:w="2060" w:type="dxa"/>
            <w:vAlign w:val="bottom"/>
            <w:tcBorders>
              <w:top w:val="single" w:sz="8" w:color="0000FF"/>
            </w:tcBorders>
            <w:gridSpan w:val="15"/>
          </w:tcPr>
          <w:p>
            <w:pPr>
              <w:spacing w:after="0"/>
              <w:rPr>
                <w:sz w:val="18"/>
                <w:szCs w:val="18"/>
                <w:color w:val="auto"/>
              </w:rPr>
            </w:pPr>
          </w:p>
        </w:tc>
        <w:tc>
          <w:tcPr>
            <w:tcW w:w="30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Consent of Grant Thornton LLP, Independent Registered</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Public Accounting Firm</w:t>
              </w:r>
            </w:hyperlink>
          </w:p>
        </w:tc>
        <w:tc>
          <w:tcPr>
            <w:tcW w:w="54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Consent of PricewaterhouseCoopers LLP, Independent</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w:anchor="page85">
              <w:r>
                <w:rPr>
                  <w:rFonts w:ascii="Arial" w:cs="Arial" w:eastAsia="Arial" w:hAnsi="Arial"/>
                  <w:sz w:val="18"/>
                  <w:szCs w:val="18"/>
                  <w:color w:val="0000FF"/>
                  <w:w w:val="93"/>
                </w:rPr>
                <w:t>Registered Public Accounting Firm</w:t>
              </w:r>
            </w:hyperlink>
          </w:p>
        </w:tc>
        <w:tc>
          <w:tcPr>
            <w:tcW w:w="1340" w:type="dxa"/>
            <w:vAlign w:val="bottom"/>
            <w:tcBorders>
              <w:top w:val="single" w:sz="8" w:color="0000FF"/>
            </w:tcBorders>
            <w:gridSpan w:val="6"/>
          </w:tcPr>
          <w:p>
            <w:pPr>
              <w:spacing w:after="0"/>
              <w:rPr>
                <w:sz w:val="13"/>
                <w:szCs w:val="13"/>
                <w:color w:val="auto"/>
              </w:rPr>
            </w:pPr>
          </w:p>
        </w:tc>
        <w:tc>
          <w:tcPr>
            <w:tcW w:w="700" w:type="dxa"/>
            <w:vAlign w:val="bottom"/>
            <w:gridSpan w:val="10"/>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Chief Executive Officer pursuant to</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Section 302 of Sarbanes-Oxley Act</w:t>
              </w:r>
            </w:hyperlink>
          </w:p>
        </w:tc>
        <w:tc>
          <w:tcPr>
            <w:tcW w:w="1160" w:type="dxa"/>
            <w:vAlign w:val="bottom"/>
            <w:tcBorders>
              <w:top w:val="single" w:sz="8" w:color="0000FF"/>
            </w:tcBorders>
            <w:gridSpan w:val="5"/>
          </w:tcPr>
          <w:p>
            <w:pPr>
              <w:spacing w:after="0"/>
              <w:rPr>
                <w:sz w:val="13"/>
                <w:szCs w:val="13"/>
                <w:color w:val="auto"/>
              </w:rPr>
            </w:pPr>
          </w:p>
        </w:tc>
        <w:tc>
          <w:tcPr>
            <w:tcW w:w="900" w:type="dxa"/>
            <w:vAlign w:val="bottom"/>
            <w:gridSpan w:val="1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of Chief Financial Officer pursuant to</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w:anchor="page87">
              <w:r>
                <w:rPr>
                  <w:rFonts w:ascii="Arial" w:cs="Arial" w:eastAsia="Arial" w:hAnsi="Arial"/>
                  <w:sz w:val="18"/>
                  <w:szCs w:val="18"/>
                  <w:color w:val="0000FF"/>
                  <w:w w:val="91"/>
                </w:rPr>
                <w:t>Section 302 of Sarbanes-Oxley Act</w:t>
              </w:r>
            </w:hyperlink>
          </w:p>
        </w:tc>
        <w:tc>
          <w:tcPr>
            <w:tcW w:w="1100" w:type="dxa"/>
            <w:vAlign w:val="bottom"/>
            <w:tcBorders>
              <w:top w:val="single" w:sz="8" w:color="0000FF"/>
            </w:tcBorders>
            <w:gridSpan w:val="4"/>
          </w:tcPr>
          <w:p>
            <w:pPr>
              <w:spacing w:after="0"/>
              <w:rPr>
                <w:sz w:val="13"/>
                <w:szCs w:val="13"/>
                <w:color w:val="auto"/>
              </w:rPr>
            </w:pPr>
          </w:p>
        </w:tc>
        <w:tc>
          <w:tcPr>
            <w:tcW w:w="960" w:type="dxa"/>
            <w:vAlign w:val="bottom"/>
            <w:gridSpan w:val="1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Chief Executive Officer pursuant to</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Section 906 of Sarbanes-Oxley Act</w:t>
              </w:r>
            </w:hyperlink>
          </w:p>
        </w:tc>
        <w:tc>
          <w:tcPr>
            <w:tcW w:w="1160" w:type="dxa"/>
            <w:vAlign w:val="bottom"/>
            <w:tcBorders>
              <w:top w:val="single" w:sz="8" w:color="0000FF"/>
            </w:tcBorders>
            <w:gridSpan w:val="5"/>
          </w:tcPr>
          <w:p>
            <w:pPr>
              <w:spacing w:after="0"/>
              <w:rPr>
                <w:sz w:val="13"/>
                <w:szCs w:val="13"/>
                <w:color w:val="auto"/>
              </w:rPr>
            </w:pPr>
          </w:p>
        </w:tc>
        <w:tc>
          <w:tcPr>
            <w:tcW w:w="900" w:type="dxa"/>
            <w:vAlign w:val="bottom"/>
            <w:gridSpan w:val="1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Certification of Chief Financial Officer pursuant to</w:t>
              </w:r>
            </w:hyperlink>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Section 906 of Sarbanes-Oxley Act</w:t>
              </w:r>
            </w:hyperlink>
          </w:p>
        </w:tc>
        <w:tc>
          <w:tcPr>
            <w:tcW w:w="1120" w:type="dxa"/>
            <w:vAlign w:val="bottom"/>
            <w:tcBorders>
              <w:top w:val="single" w:sz="8" w:color="0000FF"/>
            </w:tcBorders>
            <w:gridSpan w:val="5"/>
          </w:tcPr>
          <w:p>
            <w:pPr>
              <w:spacing w:after="0"/>
              <w:rPr>
                <w:sz w:val="13"/>
                <w:szCs w:val="13"/>
                <w:color w:val="auto"/>
              </w:rPr>
            </w:pPr>
          </w:p>
        </w:tc>
        <w:tc>
          <w:tcPr>
            <w:tcW w:w="960" w:type="dxa"/>
            <w:vAlign w:val="bottom"/>
            <w:gridSpan w:val="1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464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640" w:type="dxa"/>
            <w:vAlign w:val="bottom"/>
            <w:gridSpan w:val="22"/>
          </w:tcPr>
          <w:p>
            <w:pPr>
              <w:spacing w:after="0"/>
              <w:rPr>
                <w:sz w:val="20"/>
                <w:szCs w:val="20"/>
                <w:color w:val="auto"/>
              </w:rPr>
            </w:pPr>
            <w:r>
              <w:rPr>
                <w:rFonts w:ascii="Arial" w:cs="Arial" w:eastAsia="Arial" w:hAnsi="Arial"/>
                <w:sz w:val="18"/>
                <w:szCs w:val="18"/>
                <w:color w:val="auto"/>
              </w:rPr>
              <w:t>XBRL Taxonomy Extension Service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4640" w:type="dxa"/>
            <w:vAlign w:val="bottom"/>
            <w:gridSpan w:val="22"/>
          </w:tcPr>
          <w:p>
            <w:pPr>
              <w:spacing w:after="0"/>
              <w:rPr>
                <w:sz w:val="20"/>
                <w:szCs w:val="20"/>
                <w:color w:val="auto"/>
              </w:rPr>
            </w:pPr>
            <w:r>
              <w:rPr>
                <w:rFonts w:ascii="Arial" w:cs="Arial" w:eastAsia="Arial" w:hAnsi="Arial"/>
                <w:sz w:val="18"/>
                <w:szCs w:val="18"/>
                <w:color w:val="auto"/>
              </w:rPr>
              <w:t>Taxonomy Calculation Linkbase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4640" w:type="dxa"/>
            <w:vAlign w:val="bottom"/>
            <w:gridSpan w:val="22"/>
          </w:tcPr>
          <w:p>
            <w:pPr>
              <w:spacing w:after="0"/>
              <w:rPr>
                <w:sz w:val="20"/>
                <w:szCs w:val="20"/>
                <w:color w:val="auto"/>
              </w:rPr>
            </w:pPr>
            <w:r>
              <w:rPr>
                <w:rFonts w:ascii="Arial" w:cs="Arial" w:eastAsia="Arial" w:hAnsi="Arial"/>
                <w:sz w:val="18"/>
                <w:szCs w:val="18"/>
                <w:color w:val="auto"/>
              </w:rPr>
              <w:t>XBRL Taxonomy Label Linkbase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4640" w:type="dxa"/>
            <w:vAlign w:val="bottom"/>
            <w:gridSpan w:val="22"/>
          </w:tcPr>
          <w:p>
            <w:pPr>
              <w:spacing w:after="0"/>
              <w:rPr>
                <w:sz w:val="20"/>
                <w:szCs w:val="20"/>
                <w:color w:val="auto"/>
              </w:rPr>
            </w:pPr>
            <w:r>
              <w:rPr>
                <w:rFonts w:ascii="Arial" w:cs="Arial" w:eastAsia="Arial" w:hAnsi="Arial"/>
                <w:sz w:val="18"/>
                <w:szCs w:val="18"/>
                <w:color w:val="auto"/>
              </w:rPr>
              <w:t>XBRL Presentation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0"/>
                <w:szCs w:val="20"/>
                <w:color w:val="auto"/>
              </w:rPr>
            </w:pPr>
          </w:p>
        </w:tc>
        <w:tc>
          <w:tcPr>
            <w:tcW w:w="4640" w:type="dxa"/>
            <w:vAlign w:val="bottom"/>
            <w:gridSpan w:val="22"/>
          </w:tcPr>
          <w:p>
            <w:pPr>
              <w:spacing w:after="0"/>
              <w:rPr>
                <w:sz w:val="20"/>
                <w:szCs w:val="20"/>
                <w:color w:val="auto"/>
              </w:rPr>
            </w:pPr>
            <w:r>
              <w:rPr>
                <w:rFonts w:ascii="Arial" w:cs="Arial" w:eastAsia="Arial" w:hAnsi="Arial"/>
                <w:sz w:val="18"/>
                <w:szCs w:val="18"/>
                <w:color w:val="auto"/>
              </w:rPr>
              <w:t>XBRL Definition Linkbase Document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67" w:lineRule="exact"/>
        <w:rPr>
          <w:sz w:val="20"/>
          <w:szCs w:val="20"/>
          <w:color w:val="auto"/>
        </w:rPr>
      </w:pPr>
    </w:p>
    <w:p>
      <w:pPr>
        <w:ind w:left="680" w:hanging="65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sz w:val="20"/>
          <w:szCs w:val="20"/>
          <w:color w:val="auto"/>
        </w:rPr>
      </w:pPr>
    </w:p>
    <w:p>
      <w:pPr>
        <w:ind w:left="680" w:right="80" w:hanging="654"/>
        <w:spacing w:after="0" w:line="23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Annual Report on Form 10-K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filings.</w:t>
      </w:r>
    </w:p>
    <w:p>
      <w:pPr>
        <w:spacing w:after="0" w:line="2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9960" w:type="dxa"/>
            <w:vAlign w:val="bottom"/>
          </w:tcPr>
          <w:p>
            <w:pPr>
              <w:spacing w:after="0"/>
              <w:rPr>
                <w:sz w:val="20"/>
                <w:szCs w:val="20"/>
                <w:color w:val="auto"/>
              </w:rPr>
            </w:pPr>
          </w:p>
        </w:tc>
      </w:tr>
      <w:tr>
        <w:trPr>
          <w:trHeight w:val="499"/>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124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1240" w:type="dxa"/>
            <w:vAlign w:val="bottom"/>
          </w:tcPr>
          <w:p>
            <w:pPr>
              <w:spacing w:after="0"/>
              <w:rPr>
                <w:sz w:val="20"/>
                <w:szCs w:val="20"/>
                <w:color w:val="auto"/>
              </w:rPr>
            </w:pPr>
          </w:p>
        </w:tc>
        <w:tc>
          <w:tcPr>
            <w:tcW w:w="9960" w:type="dxa"/>
            <w:vAlign w:val="bottom"/>
          </w:tcPr>
          <w:p>
            <w:pPr>
              <w:ind w:left="2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9960" w:type="dxa"/>
            <w:vAlign w:val="bottom"/>
          </w:tcPr>
          <w:p>
            <w:pPr>
              <w:ind w:left="20"/>
              <w:spacing w:after="0"/>
              <w:rPr>
                <w:sz w:val="20"/>
                <w:szCs w:val="20"/>
                <w:color w:val="auto"/>
              </w:rPr>
            </w:pPr>
            <w:r>
              <w:rPr>
                <w:rFonts w:ascii="Arial" w:cs="Arial" w:eastAsia="Arial" w:hAnsi="Arial"/>
                <w:sz w:val="18"/>
                <w:szCs w:val="18"/>
                <w:color w:val="auto"/>
              </w:rPr>
              <w:t>March 11, 2022</w:t>
            </w:r>
          </w:p>
        </w:tc>
      </w:tr>
    </w:tbl>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p>
      <w:pPr>
        <w:ind w:left="1360"/>
        <w:spacing w:after="0"/>
        <w:tabs>
          <w:tab w:leader="none" w:pos="6520" w:val="left"/>
          <w:tab w:leader="none" w:pos="10180" w:val="left"/>
        </w:tabs>
        <w:rPr>
          <w:sz w:val="20"/>
          <w:szCs w:val="20"/>
          <w:color w:val="auto"/>
        </w:rPr>
      </w:pPr>
      <w:r>
        <w:rPr>
          <w:rFonts w:ascii="Arial" w:cs="Arial" w:eastAsia="Arial" w:hAnsi="Arial"/>
          <w:sz w:val="14"/>
          <w:szCs w:val="14"/>
          <w:b w:val="1"/>
          <w:bCs w:val="1"/>
          <w:color w:val="auto"/>
        </w:rPr>
        <w:t>Name and 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p>
      <w:pPr>
        <w:spacing w:after="0" w:line="34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Warren A. Veltman</w:t>
      </w:r>
    </w:p>
    <w:p>
      <w:pPr>
        <w:spacing w:after="0" w:line="33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Michael C. Felcher</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Jeri J.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Jeri J. Harman</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Raynard D. Benvenuti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285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Raynard D. Benvenuti</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Robert E. Brunner</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Christina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5">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Christina E. Carroll</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João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João Faria</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Rajeev Gautam,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285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Rajeev Gautam, Ph.D.</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Shihab Kuran,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285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Shihab Kuran, Ph.D.</w:t>
      </w: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Tom H. Wilson,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85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9">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Tom H. Wilson, Jr.</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President, Chief Executive Officer, and Director</w:t>
      </w:r>
      <w:r>
        <w:rPr>
          <w:sz w:val="20"/>
          <w:szCs w:val="20"/>
          <w:color w:val="auto"/>
        </w:rPr>
        <w:tab/>
      </w:r>
      <w:r>
        <w:rPr>
          <w:rFonts w:ascii="Arial" w:cs="Arial" w:eastAsia="Arial" w:hAnsi="Arial"/>
          <w:sz w:val="16"/>
          <w:szCs w:val="16"/>
          <w:color w:val="auto"/>
        </w:rPr>
        <w:t>March 11, 2022</w:t>
      </w:r>
    </w:p>
    <w:p>
      <w:pPr>
        <w:spacing w:after="0"/>
        <w:rPr>
          <w:sz w:val="20"/>
          <w:szCs w:val="20"/>
          <w:color w:val="auto"/>
        </w:rPr>
      </w:pPr>
      <w:r>
        <w:rPr>
          <w:rFonts w:ascii="Arial" w:cs="Arial" w:eastAsia="Arial" w:hAnsi="Arial"/>
          <w:sz w:val="18"/>
          <w:szCs w:val="18"/>
          <w:color w:val="auto"/>
        </w:rPr>
        <w:t>(Principal Executive Officer)</w:t>
      </w:r>
    </w:p>
    <w:p>
      <w:pPr>
        <w:spacing w:after="0" w:line="396"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Senior Vice President – Chief Financial Officer</w:t>
      </w:r>
      <w:r>
        <w:rPr>
          <w:sz w:val="20"/>
          <w:szCs w:val="20"/>
          <w:color w:val="auto"/>
        </w:rPr>
        <w:tab/>
      </w:r>
      <w:r>
        <w:rPr>
          <w:rFonts w:ascii="Arial" w:cs="Arial" w:eastAsia="Arial" w:hAnsi="Arial"/>
          <w:sz w:val="16"/>
          <w:szCs w:val="16"/>
          <w:color w:val="auto"/>
        </w:rPr>
        <w:t>March 11, 2022</w:t>
      </w: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2"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Non-Executive Chairman, 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36"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5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5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5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5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5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200" w:lineRule="exact"/>
        <w:rPr>
          <w:sz w:val="20"/>
          <w:szCs w:val="20"/>
          <w:color w:val="auto"/>
        </w:rPr>
      </w:pPr>
    </w:p>
    <w:p>
      <w:pPr>
        <w:spacing w:after="0" w:line="35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11, 2022</w:t>
      </w:r>
    </w:p>
    <w:p>
      <w:pPr>
        <w:spacing w:after="0" w:line="465" w:lineRule="exact"/>
        <w:rPr>
          <w:sz w:val="20"/>
          <w:szCs w:val="20"/>
          <w:color w:val="auto"/>
        </w:rPr>
      </w:pPr>
    </w:p>
    <w:p>
      <w:pPr>
        <w:sectPr>
          <w:pgSz w:w="11900" w:h="16838" w:orient="portrait"/>
          <w:cols w:equalWidth="0" w:num="2">
            <w:col w:w="3620" w:space="720"/>
            <w:col w:w="6880"/>
          </w:cols>
          <w:pgMar w:left="320" w:top="233" w:right="3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20"/>
          </w:cols>
          <w:pgMar w:left="320" w:top="233" w:right="35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20" w:type="dxa"/>
            <w:vAlign w:val="bottom"/>
            <w:gridSpan w:val="5"/>
          </w:tcPr>
          <w:p>
            <w:pPr>
              <w:ind w:left="240"/>
              <w:spacing w:after="0"/>
              <w:rPr>
                <w:sz w:val="20"/>
                <w:szCs w:val="20"/>
                <w:color w:val="auto"/>
              </w:rPr>
            </w:pPr>
            <w:r>
              <w:rPr>
                <w:rFonts w:ascii="Arial" w:cs="Arial" w:eastAsia="Arial" w:hAnsi="Arial"/>
                <w:sz w:val="18"/>
                <w:szCs w:val="18"/>
                <w:b w:val="1"/>
                <w:bCs w:val="1"/>
                <w:color w:val="auto"/>
              </w:rPr>
              <w:t>Subsidiaries of Registrant</w:t>
            </w:r>
          </w:p>
        </w:tc>
      </w:tr>
      <w:tr>
        <w:trPr>
          <w:trHeight w:val="85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 of NN, Inc.</w:t>
            </w:r>
          </w:p>
        </w:tc>
        <w:tc>
          <w:tcPr>
            <w:tcW w:w="24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jc w:val="center"/>
              <w:ind w:right="510"/>
              <w:spacing w:after="0"/>
              <w:rPr>
                <w:sz w:val="20"/>
                <w:szCs w:val="20"/>
                <w:color w:val="auto"/>
              </w:rPr>
            </w:pPr>
            <w:r>
              <w:rPr>
                <w:rFonts w:ascii="Arial" w:cs="Arial" w:eastAsia="Arial" w:hAnsi="Arial"/>
                <w:sz w:val="14"/>
                <w:szCs w:val="14"/>
                <w:b w:val="1"/>
                <w:bCs w:val="1"/>
                <w:color w:val="auto"/>
                <w:w w:val="94"/>
              </w:rPr>
              <w:t>Jurisdiction of Incorporation or Organization</w:t>
            </w:r>
          </w:p>
        </w:tc>
      </w:tr>
      <w:tr>
        <w:trPr>
          <w:trHeight w:val="228"/>
        </w:trPr>
        <w:tc>
          <w:tcPr>
            <w:tcW w:w="4380" w:type="dxa"/>
            <w:vAlign w:val="bottom"/>
          </w:tcPr>
          <w:p>
            <w:pPr>
              <w:ind w:left="20"/>
              <w:spacing w:after="0"/>
              <w:rPr>
                <w:sz w:val="20"/>
                <w:szCs w:val="20"/>
                <w:color w:val="auto"/>
              </w:rPr>
            </w:pPr>
            <w:r>
              <w:rPr>
                <w:rFonts w:ascii="Arial" w:cs="Arial" w:eastAsia="Arial" w:hAnsi="Arial"/>
                <w:sz w:val="18"/>
                <w:szCs w:val="18"/>
                <w:color w:val="auto"/>
              </w:rPr>
              <w:t>Advanced Precision Products,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(China) Automotive Components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China</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do Brasil Usinagem, Ltda.</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97"/>
              </w:rPr>
              <w:t>Brazil</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Equipment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Equipment,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Europe, B.V.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8"/>
              </w:rPr>
              <w:t>Netherlands</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France, S.A.R.L.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France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 International,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Poland Sp. z.o.o.</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Poland</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Autocam South Carolina,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Autocam-Pax,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Michigan</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Bouverat Industries, S.A.S.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France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w w:val="95"/>
              </w:rPr>
              <w:t>Brainin (Foshan) Precision Engineered Products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China</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Brainin de Mexico, S.A.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4"/>
              </w:rPr>
              <w:t>Mexico</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Brainin-Advance Industries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Caprock Enclosures,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5"/>
              </w:rPr>
              <w:t>Texas</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Caprock Manufacturing,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5"/>
              </w:rPr>
              <w:t>Texas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General Metal Finishing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Holmed,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HowesTemco,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Industrial Molding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3"/>
              </w:rPr>
              <w:t>Tennessee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Kugelfertigung Eltmann GmbH</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89"/>
              </w:rPr>
              <w:t>Germany</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NN Euroball Ireland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0"/>
              </w:rPr>
              <w:t>Ireland</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NN Power Solutions,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NN Power Solutions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NN Precision Plastics,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PMC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PMC USA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PNC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Polymetallurgical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Precision Metal Components Mexico SRL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4"/>
              </w:rPr>
              <w:t>Mexico</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Premco,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86"/>
              </w:rPr>
              <w:t>Massachusetts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Profiles Incorporated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86"/>
              </w:rPr>
              <w:t>Massachusetts</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Southern California Technical Arts,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7"/>
              </w:rPr>
              <w:t>California</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Triumph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4"/>
              </w:rPr>
              <w:t>Arizona</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Wauconda Tool &amp; Engineering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Arial" w:cs="Arial" w:eastAsia="Arial" w:hAnsi="Arial"/>
                <w:sz w:val="18"/>
                <w:szCs w:val="18"/>
                <w:color w:val="auto"/>
                <w:w w:val="92"/>
              </w:rPr>
              <w:t>Delaware</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Whirlaway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jc w:val="center"/>
              <w:ind w:right="53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1240"/>
          </w:cols>
          <w:pgMar w:left="320" w:top="891" w:right="339" w:bottom="1440" w:gutter="0" w:footer="0" w:header="0"/>
        </w:sectPr>
      </w:pPr>
    </w:p>
    <w:bookmarkStart w:id="83" w:name="page84"/>
    <w:bookmarkEnd w:id="83"/>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issued our reports dated March 11, 2022, with respect to the consolidated financial statements and internal control over financial reporting included in the Annual Report of NN, Inc. on Form 10-K for the year ended December 31, 2021. We consent to the incorporation by reference of said reports in the Registration Statements of NN, Inc. on Form S-8 (File Nos. 333-174519, 333-130395, 333-216739, and 333-232258).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2"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333-174519, 333-130395, 333-216739 and 333-232258) of NN, Inc. of our report dated March 16, 2020, except for the effect of discontinued operations discussed in Note 2 to the consolidated financial statements, as to which the date is March 15, 2021 and except for the 2019 summarized financial information of the unconsolidated joint venture in Note 9 to the consolidated financial statements, as to which the date is March 11, 2022, relating to the consolidated financial statements, which appears in this Form 10-K.</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11,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March 11, 2022</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Felcher</w:t>
            </w:r>
          </w:p>
        </w:tc>
      </w:tr>
      <w:tr>
        <w:trPr>
          <w:trHeight w:val="222"/>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11,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A. Veltman</w:t>
            </w:r>
          </w:p>
        </w:tc>
      </w:tr>
      <w:tr>
        <w:trPr>
          <w:trHeight w:val="222"/>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Warren A. Veltman</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2021,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March 11, 2022</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Felcher</w:t>
            </w:r>
          </w:p>
        </w:tc>
      </w:tr>
      <w:tr>
        <w:trPr>
          <w:trHeight w:val="222"/>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upperLetter"/>
      <w:start w:val="40"/>
    </w:lvl>
  </w:abstractNum>
  <w:abstractNum w:abstractNumId="3">
    <w:nsid w:val="721DA317"/>
    <w:multiLevelType w:val="hybridMultilevel"/>
    <w:lvl w:ilvl="0">
      <w:lvlJc w:val="left"/>
      <w:lvlText w:val="%1"/>
      <w:numFmt w:val="upperLetter"/>
      <w:start w:val="40"/>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lvl w:ilvl="1">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82" Type="http://schemas.openxmlformats.org/officeDocument/2006/relationships/image" Target="media/image109.png"/><Relationship Id="rId183" Type="http://schemas.openxmlformats.org/officeDocument/2006/relationships/image" Target="media/image110.png"/><Relationship Id="rId188"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191" Type="http://schemas.openxmlformats.org/officeDocument/2006/relationships/image" Target="media/image114.png"/><Relationship Id="rId192" Type="http://schemas.openxmlformats.org/officeDocument/2006/relationships/image" Target="media/image115.png"/><Relationship Id="rId193" Type="http://schemas.openxmlformats.org/officeDocument/2006/relationships/image" Target="media/image116.png"/><Relationship Id="rId194" Type="http://schemas.openxmlformats.org/officeDocument/2006/relationships/image" Target="media/image117.png"/><Relationship Id="rId195" Type="http://schemas.openxmlformats.org/officeDocument/2006/relationships/image" Target="media/image118.png"/><Relationship Id="rId196" Type="http://schemas.openxmlformats.org/officeDocument/2006/relationships/image" Target="media/image119.png"/><Relationship Id="rId197" Type="http://schemas.openxmlformats.org/officeDocument/2006/relationships/image" Target="media/image120.png"/><Relationship Id="rId198" Type="http://schemas.openxmlformats.org/officeDocument/2006/relationships/image" Target="media/image121.png"/><Relationship Id="rId199" Type="http://schemas.openxmlformats.org/officeDocument/2006/relationships/image" Target="media/image122.png"/><Relationship Id="rId45" Type="http://schemas.openxmlformats.org/officeDocument/2006/relationships/hyperlink" Target="http://www.sec.gov/ix?doc=/Archives/edgar/data/918541/000091854121000003/nnbr-20201231.htm" TargetMode="External"/><Relationship Id="rId111" Type="http://schemas.openxmlformats.org/officeDocument/2006/relationships/hyperlink" Target="http://www.sec.gov/Archives/edgar/data/918541/000119312514275202/d759459dex21.htm" TargetMode="External"/><Relationship Id="rId112" Type="http://schemas.openxmlformats.org/officeDocument/2006/relationships/hyperlink" Target="http://www.sec.gov/Archives/edgar/data/918541/000119312515294271/d17337dex21.htm" TargetMode="External"/><Relationship Id="rId113" Type="http://schemas.openxmlformats.org/officeDocument/2006/relationships/hyperlink" Target="http://www.sec.gov/Archives/edgar/data/918541/000119312517224726/d422757dex21.htm" TargetMode="External"/><Relationship Id="rId114" Type="http://schemas.openxmlformats.org/officeDocument/2006/relationships/hyperlink" Target="http://www.sec.gov/Archives/edgar/data/918541/000119312518105623/d535081dex21.htm" TargetMode="External"/><Relationship Id="rId115" Type="http://schemas.openxmlformats.org/officeDocument/2006/relationships/hyperlink" Target="http://www.sec.gov/Archives/edgar/data/918541/000119312520227628/d73183dex21.htm" TargetMode="External"/><Relationship Id="rId116" Type="http://schemas.openxmlformats.org/officeDocument/2006/relationships/hyperlink" Target="http://www.sec.gov/Archives/edgar/data/918541/000095016802001631/dex31.txt" TargetMode="External"/><Relationship Id="rId117" Type="http://schemas.openxmlformats.org/officeDocument/2006/relationships/hyperlink" Target="http://www.sec.gov/Archives/edgar/data/918541/000119312519151712/d750456dex31.htm" TargetMode="External"/><Relationship Id="rId118" Type="http://schemas.openxmlformats.org/officeDocument/2006/relationships/hyperlink" Target="http://www.sec.gov/Archives/edgar/data/918541/000119312519151712/d750456dex32.htm" TargetMode="External"/><Relationship Id="rId119" Type="http://schemas.openxmlformats.org/officeDocument/2006/relationships/hyperlink" Target="http://www.sec.gov/Archives/edgar/data/918541/000092290708000740/exhibit31_121608.htm" TargetMode="External"/><Relationship Id="rId120" Type="http://schemas.openxmlformats.org/officeDocument/2006/relationships/hyperlink" Target="http://www.sec.gov/Archives/edgar/data/918541/000119312519311505/d775548dex31.htm" TargetMode="External"/><Relationship Id="rId123" Type="http://schemas.openxmlformats.org/officeDocument/2006/relationships/hyperlink" Target="http://www.sec.gov/Archives/edgar/data/918541/000119312520108738/d852780dex31.htm" TargetMode="External"/><Relationship Id="rId124" Type="http://schemas.openxmlformats.org/officeDocument/2006/relationships/hyperlink" Target="http://www.sec.gov/Archives/edgar/data/918541/000119312515383841/d73953dex31.htm" TargetMode="External"/><Relationship Id="rId125" Type="http://schemas.openxmlformats.org/officeDocument/2006/relationships/hyperlink" Target="http://www.sec.gov/Archives/edgar/data/918541/000119312519151712/d750456dex33.htm" TargetMode="External"/><Relationship Id="rId126" Type="http://schemas.openxmlformats.org/officeDocument/2006/relationships/hyperlink" Target="http://www.sec.gov/Archives/edgar/data/0000918541/000119312521089609/d162543dex31.htm" TargetMode="External"/><Relationship Id="rId127" Type="http://schemas.openxmlformats.org/officeDocument/2006/relationships/hyperlink" Target="http://www.sec.gov/Archives/edgar/data/918541/000095016802001631/dex41.txt" TargetMode="External"/><Relationship Id="rId128" Type="http://schemas.openxmlformats.org/officeDocument/2006/relationships/hyperlink" Target="http://www.sec.gov/Archives/edgar/data/918541/000119312514328980/d785003dex41.htm" TargetMode="External"/><Relationship Id="rId129" Type="http://schemas.openxmlformats.org/officeDocument/2006/relationships/hyperlink" Target="http://www.sec.gov/Archives/edgar/data/918541/000119312519311505/d775548dex41.htm" TargetMode="External"/><Relationship Id="rId130" Type="http://schemas.openxmlformats.org/officeDocument/2006/relationships/hyperlink" Target="http://www.sec.gov/Archives/edgar/data/918541/000119312520108738/d852780dex41.htm" TargetMode="External"/><Relationship Id="rId131" Type="http://schemas.openxmlformats.org/officeDocument/2006/relationships/hyperlink" Target="http://www.sec.gov/Archives/edgar/data/918541/000091854121000003/q42020ex45.htm" TargetMode="External"/><Relationship Id="rId132" Type="http://schemas.openxmlformats.org/officeDocument/2006/relationships/hyperlink" Target="http://www.sec.gov/Archives/edgar/data/0000918541/000119312521089609/d162543dex41.htm" TargetMode="External"/><Relationship Id="rId133" Type="http://schemas.openxmlformats.org/officeDocument/2006/relationships/hyperlink" Target="http://www.sec.gov/Archives/edgar/data/918541/000100579405000976/nnex4_3.htm" TargetMode="External"/><Relationship Id="rId134" Type="http://schemas.openxmlformats.org/officeDocument/2006/relationships/hyperlink" Target="http://www.sec.gov/Archives/edgar/data/918541/000119312516528060/d172979ddef14a.htm" TargetMode="External"/><Relationship Id="rId135" Type="http://schemas.openxmlformats.org/officeDocument/2006/relationships/hyperlink" Target="http://www.sec.gov/Archives/edgar/data/918541/000095013102002704/dex106.txt" TargetMode="External"/><Relationship Id="rId136" Type="http://schemas.openxmlformats.org/officeDocument/2006/relationships/hyperlink" Target="http://www.sec.gov/Archives/edgar/data/918541/0001047469-99-013036.txt" TargetMode="External"/><Relationship Id="rId137" Type="http://schemas.openxmlformats.org/officeDocument/2006/relationships/hyperlink" Target="http://www.sec.gov/Archives/edgar/data/918541/000119312514328980/d785003dex103.htm" TargetMode="External"/><Relationship Id="rId138" Type="http://schemas.openxmlformats.org/officeDocument/2006/relationships/hyperlink" Target="http://www.sec.gov/Archives/edgar/data/918541/000119312514328980/d785003dex104.htm" TargetMode="External"/><Relationship Id="rId139" Type="http://schemas.openxmlformats.org/officeDocument/2006/relationships/hyperlink" Target="http://www.sec.gov/Archives/edgar/data/918541/000119312515093835/d863758dex1027.htm" TargetMode="External"/><Relationship Id="rId140" Type="http://schemas.openxmlformats.org/officeDocument/2006/relationships/hyperlink" Target="http://www.sec.gov/Archives/edgar/data/918541/000119312516729285/d137430dex101.htm" TargetMode="External"/><Relationship Id="rId141" Type="http://schemas.openxmlformats.org/officeDocument/2006/relationships/hyperlink" Target="http://www.sec.gov/Archives/edgar/data/918541/000119312516760147/d286848dex101.htm" TargetMode="External"/><Relationship Id="rId142" Type="http://schemas.openxmlformats.org/officeDocument/2006/relationships/hyperlink" Target="http://www.sec.gov/Archives/edgar/data/918541/000119312516765864/d161928ddef14a.htm" TargetMode="External"/><Relationship Id="rId143" Type="http://schemas.openxmlformats.org/officeDocument/2006/relationships/hyperlink" Target="http://www.sec.gov/Archives/edgar/data/918541/000119312517085150/d287773dex1018.htm" TargetMode="External"/><Relationship Id="rId144" Type="http://schemas.openxmlformats.org/officeDocument/2006/relationships/hyperlink" Target="http://www.sec.gov/Archives/edgar/data/918541/000119312517085150/d287773dex1019.htm" TargetMode="External"/><Relationship Id="rId145" Type="http://schemas.openxmlformats.org/officeDocument/2006/relationships/hyperlink" Target="http://www.sec.gov/Archives/edgar/data/918541/000119312517085150/d287773dex1020.htm" TargetMode="External"/><Relationship Id="rId148" Type="http://schemas.openxmlformats.org/officeDocument/2006/relationships/hyperlink" Target="http://www.sec.gov/Archives/edgar/data/918541/000119312517085150/d287773dex1021.htm" TargetMode="External"/><Relationship Id="rId149" Type="http://schemas.openxmlformats.org/officeDocument/2006/relationships/hyperlink" Target="http://www.sec.gov/Archives/edgar/data/918541/000119312517157840/d258644dex102.htm" TargetMode="External"/><Relationship Id="rId150" Type="http://schemas.openxmlformats.org/officeDocument/2006/relationships/hyperlink" Target="http://www.sec.gov/Archives/edgar/data/918541/000119312517109078/d354106dex101.htm" TargetMode="External"/><Relationship Id="rId151" Type="http://schemas.openxmlformats.org/officeDocument/2006/relationships/hyperlink" Target="http://www.sec.gov/Archives/edgar/data/918541/000119312517262214/d443368dex101.htm" TargetMode="External"/><Relationship Id="rId152" Type="http://schemas.openxmlformats.org/officeDocument/2006/relationships/hyperlink" Target="http://www.sec.gov/Archives/edgar/data/918541/000119312517351180/d492996dex101.htm" TargetMode="External"/><Relationship Id="rId153" Type="http://schemas.openxmlformats.org/officeDocument/2006/relationships/hyperlink" Target="http://www.sec.gov/Archives/edgar/data/918541/000119312518105623/d535081dex101.htm" TargetMode="External"/><Relationship Id="rId154" Type="http://schemas.openxmlformats.org/officeDocument/2006/relationships/hyperlink" Target="http://www.sec.gov/Archives/edgar/data/918541/000119312518153752/d584161dex101.htm" TargetMode="External"/><Relationship Id="rId155" Type="http://schemas.openxmlformats.org/officeDocument/2006/relationships/hyperlink" Target="http://www.sec.gov/Archives/edgar/data/918541/000119312518358103/d677211dex101.htm" TargetMode="External"/><Relationship Id="rId156" Type="http://schemas.openxmlformats.org/officeDocument/2006/relationships/hyperlink" Target="http://www.sec.gov/Archives/edgar/data/918541/000119312519050655/d702004dex101.htm" TargetMode="External"/><Relationship Id="rId157" Type="http://schemas.openxmlformats.org/officeDocument/2006/relationships/hyperlink" Target="http://www.sec.gov/Archives/edgar/data/918541/000119312519077094/d690479dex101.htm" TargetMode="External"/><Relationship Id="rId158" Type="http://schemas.openxmlformats.org/officeDocument/2006/relationships/hyperlink" Target="http://www.sec.gov/Archives/edgar/data/918541/000119312519100697/d716172ddef14a.htm" TargetMode="External"/><Relationship Id="rId159" Type="http://schemas.openxmlformats.org/officeDocument/2006/relationships/hyperlink" Target="http://www.sec.gov/Archives/edgar/data/918541/000162828019006509/q12019ex101.htm" TargetMode="External"/><Relationship Id="rId160" Type="http://schemas.openxmlformats.org/officeDocument/2006/relationships/hyperlink" Target="http://www.sec.gov/Archives/edgar/data/918541/000119312519171299/d765702dex101.htm" TargetMode="External"/><Relationship Id="rId161" Type="http://schemas.openxmlformats.org/officeDocument/2006/relationships/hyperlink" Target="http://www.sec.gov/Archives/edgar/data/918541/000162828019010554/q22019ex104.htm" TargetMode="External"/><Relationship Id="rId164" Type="http://schemas.openxmlformats.org/officeDocument/2006/relationships/hyperlink" Target="http://www.sec.gov/Archives/edgar/data/918541/000162828019010554/q22019ex105.htm" TargetMode="External"/><Relationship Id="rId165" Type="http://schemas.openxmlformats.org/officeDocument/2006/relationships/hyperlink" Target="http://www.sec.gov/Archives/edgar/data/918541/000162828019010554/q22019ex106.htm" TargetMode="External"/><Relationship Id="rId166" Type="http://schemas.openxmlformats.org/officeDocument/2006/relationships/hyperlink" Target="http://www.sec.gov/Archives/edgar/data/918541/000162828019010554/q22019ex107.htm" TargetMode="External"/><Relationship Id="rId167" Type="http://schemas.openxmlformats.org/officeDocument/2006/relationships/hyperlink" Target="http://www.sec.gov/Archives/edgar/data/918541/000119312519230172/d797574dex101.htm" TargetMode="External"/><Relationship Id="rId168" Type="http://schemas.openxmlformats.org/officeDocument/2006/relationships/hyperlink" Target="http://www.sec.gov/Archives/edgar/data/918541/000119312519230172/d797574dex102.htm" TargetMode="External"/><Relationship Id="rId169" Type="http://schemas.openxmlformats.org/officeDocument/2006/relationships/hyperlink" Target="http://www.sec.gov/Archives/edgar/data/918541/000119312519252768/d628110dex101.htm" TargetMode="External"/><Relationship Id="rId170" Type="http://schemas.openxmlformats.org/officeDocument/2006/relationships/hyperlink" Target="http://www.sec.gov/Archives/edgar/data/918541/000119312519311505/d775548dex101.htm" TargetMode="External"/><Relationship Id="rId171" Type="http://schemas.openxmlformats.org/officeDocument/2006/relationships/hyperlink" Target="http://www.sec.gov/Archives/edgar/data/918541/000119312519311505/d775548dex102.htm" TargetMode="External"/><Relationship Id="rId172" Type="http://schemas.openxmlformats.org/officeDocument/2006/relationships/hyperlink" Target="http://www.sec.gov/Archives/edgar/data/918541/000119312519319078/d851077dex101.htm" TargetMode="External"/><Relationship Id="rId173" Type="http://schemas.openxmlformats.org/officeDocument/2006/relationships/hyperlink" Target="http://www.sec.gov/Archives/edgar/data/918541/000119312520043434/d574674dex101.htm" TargetMode="External"/><Relationship Id="rId174" Type="http://schemas.openxmlformats.org/officeDocument/2006/relationships/hyperlink" Target="http://www.sec.gov/Archives/edgar/data/918541/000162828020007401/ex101.htm" TargetMode="External"/><Relationship Id="rId175" Type="http://schemas.openxmlformats.org/officeDocument/2006/relationships/hyperlink" Target="http://www.sec.gov/Archives/edgar/data/918541/000119312520206437/d900289dex101.htm" TargetMode="External"/><Relationship Id="rId176" Type="http://schemas.openxmlformats.org/officeDocument/2006/relationships/hyperlink" Target="http://www.sec.gov/Archives/edgar/data/918541/000119312520227628/d73183dex101.htm" TargetMode="External"/><Relationship Id="rId177" Type="http://schemas.openxmlformats.org/officeDocument/2006/relationships/hyperlink" Target="http://www.sec.gov/Archives/edgar/data/918541/000119312520272107/d76177dex101.htm" TargetMode="External"/><Relationship Id="rId178" Type="http://schemas.openxmlformats.org/officeDocument/2006/relationships/hyperlink" Target="http://www.sec.gov/Archives/edgar/data/0000918541/000119312521089609/d162543dex101.htm" TargetMode="External"/><Relationship Id="rId179" Type="http://schemas.openxmlformats.org/officeDocument/2006/relationships/hyperlink" Target="http://www.sec.gov/Archives/edgar/data/0000918541/000119312521089609/d162543dex102.htm" TargetMode="External"/><Relationship Id="rId180" Type="http://schemas.openxmlformats.org/officeDocument/2006/relationships/hyperlink" Target="http://www.sec.gov/Archives/edgar/data/0000918541/000119312521089609/d162543dex103.htm" TargetMode="External"/><Relationship Id="rId181" Type="http://schemas.openxmlformats.org/officeDocument/2006/relationships/hyperlink" Target="http://www.sec.gov/Archives/edgar/data/0000918541/000119312521089609/d162543dex104.htm" TargetMode="External"/><Relationship Id="rId184" Type="http://schemas.openxmlformats.org/officeDocument/2006/relationships/hyperlink" Target="http://www.sec.gov/Archives/edgar/data/918541/000119312521162205/d26069dex101.htm" TargetMode="External"/><Relationship Id="rId185" Type="http://schemas.openxmlformats.org/officeDocument/2006/relationships/hyperlink" Target="http://www.sec.gov/Archives/edgar/data/918541/000091854121000016/ex101-debyleseparationagre.htm" TargetMode="External"/><Relationship Id="rId186" Type="http://schemas.openxmlformats.org/officeDocument/2006/relationships/hyperlink" Target="http://www.sec.gov/Archives/edgar/data/918541/000091854121000016/ex102-formofseparationagre.htm" TargetMode="External"/><Relationship Id="rId187" Type="http://schemas.openxmlformats.org/officeDocument/2006/relationships/hyperlink" Target="http://www.sec.gov/Archives/edgar/data/918541/000091854122000030/exhibit101amendmentno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2022-03-11T10:51:29Z</dcterms:created>
  <dcterms:modified xsi:type="dcterms:W3CDTF">2022-03-11T10:51:29Z</dcterms:modified>
</cp:coreProperties>
</file>