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12"/>
        <w:spacing w:after="0"/>
        <w:rPr>
          <w:sz w:val="20"/>
          <w:szCs w:val="20"/>
          <w:color w:val="auto"/>
        </w:rPr>
      </w:pPr>
      <w:r>
        <w:rPr>
          <w:rFonts w:ascii="Courier New" w:cs="Courier New" w:eastAsia="Courier New" w:hAnsi="Courier New"/>
          <w:sz w:val="15"/>
          <w:szCs w:val="15"/>
          <w:color w:val="auto"/>
        </w:rPr>
        <w:t>UNITED STATES</w:t>
      </w:r>
    </w:p>
    <w:p>
      <w:pPr>
        <w:spacing w:after="0" w:line="31"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WASHINGTON, D.C. 20549</w:t>
      </w:r>
    </w:p>
    <w:p>
      <w:pPr>
        <w:spacing w:after="0" w:line="200" w:lineRule="exact"/>
        <w:rPr>
          <w:sz w:val="24"/>
          <w:szCs w:val="24"/>
          <w:color w:val="auto"/>
        </w:rPr>
      </w:pPr>
    </w:p>
    <w:p>
      <w:pPr>
        <w:spacing w:after="0" w:line="296" w:lineRule="exact"/>
        <w:rPr>
          <w:sz w:val="24"/>
          <w:szCs w:val="24"/>
          <w:color w:val="auto"/>
        </w:rPr>
      </w:pPr>
    </w:p>
    <w:p>
      <w:pPr>
        <w:ind w:left="3248"/>
        <w:spacing w:after="0"/>
        <w:rPr>
          <w:sz w:val="20"/>
          <w:szCs w:val="20"/>
          <w:color w:val="auto"/>
        </w:rPr>
      </w:pPr>
      <w:r>
        <w:rPr>
          <w:rFonts w:ascii="Courier New" w:cs="Courier New" w:eastAsia="Courier New" w:hAnsi="Courier New"/>
          <w:sz w:val="15"/>
          <w:szCs w:val="15"/>
          <w:color w:val="auto"/>
        </w:rPr>
        <w:t>FORM 8-K</w:t>
      </w:r>
    </w:p>
    <w:p>
      <w:pPr>
        <w:spacing w:after="0" w:line="200" w:lineRule="exact"/>
        <w:rPr>
          <w:sz w:val="24"/>
          <w:szCs w:val="24"/>
          <w:color w:val="auto"/>
        </w:rPr>
      </w:pPr>
    </w:p>
    <w:p>
      <w:pPr>
        <w:spacing w:after="0" w:line="324" w:lineRule="exact"/>
        <w:rPr>
          <w:sz w:val="24"/>
          <w:szCs w:val="24"/>
          <w:color w:val="auto"/>
        </w:rPr>
      </w:pPr>
    </w:p>
    <w:p>
      <w:pPr>
        <w:ind w:left="2968"/>
        <w:spacing w:after="0"/>
        <w:rPr>
          <w:sz w:val="20"/>
          <w:szCs w:val="20"/>
          <w:color w:val="auto"/>
        </w:rPr>
      </w:pPr>
      <w:r>
        <w:rPr>
          <w:rFonts w:ascii="Courier New" w:cs="Courier New" w:eastAsia="Courier New" w:hAnsi="Courier New"/>
          <w:sz w:val="15"/>
          <w:szCs w:val="15"/>
          <w:color w:val="auto"/>
        </w:rPr>
        <w:t>CURRENT REPORT</w:t>
      </w:r>
    </w:p>
    <w:p>
      <w:pPr>
        <w:spacing w:after="0" w:line="200" w:lineRule="exact"/>
        <w:rPr>
          <w:sz w:val="24"/>
          <w:szCs w:val="24"/>
          <w:color w:val="auto"/>
        </w:rPr>
      </w:pPr>
    </w:p>
    <w:p>
      <w:pPr>
        <w:spacing w:after="0" w:line="324" w:lineRule="exact"/>
        <w:rPr>
          <w:sz w:val="24"/>
          <w:szCs w:val="24"/>
          <w:color w:val="auto"/>
        </w:rPr>
      </w:pPr>
    </w:p>
    <w:p>
      <w:pPr>
        <w:ind w:left="1888"/>
        <w:spacing w:after="0"/>
        <w:rPr>
          <w:sz w:val="20"/>
          <w:szCs w:val="20"/>
          <w:color w:val="auto"/>
        </w:rPr>
      </w:pPr>
      <w:r>
        <w:rPr>
          <w:rFonts w:ascii="Courier New" w:cs="Courier New" w:eastAsia="Courier New" w:hAnsi="Courier New"/>
          <w:sz w:val="15"/>
          <w:szCs w:val="15"/>
          <w:color w:val="auto"/>
        </w:rPr>
        <w:t>Pursuant to Section 13 or 15(d) of the</w:t>
      </w:r>
    </w:p>
    <w:p>
      <w:pPr>
        <w:spacing w:after="0" w:line="31" w:lineRule="exact"/>
        <w:rPr>
          <w:sz w:val="24"/>
          <w:szCs w:val="24"/>
          <w:color w:val="auto"/>
        </w:rPr>
      </w:pPr>
    </w:p>
    <w:p>
      <w:pPr>
        <w:ind w:left="2248"/>
        <w:spacing w:after="0"/>
        <w:rPr>
          <w:sz w:val="20"/>
          <w:szCs w:val="20"/>
          <w:color w:val="auto"/>
        </w:rPr>
      </w:pPr>
      <w:r>
        <w:rPr>
          <w:rFonts w:ascii="Courier New" w:cs="Courier New" w:eastAsia="Courier New" w:hAnsi="Courier New"/>
          <w:sz w:val="15"/>
          <w:szCs w:val="15"/>
          <w:color w:val="auto"/>
        </w:rPr>
        <w:t>Securities Exchange Act of 1934</w:t>
      </w:r>
    </w:p>
    <w:p>
      <w:pPr>
        <w:spacing w:after="0" w:line="322" w:lineRule="exact"/>
        <w:rPr>
          <w:sz w:val="24"/>
          <w:szCs w:val="24"/>
          <w:color w:val="auto"/>
        </w:rPr>
      </w:pPr>
    </w:p>
    <w:p>
      <w:pPr>
        <w:ind w:left="8"/>
        <w:spacing w:after="0"/>
        <w:tabs>
          <w:tab w:leader="none" w:pos="4587" w:val="left"/>
        </w:tabs>
        <w:rPr>
          <w:sz w:val="20"/>
          <w:szCs w:val="20"/>
          <w:color w:val="auto"/>
        </w:rPr>
      </w:pPr>
      <w:r>
        <w:rPr>
          <w:rFonts w:ascii="Courier New" w:cs="Courier New" w:eastAsia="Courier New" w:hAnsi="Courier New"/>
          <w:sz w:val="15"/>
          <w:szCs w:val="15"/>
          <w:color w:val="auto"/>
        </w:rPr>
        <w:t>Date of Report (Date of earliest event reported)</w:t>
      </w:r>
      <w:r>
        <w:rPr>
          <w:sz w:val="20"/>
          <w:szCs w:val="20"/>
          <w:color w:val="auto"/>
        </w:rPr>
        <w:tab/>
      </w:r>
      <w:r>
        <w:rPr>
          <w:rFonts w:ascii="Courier New" w:cs="Courier New" w:eastAsia="Courier New" w:hAnsi="Courier New"/>
          <w:sz w:val="14"/>
          <w:szCs w:val="14"/>
          <w:color w:val="auto"/>
        </w:rPr>
        <w:t>July 29, 2003</w:t>
      </w:r>
    </w:p>
    <w:p>
      <w:pPr>
        <w:spacing w:after="0" w:line="31" w:lineRule="exact"/>
        <w:rPr>
          <w:sz w:val="24"/>
          <w:szCs w:val="24"/>
          <w:color w:val="auto"/>
        </w:rPr>
      </w:pPr>
    </w:p>
    <w:p>
      <w:pPr>
        <w:ind w:left="4428"/>
        <w:spacing w:after="0"/>
        <w:rPr>
          <w:sz w:val="20"/>
          <w:szCs w:val="20"/>
          <w:color w:val="auto"/>
        </w:rPr>
      </w:pPr>
      <w:r>
        <w:rPr>
          <w:rFonts w:ascii="Courier New" w:cs="Courier New" w:eastAsia="Courier New" w:hAnsi="Courier New"/>
          <w:sz w:val="15"/>
          <w:szCs w:val="15"/>
          <w:color w:val="auto"/>
        </w:rPr>
        <w:t>-------------------------------</w:t>
      </w:r>
    </w:p>
    <w:p>
      <w:pPr>
        <w:spacing w:after="0" w:line="149" w:lineRule="exact"/>
        <w:rPr>
          <w:sz w:val="24"/>
          <w:szCs w:val="24"/>
          <w:color w:val="auto"/>
        </w:rPr>
      </w:pPr>
    </w:p>
    <w:p>
      <w:pPr>
        <w:ind w:left="3248"/>
        <w:spacing w:after="0"/>
        <w:rPr>
          <w:sz w:val="20"/>
          <w:szCs w:val="20"/>
          <w:color w:val="auto"/>
        </w:rPr>
      </w:pPr>
      <w:r>
        <w:rPr>
          <w:rFonts w:ascii="Courier New" w:cs="Courier New" w:eastAsia="Courier New" w:hAnsi="Courier New"/>
          <w:sz w:val="15"/>
          <w:szCs w:val="15"/>
          <w:color w:val="auto"/>
        </w:rPr>
        <w:t>NN, Inc.</w:t>
      </w:r>
    </w:p>
    <w:p>
      <w:pPr>
        <w:spacing w:after="0" w:line="31" w:lineRule="exact"/>
        <w:rPr>
          <w:sz w:val="24"/>
          <w:szCs w:val="24"/>
          <w:color w:val="auto"/>
        </w:rPr>
      </w:pPr>
    </w:p>
    <w:p>
      <w:pPr>
        <w:ind w:left="188" w:hanging="188"/>
        <w:spacing w:after="0"/>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1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(Exact name of registrant as specified in its charter)</w:t>
      </w:r>
    </w:p>
    <w:p>
      <w:pPr>
        <w:spacing w:after="0" w:line="322" w:lineRule="exact"/>
        <w:rPr>
          <w:sz w:val="24"/>
          <w:szCs w:val="24"/>
          <w:color w:val="auto"/>
        </w:rPr>
      </w:pPr>
    </w:p>
    <w:tbl>
      <w:tblPr>
        <w:tblLayout w:type="fixed"/>
        <w:tblInd w:w="8" w:type="dxa"/>
        <w:tblCellMar>
          <w:top w:w="0" w:type="dxa"/>
          <w:left w:w="0" w:type="dxa"/>
          <w:bottom w:w="0" w:type="dxa"/>
          <w:right w:w="0" w:type="dxa"/>
        </w:tblCellMar>
      </w:tblPr>
      <w:tr>
        <w:trPr>
          <w:trHeight w:val="201"/>
        </w:trPr>
        <w:tc>
          <w:tcPr>
            <w:tcW w:w="2060" w:type="dxa"/>
            <w:vAlign w:val="bottom"/>
          </w:tcPr>
          <w:p>
            <w:pPr>
              <w:spacing w:after="0"/>
              <w:rPr>
                <w:sz w:val="20"/>
                <w:szCs w:val="20"/>
                <w:color w:val="auto"/>
              </w:rPr>
            </w:pPr>
            <w:r>
              <w:rPr>
                <w:rFonts w:ascii="Courier New" w:cs="Courier New" w:eastAsia="Courier New" w:hAnsi="Courier New"/>
                <w:sz w:val="15"/>
                <w:szCs w:val="15"/>
                <w:color w:val="auto"/>
              </w:rPr>
              <w:t>DELAWARE</w:t>
            </w:r>
          </w:p>
        </w:tc>
        <w:tc>
          <w:tcPr>
            <w:tcW w:w="280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0-23486</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62-1096725</w:t>
            </w:r>
          </w:p>
        </w:tc>
      </w:tr>
    </w:tbl>
    <w:p>
      <w:pPr>
        <w:ind w:left="8"/>
        <w:spacing w:after="0"/>
        <w:rPr>
          <w:sz w:val="20"/>
          <w:szCs w:val="20"/>
          <w:color w:val="auto"/>
        </w:rPr>
      </w:pPr>
      <w:r>
        <w:rPr>
          <w:rFonts w:ascii="Courier New" w:cs="Courier New" w:eastAsia="Courier New" w:hAnsi="Courier New"/>
          <w:sz w:val="14"/>
          <w:szCs w:val="14"/>
          <w:color w:val="auto"/>
        </w:rPr>
        <w:t>- --------------------------------------------------------------------------------</w:t>
      </w:r>
    </w:p>
    <w:p>
      <w:pPr>
        <w:spacing w:after="0" w:line="15" w:lineRule="exact"/>
        <w:rPr>
          <w:sz w:val="24"/>
          <w:szCs w:val="24"/>
          <w:color w:val="auto"/>
        </w:rPr>
      </w:pPr>
    </w:p>
    <w:p>
      <w:pPr>
        <w:ind w:left="8"/>
        <w:spacing w:after="0"/>
        <w:tabs>
          <w:tab w:leader="none" w:pos="3227" w:val="left"/>
          <w:tab w:leader="none" w:pos="5567" w:val="left"/>
        </w:tabs>
        <w:rPr>
          <w:sz w:val="20"/>
          <w:szCs w:val="20"/>
          <w:color w:val="auto"/>
        </w:rPr>
      </w:pPr>
      <w:r>
        <w:rPr>
          <w:rFonts w:ascii="Courier New" w:cs="Courier New" w:eastAsia="Courier New" w:hAnsi="Courier New"/>
          <w:sz w:val="15"/>
          <w:szCs w:val="15"/>
          <w:color w:val="auto"/>
        </w:rPr>
        <w:t>(State or other jurisdiction</w:t>
      </w:r>
      <w:r>
        <w:rPr>
          <w:sz w:val="20"/>
          <w:szCs w:val="20"/>
          <w:color w:val="auto"/>
        </w:rPr>
        <w:tab/>
      </w:r>
      <w:r>
        <w:rPr>
          <w:rFonts w:ascii="Courier New" w:cs="Courier New" w:eastAsia="Courier New" w:hAnsi="Courier New"/>
          <w:sz w:val="15"/>
          <w:szCs w:val="15"/>
          <w:color w:val="auto"/>
        </w:rPr>
        <w:t>(Commission</w:t>
      </w:r>
      <w:r>
        <w:rPr>
          <w:sz w:val="20"/>
          <w:szCs w:val="20"/>
          <w:color w:val="auto"/>
        </w:rPr>
        <w:tab/>
      </w:r>
      <w:r>
        <w:rPr>
          <w:rFonts w:ascii="Courier New" w:cs="Courier New" w:eastAsia="Courier New" w:hAnsi="Courier New"/>
          <w:sz w:val="15"/>
          <w:szCs w:val="15"/>
          <w:color w:val="auto"/>
        </w:rPr>
        <w:t>(IRS Employer</w:t>
      </w:r>
    </w:p>
    <w:p>
      <w:pPr>
        <w:spacing w:after="0" w:line="3" w:lineRule="exact"/>
        <w:rPr>
          <w:sz w:val="24"/>
          <w:szCs w:val="24"/>
          <w:color w:val="auto"/>
        </w:rPr>
      </w:pPr>
    </w:p>
    <w:p>
      <w:pPr>
        <w:ind w:left="628"/>
        <w:spacing w:after="0"/>
        <w:tabs>
          <w:tab w:leader="none" w:pos="3227" w:val="left"/>
          <w:tab w:leader="none" w:pos="5387" w:val="left"/>
        </w:tabs>
        <w:rPr>
          <w:sz w:val="20"/>
          <w:szCs w:val="20"/>
          <w:color w:val="auto"/>
        </w:rPr>
      </w:pPr>
      <w:r>
        <w:rPr>
          <w:rFonts w:ascii="Courier New" w:cs="Courier New" w:eastAsia="Courier New" w:hAnsi="Courier New"/>
          <w:sz w:val="15"/>
          <w:szCs w:val="15"/>
          <w:color w:val="auto"/>
        </w:rPr>
        <w:t>of incorporation)</w:t>
      </w:r>
      <w:r>
        <w:rPr>
          <w:sz w:val="20"/>
          <w:szCs w:val="20"/>
          <w:color w:val="auto"/>
        </w:rPr>
        <w:tab/>
      </w:r>
      <w:r>
        <w:rPr>
          <w:rFonts w:ascii="Courier New" w:cs="Courier New" w:eastAsia="Courier New" w:hAnsi="Courier New"/>
          <w:sz w:val="15"/>
          <w:szCs w:val="15"/>
          <w:color w:val="auto"/>
        </w:rPr>
        <w:t>File Number)</w:t>
      </w:r>
      <w:r>
        <w:rPr>
          <w:sz w:val="20"/>
          <w:szCs w:val="20"/>
          <w:color w:val="auto"/>
        </w:rPr>
        <w:tab/>
      </w:r>
      <w:r>
        <w:rPr>
          <w:rFonts w:ascii="Courier New" w:cs="Courier New" w:eastAsia="Courier New" w:hAnsi="Courier New"/>
          <w:sz w:val="15"/>
          <w:szCs w:val="15"/>
          <w:color w:val="auto"/>
        </w:rPr>
        <w:t>Identification No.)</w:t>
      </w:r>
    </w:p>
    <w:p>
      <w:pPr>
        <w:spacing w:after="0" w:line="322" w:lineRule="exact"/>
        <w:rPr>
          <w:sz w:val="24"/>
          <w:szCs w:val="24"/>
          <w:color w:val="auto"/>
        </w:rPr>
      </w:pPr>
    </w:p>
    <w:p>
      <w:pPr>
        <w:ind w:left="8"/>
        <w:spacing w:after="0"/>
        <w:tabs>
          <w:tab w:leader="none" w:pos="5847" w:val="left"/>
        </w:tabs>
        <w:rPr>
          <w:sz w:val="20"/>
          <w:szCs w:val="20"/>
          <w:color w:val="auto"/>
        </w:rPr>
      </w:pPr>
      <w:r>
        <w:rPr>
          <w:rFonts w:ascii="Courier New" w:cs="Courier New" w:eastAsia="Courier New" w:hAnsi="Courier New"/>
          <w:sz w:val="15"/>
          <w:szCs w:val="15"/>
          <w:color w:val="auto"/>
        </w:rPr>
        <w:t>2000 Waters Edge Drive, Johnson City, Tennessee</w:t>
      </w:r>
      <w:r>
        <w:rPr>
          <w:sz w:val="20"/>
          <w:szCs w:val="20"/>
          <w:color w:val="auto"/>
        </w:rPr>
        <w:tab/>
      </w:r>
      <w:r>
        <w:rPr>
          <w:rFonts w:ascii="Courier New" w:cs="Courier New" w:eastAsia="Courier New" w:hAnsi="Courier New"/>
          <w:sz w:val="14"/>
          <w:szCs w:val="14"/>
          <w:color w:val="auto"/>
        </w:rPr>
        <w:t>37604</w:t>
      </w:r>
    </w:p>
    <w:p>
      <w:pPr>
        <w:spacing w:after="0" w:line="31"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304" w:lineRule="exact"/>
        <w:rPr>
          <w:sz w:val="24"/>
          <w:szCs w:val="24"/>
          <w:color w:val="auto"/>
        </w:rPr>
      </w:pPr>
    </w:p>
    <w:p>
      <w:pPr>
        <w:ind w:left="268"/>
        <w:spacing w:after="0"/>
        <w:tabs>
          <w:tab w:leader="none" w:pos="5667"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ectPr>
          <w:pgSz w:w="11900" w:h="16838" w:orient="portrait"/>
          <w:cols w:equalWidth="0" w:num="1">
            <w:col w:w="10227"/>
          </w:cols>
          <w:pgMar w:left="232" w:top="379" w:right="1440" w:bottom="832" w:gutter="0" w:footer="0" w:header="0"/>
        </w:sectPr>
      </w:pPr>
    </w:p>
    <w:p>
      <w:pPr>
        <w:spacing w:after="0" w:line="200" w:lineRule="exact"/>
        <w:rPr>
          <w:sz w:val="24"/>
          <w:szCs w:val="24"/>
          <w:color w:val="auto"/>
        </w:rPr>
      </w:pPr>
    </w:p>
    <w:p>
      <w:pPr>
        <w:spacing w:after="0" w:line="324"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4"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(423) 743-9151</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ectPr>
          <w:pgSz w:w="11900" w:h="16838" w:orient="portrait"/>
          <w:cols w:equalWidth="0" w:num="2">
            <w:col w:w="4508" w:space="100"/>
            <w:col w:w="5619"/>
          </w:cols>
          <w:pgMar w:left="232" w:top="379" w:right="1440" w:bottom="832" w:gutter="0" w:footer="0" w:header="0"/>
          <w:type w:val="continuous"/>
        </w:sectPr>
      </w:pPr>
    </w:p>
    <w:p>
      <w:pPr>
        <w:spacing w:after="0" w:line="307" w:lineRule="exact"/>
        <w:rPr>
          <w:sz w:val="24"/>
          <w:szCs w:val="24"/>
          <w:color w:val="auto"/>
        </w:rPr>
      </w:pPr>
    </w:p>
    <w:p>
      <w:pPr>
        <w:ind w:left="2968"/>
        <w:spacing w:after="0"/>
        <w:rPr>
          <w:sz w:val="20"/>
          <w:szCs w:val="20"/>
          <w:color w:val="auto"/>
        </w:rPr>
      </w:pPr>
      <w:r>
        <w:rPr>
          <w:rFonts w:ascii="Courier New" w:cs="Courier New" w:eastAsia="Courier New" w:hAnsi="Courier New"/>
          <w:sz w:val="15"/>
          <w:szCs w:val="15"/>
          <w:color w:val="auto"/>
        </w:rPr>
        <w:t>Not applicable</w:t>
      </w:r>
    </w:p>
    <w:p>
      <w:pPr>
        <w:spacing w:after="0" w:line="31" w:lineRule="exact"/>
        <w:rPr>
          <w:sz w:val="24"/>
          <w:szCs w:val="24"/>
          <w:color w:val="auto"/>
        </w:rPr>
      </w:pPr>
    </w:p>
    <w:p>
      <w:pPr>
        <w:ind w:left="188" w:hanging="188"/>
        <w:spacing w:after="0"/>
        <w:tabs>
          <w:tab w:leader="none" w:pos="18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90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304165</wp:posOffset>
            </wp:positionV>
            <wp:extent cx="7291705"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ind w:left="8"/>
        <w:spacing w:after="0"/>
        <w:tabs>
          <w:tab w:leader="none" w:pos="787" w:val="left"/>
        </w:tabs>
        <w:rPr>
          <w:sz w:val="20"/>
          <w:szCs w:val="20"/>
          <w:color w:val="auto"/>
        </w:rPr>
      </w:pPr>
      <w:r>
        <w:rPr>
          <w:rFonts w:ascii="Courier New" w:cs="Courier New" w:eastAsia="Courier New" w:hAnsi="Courier New"/>
          <w:sz w:val="15"/>
          <w:szCs w:val="15"/>
          <w:b w:val="1"/>
          <w:bCs w:val="1"/>
          <w:color w:val="auto"/>
        </w:rPr>
        <w:t>Item 7.</w:t>
      </w:r>
      <w:r>
        <w:rPr>
          <w:sz w:val="20"/>
          <w:szCs w:val="20"/>
          <w:color w:val="auto"/>
        </w:rPr>
        <w:tab/>
      </w:r>
      <w:r>
        <w:rPr>
          <w:rFonts w:ascii="Courier New" w:cs="Courier New" w:eastAsia="Courier New" w:hAnsi="Courier New"/>
          <w:sz w:val="14"/>
          <w:szCs w:val="14"/>
          <w:b w:val="1"/>
          <w:bCs w:val="1"/>
          <w:color w:val="auto"/>
        </w:rPr>
        <w:t>Financial Statements and Exhibits.</w:t>
      </w:r>
    </w:p>
    <w:p>
      <w:pPr>
        <w:spacing w:after="0" w:line="207" w:lineRule="exact"/>
        <w:rPr>
          <w:sz w:val="24"/>
          <w:szCs w:val="24"/>
          <w:color w:val="auto"/>
        </w:rPr>
      </w:pPr>
    </w:p>
    <w:p>
      <w:pPr>
        <w:ind w:left="808" w:right="4359" w:firstLine="4"/>
        <w:spacing w:after="0" w:line="591" w:lineRule="auto"/>
        <w:tabs>
          <w:tab w:leader="none" w:pos="116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The following exhibits are filed herewith: 99.1 Press Release dated July 29, 2003.</w:t>
      </w:r>
    </w:p>
    <w:p>
      <w:pPr>
        <w:ind w:left="8"/>
        <w:spacing w:after="0"/>
        <w:tabs>
          <w:tab w:leader="none" w:pos="887" w:val="left"/>
        </w:tabs>
        <w:rPr>
          <w:sz w:val="20"/>
          <w:szCs w:val="20"/>
          <w:color w:val="auto"/>
        </w:rPr>
      </w:pPr>
      <w:r>
        <w:rPr>
          <w:rFonts w:ascii="Courier New" w:cs="Courier New" w:eastAsia="Courier New" w:hAnsi="Courier New"/>
          <w:sz w:val="15"/>
          <w:szCs w:val="15"/>
          <w:b w:val="1"/>
          <w:bCs w:val="1"/>
          <w:color w:val="auto"/>
        </w:rPr>
        <w:t>Item 12.</w:t>
      </w:r>
      <w:r>
        <w:rPr>
          <w:sz w:val="20"/>
          <w:szCs w:val="20"/>
          <w:color w:val="auto"/>
        </w:rPr>
        <w:tab/>
      </w:r>
      <w:r>
        <w:rPr>
          <w:rFonts w:ascii="Courier New" w:cs="Courier New" w:eastAsia="Courier New" w:hAnsi="Courier New"/>
          <w:sz w:val="14"/>
          <w:szCs w:val="14"/>
          <w:b w:val="1"/>
          <w:bCs w:val="1"/>
          <w:color w:val="auto"/>
        </w:rPr>
        <w:t>Results of Operations and Financial Condition.</w:t>
      </w:r>
    </w:p>
    <w:p>
      <w:pPr>
        <w:spacing w:after="0" w:line="207" w:lineRule="exact"/>
        <w:rPr>
          <w:sz w:val="24"/>
          <w:szCs w:val="24"/>
          <w:color w:val="auto"/>
        </w:rPr>
      </w:pPr>
    </w:p>
    <w:p>
      <w:pPr>
        <w:ind w:left="8" w:right="3459" w:firstLine="811"/>
        <w:spacing w:after="0" w:line="305" w:lineRule="auto"/>
        <w:rPr>
          <w:sz w:val="20"/>
          <w:szCs w:val="20"/>
          <w:color w:val="auto"/>
        </w:rPr>
      </w:pPr>
      <w:r>
        <w:rPr>
          <w:rFonts w:ascii="Courier New" w:cs="Courier New" w:eastAsia="Courier New" w:hAnsi="Courier New"/>
          <w:sz w:val="15"/>
          <w:szCs w:val="15"/>
          <w:color w:val="auto"/>
        </w:rPr>
        <w:t>On July 29, 2003 the Company issued a press release announcing its earnings for the second quarter of 2003. A copy of the press release is furnished under Item 12 of this Form 8-K as Exhibit 99.1.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128270</wp:posOffset>
            </wp:positionV>
            <wp:extent cx="7291705" cy="40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ind w:left="3248"/>
        <w:spacing w:after="0"/>
        <w:rPr>
          <w:sz w:val="20"/>
          <w:szCs w:val="20"/>
          <w:color w:val="auto"/>
        </w:rPr>
      </w:pPr>
      <w:r>
        <w:rPr>
          <w:rFonts w:ascii="Courier New" w:cs="Courier New" w:eastAsia="Courier New" w:hAnsi="Courier New"/>
          <w:sz w:val="15"/>
          <w:szCs w:val="15"/>
          <w:color w:val="auto"/>
        </w:rPr>
        <w:t>SIGNATURE</w:t>
      </w:r>
    </w:p>
    <w:p>
      <w:pPr>
        <w:spacing w:after="0" w:line="350" w:lineRule="exact"/>
        <w:rPr>
          <w:sz w:val="24"/>
          <w:szCs w:val="24"/>
          <w:color w:val="auto"/>
        </w:rPr>
      </w:pPr>
    </w:p>
    <w:p>
      <w:pPr>
        <w:ind w:left="8" w:right="3279" w:firstLine="811"/>
        <w:spacing w:after="0" w:line="30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hereunto duly authorized.</w:t>
      </w:r>
    </w:p>
    <w:p>
      <w:pPr>
        <w:spacing w:after="0" w:line="46" w:lineRule="exact"/>
        <w:rPr>
          <w:sz w:val="24"/>
          <w:szCs w:val="24"/>
          <w:color w:val="auto"/>
        </w:rPr>
      </w:pPr>
    </w:p>
    <w:p>
      <w:pPr>
        <w:ind w:left="808"/>
        <w:spacing w:after="0"/>
        <w:tabs>
          <w:tab w:leader="none" w:pos="1427" w:val="left"/>
        </w:tabs>
        <w:rPr>
          <w:sz w:val="20"/>
          <w:szCs w:val="20"/>
          <w:color w:val="auto"/>
        </w:rPr>
      </w:pPr>
      <w:r>
        <w:rPr>
          <w:rFonts w:ascii="Courier New" w:cs="Courier New" w:eastAsia="Courier New" w:hAnsi="Courier New"/>
          <w:sz w:val="15"/>
          <w:szCs w:val="15"/>
          <w:color w:val="auto"/>
        </w:rPr>
        <w:t>Date:</w:t>
        <w:tab/>
        <w:t>July 29, 2003</w:t>
      </w:r>
    </w:p>
    <w:p>
      <w:pPr>
        <w:spacing w:after="0" w:line="31" w:lineRule="exact"/>
        <w:rPr>
          <w:sz w:val="24"/>
          <w:szCs w:val="24"/>
          <w:color w:val="auto"/>
        </w:rPr>
      </w:pPr>
    </w:p>
    <w:p>
      <w:pPr>
        <w:ind w:left="3968"/>
        <w:spacing w:after="0"/>
        <w:rPr>
          <w:sz w:val="20"/>
          <w:szCs w:val="20"/>
          <w:color w:val="auto"/>
        </w:rPr>
      </w:pPr>
      <w:r>
        <w:rPr>
          <w:rFonts w:ascii="Courier New" w:cs="Courier New" w:eastAsia="Courier New" w:hAnsi="Courier New"/>
          <w:sz w:val="15"/>
          <w:szCs w:val="15"/>
          <w:color w:val="auto"/>
        </w:rPr>
        <w:t>NN, INC.</w:t>
      </w:r>
    </w:p>
    <w:p>
      <w:pPr>
        <w:spacing w:after="0" w:line="322" w:lineRule="exact"/>
        <w:rPr>
          <w:sz w:val="24"/>
          <w:szCs w:val="24"/>
          <w:color w:val="auto"/>
        </w:rPr>
      </w:pPr>
    </w:p>
    <w:p>
      <w:pPr>
        <w:ind w:left="3968"/>
        <w:spacing w:after="0"/>
        <w:tabs>
          <w:tab w:leader="none" w:pos="4407" w:val="left"/>
        </w:tabs>
        <w:rPr>
          <w:sz w:val="20"/>
          <w:szCs w:val="20"/>
          <w:color w:val="auto"/>
        </w:rPr>
      </w:pPr>
      <w:r>
        <w:rPr>
          <w:rFonts w:ascii="Courier New" w:cs="Courier New" w:eastAsia="Courier New" w:hAnsi="Courier New"/>
          <w:sz w:val="15"/>
          <w:szCs w:val="15"/>
          <w:color w:val="auto"/>
        </w:rPr>
        <w:t>By:</w:t>
        <w:tab/>
        <w:t>/s/ William C. Kelly, Jr.</w:t>
      </w:r>
    </w:p>
    <w:p>
      <w:pPr>
        <w:spacing w:after="0" w:line="31" w:lineRule="exact"/>
        <w:rPr>
          <w:sz w:val="24"/>
          <w:szCs w:val="24"/>
          <w:color w:val="auto"/>
        </w:rPr>
      </w:pPr>
    </w:p>
    <w:p>
      <w:pPr>
        <w:ind w:left="4228"/>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ind w:left="4428"/>
        <w:spacing w:after="0"/>
        <w:rPr>
          <w:sz w:val="20"/>
          <w:szCs w:val="20"/>
          <w:color w:val="auto"/>
        </w:rPr>
      </w:pPr>
      <w:r>
        <w:rPr>
          <w:rFonts w:ascii="Courier New" w:cs="Courier New" w:eastAsia="Courier New" w:hAnsi="Courier New"/>
          <w:sz w:val="15"/>
          <w:szCs w:val="15"/>
          <w:color w:val="auto"/>
        </w:rPr>
        <w:t>William C. Kelly, Jr.,</w:t>
      </w:r>
    </w:p>
    <w:p>
      <w:pPr>
        <w:spacing w:after="0" w:line="3" w:lineRule="exact"/>
        <w:rPr>
          <w:sz w:val="24"/>
          <w:szCs w:val="24"/>
          <w:color w:val="auto"/>
        </w:rPr>
      </w:pPr>
    </w:p>
    <w:p>
      <w:pPr>
        <w:ind w:left="4428"/>
        <w:spacing w:after="0"/>
        <w:rPr>
          <w:sz w:val="20"/>
          <w:szCs w:val="20"/>
          <w:color w:val="auto"/>
        </w:rPr>
      </w:pPr>
      <w:r>
        <w:rPr>
          <w:rFonts w:ascii="Courier New" w:cs="Courier New" w:eastAsia="Courier New" w:hAnsi="Courier New"/>
          <w:sz w:val="15"/>
          <w:szCs w:val="15"/>
          <w:color w:val="auto"/>
        </w:rPr>
        <w:t>Secretary, Treasurer and Chief</w:t>
      </w:r>
    </w:p>
    <w:p>
      <w:pPr>
        <w:spacing w:after="0" w:line="3" w:lineRule="exact"/>
        <w:rPr>
          <w:sz w:val="24"/>
          <w:szCs w:val="24"/>
          <w:color w:val="auto"/>
        </w:rPr>
      </w:pPr>
    </w:p>
    <w:p>
      <w:pPr>
        <w:ind w:left="4428"/>
        <w:spacing w:after="0"/>
        <w:rPr>
          <w:sz w:val="20"/>
          <w:szCs w:val="20"/>
          <w:color w:val="auto"/>
        </w:rPr>
      </w:pPr>
      <w:r>
        <w:rPr>
          <w:rFonts w:ascii="Courier New" w:cs="Courier New" w:eastAsia="Courier New" w:hAnsi="Courier New"/>
          <w:sz w:val="15"/>
          <w:szCs w:val="15"/>
          <w:color w:val="auto"/>
        </w:rPr>
        <w:t>Administrative Officer</w:t>
      </w:r>
    </w:p>
    <w:p>
      <w:pPr>
        <w:sectPr>
          <w:pgSz w:w="11900" w:h="16838" w:orient="portrait"/>
          <w:cols w:equalWidth="0" w:num="1">
            <w:col w:w="10227"/>
          </w:cols>
          <w:pgMar w:left="232" w:top="379" w:right="1440" w:bottom="832" w:gutter="0" w:footer="0" w:header="0"/>
          <w:type w:val="continuous"/>
        </w:sectPr>
      </w:pPr>
    </w:p>
    <w:bookmarkStart w:id="1" w:name="page2"/>
    <w:bookmarkEnd w:id="1"/>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5248910</wp:posOffset>
            </wp:positionH>
            <wp:positionV relativeFrom="page">
              <wp:posOffset>404495</wp:posOffset>
            </wp:positionV>
            <wp:extent cx="2165350"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165350" cy="660400"/>
                    </a:xfrm>
                    <a:prstGeom prst="rect">
                      <a:avLst/>
                    </a:prstGeom>
                    <a:noFill/>
                  </pic:spPr>
                </pic:pic>
              </a:graphicData>
            </a:graphic>
          </wp:anchor>
        </w:drawing>
        <w:drawing>
          <wp:anchor simplePos="0" relativeHeight="251657728" behindDoc="1" locked="0" layoutInCell="0" allowOverlap="1">
            <wp:simplePos x="0" y="0"/>
            <wp:positionH relativeFrom="page">
              <wp:posOffset>147320</wp:posOffset>
            </wp:positionH>
            <wp:positionV relativeFrom="page">
              <wp:posOffset>404495</wp:posOffset>
            </wp:positionV>
            <wp:extent cx="1468120" cy="367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468120" cy="3670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1980" w:type="dxa"/>
            <w:vAlign w:val="bottom"/>
          </w:tcPr>
          <w:p>
            <w:pPr>
              <w:ind w:left="400"/>
              <w:spacing w:after="0"/>
              <w:rPr>
                <w:sz w:val="20"/>
                <w:szCs w:val="20"/>
                <w:color w:val="auto"/>
              </w:rPr>
            </w:pPr>
            <w:r>
              <w:rPr>
                <w:rFonts w:ascii="Courier New" w:cs="Courier New" w:eastAsia="Courier New" w:hAnsi="Courier New"/>
                <w:sz w:val="15"/>
                <w:szCs w:val="15"/>
                <w:color w:val="auto"/>
              </w:rPr>
              <w:t>RE: NN, Inc.</w:t>
            </w:r>
          </w:p>
        </w:tc>
        <w:tc>
          <w:tcPr>
            <w:tcW w:w="1300" w:type="dxa"/>
            <w:vAlign w:val="bottom"/>
          </w:tcPr>
          <w:p>
            <w:pPr>
              <w:spacing w:after="0"/>
              <w:rPr>
                <w:sz w:val="15"/>
                <w:szCs w:val="15"/>
                <w:color w:val="auto"/>
              </w:rPr>
            </w:pPr>
          </w:p>
        </w:tc>
      </w:tr>
      <w:tr>
        <w:trPr>
          <w:trHeight w:val="173"/>
        </w:trPr>
        <w:tc>
          <w:tcPr>
            <w:tcW w:w="4100" w:type="dxa"/>
            <w:vAlign w:val="bottom"/>
          </w:tcPr>
          <w:p>
            <w:pPr>
              <w:spacing w:after="0"/>
              <w:rPr>
                <w:sz w:val="15"/>
                <w:szCs w:val="15"/>
                <w:color w:val="auto"/>
              </w:rPr>
            </w:pPr>
          </w:p>
        </w:tc>
        <w:tc>
          <w:tcPr>
            <w:tcW w:w="328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2000 Waters Edge Drive</w:t>
            </w:r>
          </w:p>
        </w:tc>
      </w:tr>
      <w:tr>
        <w:trPr>
          <w:trHeight w:val="255"/>
        </w:trPr>
        <w:tc>
          <w:tcPr>
            <w:tcW w:w="4100" w:type="dxa"/>
            <w:vAlign w:val="bottom"/>
          </w:tcPr>
          <w:p>
            <w:pPr>
              <w:spacing w:after="0"/>
              <w:rPr>
                <w:sz w:val="22"/>
                <w:szCs w:val="22"/>
                <w:color w:val="auto"/>
              </w:rPr>
            </w:pPr>
          </w:p>
        </w:tc>
        <w:tc>
          <w:tcPr>
            <w:tcW w:w="1980" w:type="dxa"/>
            <w:vAlign w:val="bottom"/>
          </w:tcPr>
          <w:p>
            <w:pPr>
              <w:ind w:left="760"/>
              <w:spacing w:after="0"/>
              <w:rPr>
                <w:sz w:val="20"/>
                <w:szCs w:val="20"/>
                <w:color w:val="auto"/>
              </w:rPr>
            </w:pPr>
            <w:r>
              <w:rPr>
                <w:rFonts w:ascii="Courier New" w:cs="Courier New" w:eastAsia="Courier New" w:hAnsi="Courier New"/>
                <w:sz w:val="15"/>
                <w:szCs w:val="15"/>
                <w:color w:val="auto"/>
              </w:rPr>
              <w:t>Johnson City,</w:t>
            </w: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rPr>
              <w:t>TN  37604</w:t>
            </w:r>
          </w:p>
        </w:tc>
      </w:tr>
      <w:tr>
        <w:trPr>
          <w:trHeight w:val="520"/>
        </w:trPr>
        <w:tc>
          <w:tcPr>
            <w:tcW w:w="4100" w:type="dxa"/>
            <w:vAlign w:val="bottom"/>
          </w:tcPr>
          <w:p>
            <w:pPr>
              <w:spacing w:after="0"/>
              <w:rPr>
                <w:sz w:val="20"/>
                <w:szCs w:val="20"/>
                <w:color w:val="auto"/>
              </w:rPr>
            </w:pPr>
            <w:r>
              <w:rPr>
                <w:rFonts w:ascii="Courier New" w:cs="Courier New" w:eastAsia="Courier New" w:hAnsi="Courier New"/>
                <w:sz w:val="15"/>
                <w:szCs w:val="15"/>
                <w:color w:val="auto"/>
              </w:rPr>
              <w:t>FOR FURTHER INFORMATION:</w:t>
            </w:r>
          </w:p>
        </w:tc>
        <w:tc>
          <w:tcPr>
            <w:tcW w:w="19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5"/>
        </w:trPr>
        <w:tc>
          <w:tcPr>
            <w:tcW w:w="4100" w:type="dxa"/>
            <w:vAlign w:val="bottom"/>
          </w:tcPr>
          <w:p>
            <w:pPr>
              <w:spacing w:after="0"/>
              <w:rPr>
                <w:sz w:val="20"/>
                <w:szCs w:val="20"/>
                <w:color w:val="auto"/>
              </w:rPr>
            </w:pPr>
            <w:r>
              <w:rPr>
                <w:rFonts w:ascii="Courier New" w:cs="Courier New" w:eastAsia="Courier New" w:hAnsi="Courier New"/>
                <w:sz w:val="15"/>
                <w:szCs w:val="15"/>
                <w:b w:val="1"/>
                <w:bCs w:val="1"/>
                <w:color w:val="auto"/>
              </w:rPr>
              <w:t>AT THE COMPANY</w:t>
            </w:r>
          </w:p>
        </w:tc>
        <w:tc>
          <w:tcPr>
            <w:tcW w:w="3280" w:type="dxa"/>
            <w:vAlign w:val="bottom"/>
            <w:gridSpan w:val="2"/>
          </w:tcPr>
          <w:p>
            <w:pPr>
              <w:ind w:left="580"/>
              <w:spacing w:after="0"/>
              <w:rPr>
                <w:sz w:val="20"/>
                <w:szCs w:val="20"/>
                <w:color w:val="auto"/>
              </w:rPr>
            </w:pPr>
            <w:r>
              <w:rPr>
                <w:rFonts w:ascii="Courier New" w:cs="Courier New" w:eastAsia="Courier New" w:hAnsi="Courier New"/>
                <w:sz w:val="15"/>
                <w:szCs w:val="15"/>
                <w:b w:val="1"/>
                <w:bCs w:val="1"/>
                <w:color w:val="auto"/>
              </w:rPr>
              <w:t>AT FRB|WEBER SHANDWICK</w:t>
            </w:r>
          </w:p>
        </w:tc>
      </w:tr>
      <w:tr>
        <w:trPr>
          <w:trHeight w:val="194"/>
        </w:trPr>
        <w:tc>
          <w:tcPr>
            <w:tcW w:w="4100" w:type="dxa"/>
            <w:vAlign w:val="bottom"/>
          </w:tcPr>
          <w:p>
            <w:pPr>
              <w:spacing w:after="0"/>
              <w:rPr>
                <w:sz w:val="20"/>
                <w:szCs w:val="20"/>
                <w:color w:val="auto"/>
              </w:rPr>
            </w:pPr>
            <w:r>
              <w:rPr>
                <w:rFonts w:ascii="Courier New" w:cs="Courier New" w:eastAsia="Courier New" w:hAnsi="Courier New"/>
                <w:sz w:val="15"/>
                <w:szCs w:val="15"/>
                <w:b w:val="1"/>
                <w:bCs w:val="1"/>
                <w:color w:val="auto"/>
              </w:rPr>
              <w:t>- --------------</w:t>
            </w:r>
          </w:p>
        </w:tc>
        <w:tc>
          <w:tcPr>
            <w:tcW w:w="3280" w:type="dxa"/>
            <w:vAlign w:val="bottom"/>
            <w:gridSpan w:val="2"/>
          </w:tcPr>
          <w:p>
            <w:pPr>
              <w:ind w:left="760"/>
              <w:spacing w:after="0"/>
              <w:rPr>
                <w:sz w:val="20"/>
                <w:szCs w:val="20"/>
                <w:color w:val="auto"/>
              </w:rPr>
            </w:pPr>
            <w:r>
              <w:rPr>
                <w:rFonts w:ascii="Courier New" w:cs="Courier New" w:eastAsia="Courier New" w:hAnsi="Courier New"/>
                <w:sz w:val="15"/>
                <w:szCs w:val="15"/>
                <w:b w:val="1"/>
                <w:bCs w:val="1"/>
                <w:color w:val="auto"/>
              </w:rPr>
              <w:t>----------------------</w:t>
            </w: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Will Kelly</w:t>
            </w:r>
          </w:p>
        </w:tc>
        <w:tc>
          <w:tcPr>
            <w:tcW w:w="1980" w:type="dxa"/>
            <w:vAlign w:val="bottom"/>
          </w:tcPr>
          <w:p>
            <w:pPr>
              <w:ind w:left="580"/>
              <w:spacing w:after="0"/>
              <w:rPr>
                <w:sz w:val="20"/>
                <w:szCs w:val="20"/>
                <w:color w:val="auto"/>
              </w:rPr>
            </w:pPr>
            <w:r>
              <w:rPr>
                <w:rFonts w:ascii="Courier New" w:cs="Courier New" w:eastAsia="Courier New" w:hAnsi="Courier New"/>
                <w:sz w:val="15"/>
                <w:szCs w:val="15"/>
                <w:color w:val="auto"/>
              </w:rPr>
              <w:t>Kerry Thalheim</w:t>
            </w: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rPr>
              <w:t>Susan Garland</w:t>
            </w: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Treasurer &amp; Manager of Investor Relations</w:t>
            </w:r>
          </w:p>
        </w:tc>
        <w:tc>
          <w:tcPr>
            <w:tcW w:w="1980" w:type="dxa"/>
            <w:vAlign w:val="bottom"/>
          </w:tcPr>
          <w:p>
            <w:pPr>
              <w:ind w:left="580"/>
              <w:spacing w:after="0"/>
              <w:rPr>
                <w:sz w:val="20"/>
                <w:szCs w:val="20"/>
                <w:color w:val="auto"/>
              </w:rPr>
            </w:pPr>
            <w:r>
              <w:rPr>
                <w:rFonts w:ascii="Courier New" w:cs="Courier New" w:eastAsia="Courier New" w:hAnsi="Courier New"/>
                <w:sz w:val="15"/>
                <w:szCs w:val="15"/>
                <w:color w:val="auto"/>
              </w:rPr>
              <w:t>(General info)</w:t>
            </w: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w w:val="98"/>
              </w:rPr>
              <w:t>(Analyst info)</w:t>
            </w:r>
          </w:p>
        </w:tc>
      </w:tr>
      <w:tr>
        <w:trPr>
          <w:trHeight w:val="255"/>
        </w:trPr>
        <w:tc>
          <w:tcPr>
            <w:tcW w:w="4100" w:type="dxa"/>
            <w:vAlign w:val="bottom"/>
          </w:tcPr>
          <w:p>
            <w:pPr>
              <w:spacing w:after="0"/>
              <w:rPr>
                <w:sz w:val="20"/>
                <w:szCs w:val="20"/>
                <w:color w:val="auto"/>
              </w:rPr>
            </w:pPr>
            <w:r>
              <w:rPr>
                <w:rFonts w:ascii="Courier New" w:cs="Courier New" w:eastAsia="Courier New" w:hAnsi="Courier New"/>
                <w:sz w:val="15"/>
                <w:szCs w:val="15"/>
                <w:color w:val="auto"/>
              </w:rPr>
              <w:t>(423) 743-9151</w:t>
            </w:r>
          </w:p>
        </w:tc>
        <w:tc>
          <w:tcPr>
            <w:tcW w:w="1980" w:type="dxa"/>
            <w:vAlign w:val="bottom"/>
          </w:tcPr>
          <w:p>
            <w:pPr>
              <w:ind w:left="580"/>
              <w:spacing w:after="0"/>
              <w:rPr>
                <w:sz w:val="20"/>
                <w:szCs w:val="20"/>
                <w:color w:val="auto"/>
              </w:rPr>
            </w:pPr>
            <w:r>
              <w:rPr>
                <w:rFonts w:ascii="Courier New" w:cs="Courier New" w:eastAsia="Courier New" w:hAnsi="Courier New"/>
                <w:sz w:val="15"/>
                <w:szCs w:val="15"/>
                <w:color w:val="auto"/>
              </w:rPr>
              <w:t>212-445-8437</w:t>
            </w: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rPr>
              <w:t>212-445-8458</w:t>
            </w:r>
          </w:p>
        </w:tc>
      </w:tr>
      <w:tr>
        <w:trPr>
          <w:trHeight w:val="265"/>
        </w:trPr>
        <w:tc>
          <w:tcPr>
            <w:tcW w:w="4100" w:type="dxa"/>
            <w:vAlign w:val="bottom"/>
          </w:tcPr>
          <w:p>
            <w:pPr>
              <w:spacing w:after="0"/>
              <w:rPr>
                <w:sz w:val="20"/>
                <w:szCs w:val="20"/>
                <w:color w:val="auto"/>
              </w:rPr>
            </w:pPr>
            <w:r>
              <w:rPr>
                <w:rFonts w:ascii="Courier New" w:cs="Courier New" w:eastAsia="Courier New" w:hAnsi="Courier New"/>
                <w:sz w:val="15"/>
                <w:szCs w:val="15"/>
                <w:b w:val="1"/>
                <w:bCs w:val="1"/>
                <w:color w:val="auto"/>
              </w:rPr>
              <w:t>FOR IMMEDIATE RELEASE</w:t>
            </w:r>
          </w:p>
        </w:tc>
        <w:tc>
          <w:tcPr>
            <w:tcW w:w="19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5"/>
        </w:trPr>
        <w:tc>
          <w:tcPr>
            <w:tcW w:w="4100" w:type="dxa"/>
            <w:vAlign w:val="bottom"/>
          </w:tcPr>
          <w:p>
            <w:pPr>
              <w:spacing w:after="0"/>
              <w:rPr>
                <w:sz w:val="20"/>
                <w:szCs w:val="20"/>
                <w:color w:val="auto"/>
              </w:rPr>
            </w:pPr>
            <w:r>
              <w:rPr>
                <w:rFonts w:ascii="Courier New" w:cs="Courier New" w:eastAsia="Courier New" w:hAnsi="Courier New"/>
                <w:sz w:val="15"/>
                <w:szCs w:val="15"/>
                <w:color w:val="auto"/>
              </w:rPr>
              <w:t>July 29, 2003</w:t>
            </w:r>
          </w:p>
        </w:tc>
        <w:tc>
          <w:tcPr>
            <w:tcW w:w="19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45"/>
        </w:trPr>
        <w:tc>
          <w:tcPr>
            <w:tcW w:w="6080" w:type="dxa"/>
            <w:vAlign w:val="bottom"/>
            <w:gridSpan w:val="2"/>
          </w:tcPr>
          <w:p>
            <w:pPr>
              <w:spacing w:after="0"/>
              <w:rPr>
                <w:sz w:val="20"/>
                <w:szCs w:val="20"/>
                <w:color w:val="auto"/>
              </w:rPr>
            </w:pPr>
            <w:r>
              <w:rPr>
                <w:rFonts w:ascii="Courier New" w:cs="Courier New" w:eastAsia="Courier New" w:hAnsi="Courier New"/>
                <w:sz w:val="15"/>
                <w:szCs w:val="15"/>
                <w:b w:val="1"/>
                <w:bCs w:val="1"/>
                <w:color w:val="auto"/>
              </w:rPr>
              <w:t>NN, INC. REPORTS REVENUE AND ADJUSTED NET INCOME UP 30.5% AND 29.0%</w:t>
            </w:r>
          </w:p>
        </w:tc>
        <w:tc>
          <w:tcPr>
            <w:tcW w:w="1300" w:type="dxa"/>
            <w:vAlign w:val="bottom"/>
          </w:tcPr>
          <w:p>
            <w:pPr>
              <w:ind w:left="40"/>
              <w:spacing w:after="0"/>
              <w:rPr>
                <w:sz w:val="20"/>
                <w:szCs w:val="20"/>
                <w:color w:val="auto"/>
              </w:rPr>
            </w:pPr>
            <w:r>
              <w:rPr>
                <w:rFonts w:ascii="Courier New" w:cs="Courier New" w:eastAsia="Courier New" w:hAnsi="Courier New"/>
                <w:sz w:val="15"/>
                <w:szCs w:val="15"/>
                <w:b w:val="1"/>
                <w:bCs w:val="1"/>
                <w:color w:val="auto"/>
              </w:rPr>
              <w:t>RESPECTIVELY</w:t>
            </w:r>
          </w:p>
        </w:tc>
      </w:tr>
      <w:tr>
        <w:trPr>
          <w:trHeight w:val="289"/>
        </w:trPr>
        <w:tc>
          <w:tcPr>
            <w:tcW w:w="6080" w:type="dxa"/>
            <w:vAlign w:val="bottom"/>
            <w:gridSpan w:val="2"/>
          </w:tcPr>
          <w:p>
            <w:pPr>
              <w:ind w:left="2240"/>
              <w:spacing w:after="0"/>
              <w:rPr>
                <w:sz w:val="20"/>
                <w:szCs w:val="20"/>
                <w:color w:val="auto"/>
              </w:rPr>
            </w:pPr>
            <w:r>
              <w:rPr>
                <w:rFonts w:ascii="Courier New" w:cs="Courier New" w:eastAsia="Courier New" w:hAnsi="Courier New"/>
                <w:sz w:val="15"/>
                <w:szCs w:val="15"/>
                <w:b w:val="1"/>
                <w:bCs w:val="1"/>
                <w:color w:val="auto"/>
              </w:rPr>
              <w:t>IN THE SECOND QUARTER OF 2003</w:t>
            </w:r>
          </w:p>
        </w:tc>
        <w:tc>
          <w:tcPr>
            <w:tcW w:w="1300" w:type="dxa"/>
            <w:vAlign w:val="bottom"/>
          </w:tcPr>
          <w:p>
            <w:pPr>
              <w:spacing w:after="0"/>
              <w:rPr>
                <w:sz w:val="24"/>
                <w:szCs w:val="24"/>
                <w:color w:val="auto"/>
              </w:rPr>
            </w:pPr>
          </w:p>
        </w:tc>
      </w:tr>
    </w:tbl>
    <w:p>
      <w:pPr>
        <w:spacing w:after="0" w:line="221" w:lineRule="exact"/>
        <w:rPr>
          <w:sz w:val="20"/>
          <w:szCs w:val="20"/>
          <w:color w:val="auto"/>
        </w:rPr>
      </w:pPr>
    </w:p>
    <w:p>
      <w:pPr>
        <w:ind w:right="3019"/>
        <w:spacing w:after="0" w:line="265" w:lineRule="auto"/>
        <w:rPr>
          <w:sz w:val="20"/>
          <w:szCs w:val="20"/>
          <w:color w:val="auto"/>
        </w:rPr>
      </w:pPr>
      <w:r>
        <w:rPr>
          <w:rFonts w:ascii="Courier New" w:cs="Courier New" w:eastAsia="Courier New" w:hAnsi="Courier New"/>
          <w:sz w:val="15"/>
          <w:szCs w:val="15"/>
          <w:b w:val="1"/>
          <w:bCs w:val="1"/>
          <w:color w:val="auto"/>
        </w:rPr>
        <w:t xml:space="preserve">Johnson City, Tenn., July 29, 2003 </w:t>
      </w:r>
      <w:r>
        <w:rPr>
          <w:rFonts w:ascii="Courier New" w:cs="Courier New" w:eastAsia="Courier New" w:hAnsi="Courier New"/>
          <w:sz w:val="15"/>
          <w:szCs w:val="15"/>
          <w:color w:val="auto"/>
        </w:rPr>
        <w:t>- NN, Inc. (Nasdaq: NNBR) today reported its</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financial results for the second quarter ended June 30, 2003. Results for the second quarter of 2003 include the operations of NN Netherlands (Veenendaal) a component manufacturing operation in Veenendaal, The Netherlands which was acquired from the SKF Group (SKF) on May 2, 2003. Net sales for the second quarter and first six months of 2003 reflect approximately eight weeks of revenue contribution from the Veenendaal operation. Additionally, net income includes 100% ownership interest in NN Euroball (Euroball) since May 2, 2003 due to the purchase of SKF's 23% minority interest on that date.</w:t>
      </w:r>
    </w:p>
    <w:p>
      <w:pPr>
        <w:spacing w:after="0" w:line="75"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rPr>
        <w:t>Net sales for the second quarter of 2003 were $64.2 million, up 30.5% from $49.2 million for the same period of 2002. Net income for the second quarter of 2003 totaled $7.3 million, or $0.44 per diluted share compared to $2.4 million or $0.15 per diluted share for the second quarter of 2002. Diluted earnings per share of $0.44 for the second quarter of 2003 include a non-cash, non-taxable gain of $6.6 million, or $0.40 per diluted share, associated with the previously announced purchase of SKF's 23% minority interest in Euroball on May 2, 2003; an after-tax impairment charge of $2.0 million, or $0.12 per diluted share related to the planned closing of NN's plastic production facility, NN Arte, located in Guadalajara, Mexico; a non-cash, after-tax charge of $291,000 or $0.02 per diluted share relating to the write-off of unamortized loan costs associated with the refinancing of the former credit facility; and a non-cash, after tax charge of $205,000 or $0.01 per diluted share for compensation charges associated with a portion of employee stock options accounted for under the variable accounting method. Adjusting for these items, net income was $3.2 million or $0.19 per diluted share.</w:t>
      </w:r>
    </w:p>
    <w:p>
      <w:pPr>
        <w:spacing w:after="0" w:line="93" w:lineRule="exact"/>
        <w:rPr>
          <w:sz w:val="20"/>
          <w:szCs w:val="20"/>
          <w:color w:val="auto"/>
        </w:rPr>
      </w:pPr>
    </w:p>
    <w:p>
      <w:pPr>
        <w:ind w:right="3019"/>
        <w:spacing w:after="0" w:line="305" w:lineRule="auto"/>
        <w:rPr>
          <w:sz w:val="20"/>
          <w:szCs w:val="20"/>
          <w:color w:val="auto"/>
        </w:rPr>
      </w:pPr>
      <w:r>
        <w:rPr>
          <w:rFonts w:ascii="Courier New" w:cs="Courier New" w:eastAsia="Courier New" w:hAnsi="Courier New"/>
          <w:sz w:val="15"/>
          <w:szCs w:val="15"/>
          <w:color w:val="auto"/>
        </w:rPr>
        <w:t>Net sales for the first half of 2003 were $121.8 million, up 26.4% compared to $96.4 million for the same period of 2002. Net income for the first half of 2003 totaled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128270</wp:posOffset>
            </wp:positionV>
            <wp:extent cx="7291705"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right="3019"/>
        <w:spacing w:after="0" w:line="274" w:lineRule="auto"/>
        <w:rPr>
          <w:sz w:val="20"/>
          <w:szCs w:val="20"/>
          <w:color w:val="auto"/>
        </w:rPr>
      </w:pPr>
      <w:r>
        <w:rPr>
          <w:rFonts w:ascii="Courier New" w:cs="Courier New" w:eastAsia="Courier New" w:hAnsi="Courier New"/>
          <w:sz w:val="15"/>
          <w:szCs w:val="15"/>
          <w:color w:val="auto"/>
        </w:rPr>
        <w:t>million, or $0.69 per diluted share, compared to $4.3 million or $0.27 per diluted share, for the same period of 2002. Diluted earnings per share of $0.69 for the first half of 2003 include the aforementioned items. Adjusting for these items, adjusted net income was $6.8 million and adjusted diluted earnings per share were $0.43 per share.</w:t>
      </w:r>
    </w:p>
    <w:p>
      <w:pPr>
        <w:spacing w:after="0" w:line="70" w:lineRule="exact"/>
        <w:rPr>
          <w:sz w:val="20"/>
          <w:szCs w:val="20"/>
          <w:color w:val="auto"/>
        </w:rPr>
      </w:pPr>
    </w:p>
    <w:p>
      <w:pPr>
        <w:ind w:right="3099"/>
        <w:spacing w:after="0" w:line="264" w:lineRule="auto"/>
        <w:rPr>
          <w:sz w:val="20"/>
          <w:szCs w:val="20"/>
          <w:color w:val="auto"/>
        </w:rPr>
      </w:pPr>
      <w:r>
        <w:rPr>
          <w:rFonts w:ascii="Courier New" w:cs="Courier New" w:eastAsia="Courier New" w:hAnsi="Courier New"/>
          <w:sz w:val="15"/>
          <w:szCs w:val="15"/>
          <w:color w:val="auto"/>
        </w:rPr>
        <w:t>David L. Dyckman, Chief Financial Officer, commented, "This is the fifth consecutive quarter that we have experienced year-over-year improvement in revenues and earnings. Revenues of $64.2 million for the second quarter of 2003 increased by approximately 30.5% compared to the second quarter of 2002. This increase was almost entirely attributable to the $9.3 million in revenue contribution by our newly acquired Veenendaal operation and approximately $5.4 million in favorable currency fluctuations.</w:t>
      </w:r>
    </w:p>
    <w:p>
      <w:pPr>
        <w:spacing w:after="0" w:line="79"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5"/>
          <w:szCs w:val="15"/>
          <w:color w:val="auto"/>
        </w:rPr>
        <w:t>"As a percentage of net sales, the gross profit margin was 22.5% in the second quarter of 2003 versus 26.5% in the second quarter of 2002. For the first half of 2003 and 2002, gross profit margin as a percentage of sales was 25.6% for both periods. The second quarter margins were primarily impacted by the dilution of the newly acquired Veenendaal facility, the NN Arte impairment charge relative to inventories, unfavorable sales mix, and inefficiencies in both our North American and European operations.</w:t>
      </w:r>
    </w:p>
    <w:p>
      <w:pPr>
        <w:spacing w:after="0" w:line="79" w:lineRule="exact"/>
        <w:rPr>
          <w:sz w:val="20"/>
          <w:szCs w:val="20"/>
          <w:color w:val="auto"/>
        </w:rPr>
      </w:pPr>
    </w:p>
    <w:p>
      <w:pPr>
        <w:ind w:right="3019"/>
        <w:spacing w:after="0" w:line="278" w:lineRule="auto"/>
        <w:rPr>
          <w:sz w:val="20"/>
          <w:szCs w:val="20"/>
          <w:color w:val="auto"/>
        </w:rPr>
      </w:pPr>
      <w:r>
        <w:rPr>
          <w:rFonts w:ascii="Courier New" w:cs="Courier New" w:eastAsia="Courier New" w:hAnsi="Courier New"/>
          <w:sz w:val="14"/>
          <w:szCs w:val="14"/>
          <w:color w:val="auto"/>
        </w:rPr>
        <w:t>"Also during the second quarter we have made the difficult decision to close our operations in Guadalajara, Mexico. This operation was started in September of 2000 to supply certain Mexican operations of multi-national manufacturers of office automation equipment. The majority of these customers have recently shifted their manufacturing operations to other geographic regions in the world making it unprofitable for us to continue to manufacture these products in Guadalajara, Mexico. While our losses associated with this business have been modest to date, we feel that resources could be better utilized elsewhere in our operations and have made the decision to cease manufacturing at this plant during the fourth quarter of this year and redistribute this capacity to our IMC</w:t>
      </w:r>
    </w:p>
    <w:p>
      <w:pPr>
        <w:sectPr>
          <w:pgSz w:w="11900" w:h="16877" w:orient="portrait"/>
          <w:cols w:equalWidth="0" w:num="1">
            <w:col w:w="10219"/>
          </w:cols>
          <w:pgMar w:left="240" w:top="1440" w:right="1440" w:bottom="0" w:gutter="0" w:footer="0" w:header="0"/>
        </w:sectPr>
      </w:pPr>
    </w:p>
    <w:bookmarkStart w:id="2" w:name="page3"/>
    <w:bookmarkEnd w:id="2"/>
    <w:p>
      <w:pPr>
        <w:ind w:right="3019"/>
        <w:spacing w:after="0" w:line="285" w:lineRule="auto"/>
        <w:rPr>
          <w:sz w:val="20"/>
          <w:szCs w:val="20"/>
          <w:color w:val="auto"/>
        </w:rPr>
      </w:pPr>
      <w:r>
        <w:rPr>
          <w:rFonts w:ascii="Courier New" w:cs="Courier New" w:eastAsia="Courier New" w:hAnsi="Courier New"/>
          <w:sz w:val="15"/>
          <w:szCs w:val="15"/>
          <w:color w:val="auto"/>
        </w:rPr>
        <w:t>operations in Lubbock, Texas. We have recorded an after tax charge of approximately $2.0 million to cover the estimated write-down of equipment and other assets to estimated fair market value as well as to cover costs associated with severance payments to our displaced employees.</w:t>
      </w:r>
    </w:p>
    <w:p>
      <w:pPr>
        <w:spacing w:after="0" w:line="60" w:lineRule="exact"/>
        <w:rPr>
          <w:sz w:val="20"/>
          <w:szCs w:val="20"/>
          <w:color w:val="auto"/>
        </w:rPr>
      </w:pPr>
    </w:p>
    <w:p>
      <w:pPr>
        <w:ind w:right="3019"/>
        <w:spacing w:after="0" w:line="286" w:lineRule="auto"/>
        <w:rPr>
          <w:sz w:val="20"/>
          <w:szCs w:val="20"/>
          <w:color w:val="auto"/>
        </w:rPr>
      </w:pPr>
      <w:r>
        <w:rPr>
          <w:rFonts w:ascii="Courier New" w:cs="Courier New" w:eastAsia="Courier New" w:hAnsi="Courier New"/>
          <w:sz w:val="14"/>
          <w:szCs w:val="14"/>
          <w:color w:val="auto"/>
        </w:rPr>
        <w:t>"Selling, general and administrative expenses for the second quarter of 2003 declined to 9.0% as a percentage of net sales compared to 9.7% for the same period in 2002. Negatively impacting the second quarter of 2003 SG&amp;A levels was the recording of $321,000, or 0.5% of net sales, of non-cash compensation charges associated with a portion of employee stock options accounted for under the variable accounting method. Remaining SG&amp;A expenses as a percentage of sales approximate 8.5%, which is within our historical target range of 8.0% to 8.5%."</w:t>
      </w:r>
    </w:p>
    <w:p>
      <w:pPr>
        <w:spacing w:after="0" w:line="64" w:lineRule="exact"/>
        <w:rPr>
          <w:sz w:val="20"/>
          <w:szCs w:val="20"/>
          <w:color w:val="auto"/>
        </w:rPr>
      </w:pPr>
    </w:p>
    <w:p>
      <w:pPr>
        <w:ind w:right="3099"/>
        <w:spacing w:after="0" w:line="268" w:lineRule="auto"/>
        <w:rPr>
          <w:sz w:val="20"/>
          <w:szCs w:val="20"/>
          <w:color w:val="auto"/>
        </w:rPr>
      </w:pPr>
      <w:r>
        <w:rPr>
          <w:rFonts w:ascii="Courier New" w:cs="Courier New" w:eastAsia="Courier New" w:hAnsi="Courier New"/>
          <w:sz w:val="15"/>
          <w:szCs w:val="15"/>
          <w:color w:val="auto"/>
        </w:rPr>
        <w:t>Roderick R. Baty, Chairman and Chief Executive Officer, stated, "During the second quarter, we announced the completion of two significant transactions for NN, Inc. On May 2, 2003, we announced our purchase of SKF Group's 23% ownership in NN Euroball. Having previously acquired INA/FAG's 23% ownership in December 2002, this transaction concludes the joint ownership phase of the original outsourcing venture and NN now owns 100% of NN Euroball.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257175</wp:posOffset>
            </wp:positionV>
            <wp:extent cx="7291705"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right="3019"/>
        <w:spacing w:after="0" w:line="278" w:lineRule="auto"/>
        <w:rPr>
          <w:sz w:val="20"/>
          <w:szCs w:val="20"/>
          <w:color w:val="auto"/>
        </w:rPr>
      </w:pPr>
      <w:r>
        <w:rPr>
          <w:rFonts w:ascii="Courier New" w:cs="Courier New" w:eastAsia="Courier New" w:hAnsi="Courier New"/>
          <w:sz w:val="14"/>
          <w:szCs w:val="14"/>
          <w:color w:val="auto"/>
        </w:rPr>
        <w:t>"Additionally, on May 2, 2003, in a separate transaction, we acquired SKF's tapered roller and metal cage manufacturing operation in Veenendaal, The Netherlands. This operation manufacturers rollers for tapered roller bearings as well as metal cages for both tapered and spherical roller bearings. Veenendaal produces approximately $48 million in annual revenues and increases our consolidated roller business to approximately 16% of our total revenues. Both products represent an expansion of our bearing component offering and enhance the value we bring to our customers as a single supply partner for a wide variety of high quality, precision components. It is important to note that both transactions were immediately accretive to net income in the second quarter.</w:t>
      </w:r>
    </w:p>
    <w:p>
      <w:pPr>
        <w:spacing w:after="0" w:line="70" w:lineRule="exact"/>
        <w:rPr>
          <w:sz w:val="20"/>
          <w:szCs w:val="20"/>
          <w:color w:val="auto"/>
        </w:rPr>
      </w:pPr>
    </w:p>
    <w:p>
      <w:pPr>
        <w:ind w:right="3019"/>
        <w:spacing w:after="0" w:line="256" w:lineRule="auto"/>
        <w:rPr>
          <w:sz w:val="20"/>
          <w:szCs w:val="20"/>
          <w:color w:val="auto"/>
        </w:rPr>
      </w:pPr>
      <w:r>
        <w:rPr>
          <w:rFonts w:ascii="Courier New" w:cs="Courier New" w:eastAsia="Courier New" w:hAnsi="Courier New"/>
          <w:sz w:val="15"/>
          <w:szCs w:val="15"/>
          <w:color w:val="auto"/>
        </w:rPr>
        <w:t>"To finance these transactions we entered into a new $90 million syndicated credit facility on May 1, 2003 with AmSouth Bank as the primary agent. This facility provides for a two-year revolving credit facility of up to $30 million and a $30 million domestic term loan as well as an approximate 26.3 Euro based term loan (approx $30 million). The $90 million agreement replaced an existing $60 million syndicated credit facility also with AmSouth Bank as the primary syndicate agent. As a result of entering into this new credit facility and paying off our existing credit facility, we are recognizing a non-cash, after-tax charge of $291,000, which represents unamortized loan costs related to the previous credit facility. In addition to providing financing for these transactions, proceeds will be used to fund periodic working capital needs.</w:t>
      </w:r>
    </w:p>
    <w:p>
      <w:pPr>
        <w:spacing w:after="0" w:line="87" w:lineRule="exact"/>
        <w:rPr>
          <w:sz w:val="20"/>
          <w:szCs w:val="20"/>
          <w:color w:val="auto"/>
        </w:rPr>
      </w:pPr>
    </w:p>
    <w:p>
      <w:pPr>
        <w:ind w:right="3099"/>
        <w:spacing w:after="0" w:line="268" w:lineRule="auto"/>
        <w:rPr>
          <w:sz w:val="20"/>
          <w:szCs w:val="20"/>
          <w:color w:val="auto"/>
        </w:rPr>
      </w:pPr>
      <w:r>
        <w:rPr>
          <w:rFonts w:ascii="Courier New" w:cs="Courier New" w:eastAsia="Courier New" w:hAnsi="Courier New"/>
          <w:sz w:val="15"/>
          <w:szCs w:val="15"/>
          <w:color w:val="auto"/>
        </w:rPr>
        <w:t>"During the second quarter, NN also completed a public offering of 3.6 million shares of the Company's stock by a group of selling shareholders. The Company did not receive any proceeds from the sale of the shares previously held by the group of selling shareholders, however, the underwriters did exercise their over-allotment option of 533,600 additional shares, which provided the Company with net proceeds of $5.1 million.</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Baty concluded, "We feel there are opportunities to improve our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profitability through the further integration of the Veenendaal operation 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well as continual cost improvement programs in place throughout our operations.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Including our acquisition of Veenendaal and the purchase of the SKF minority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we anticipate third quarter earnings to be in the range of $0.18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$0.20 per diluted share on revenues of $63 million. We also expect the 2003 full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diluted earnings per share to be in the range of $0.80 to $0.82 per share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revenues of approximately $250 million. Our guidance reflects an approximate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reduction in light vehicle production for both Europe and North America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comparison to 2002. It also assumes no improvement in North American industrial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demand."</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i w:val="1"/>
          <w:iCs w:val="1"/>
          <w:color w:val="auto"/>
        </w:rPr>
        <w:t>Adjusted Net Income and Diluted Earnings Per Share</w:t>
      </w:r>
    </w:p>
    <w:p>
      <w:pPr>
        <w:spacing w:after="0" w:line="173" w:lineRule="exact"/>
        <w:rPr>
          <w:sz w:val="20"/>
          <w:szCs w:val="20"/>
          <w:color w:val="auto"/>
        </w:rPr>
      </w:pPr>
    </w:p>
    <w:p>
      <w:pPr>
        <w:ind w:right="3019"/>
        <w:spacing w:after="0" w:line="268" w:lineRule="auto"/>
        <w:rPr>
          <w:sz w:val="20"/>
          <w:szCs w:val="20"/>
          <w:color w:val="auto"/>
        </w:rPr>
      </w:pPr>
      <w:r>
        <w:rPr>
          <w:rFonts w:ascii="Courier New" w:cs="Courier New" w:eastAsia="Courier New" w:hAnsi="Courier New"/>
          <w:sz w:val="15"/>
          <w:szCs w:val="15"/>
          <w:color w:val="auto"/>
        </w:rPr>
        <w:t>In accordance with generally accepted accounting principles, reported net income and diluted earnings per share include the after-tax effect of: the gain from the purchase of SKF's interest in Euroball; impairment charges related to the planned closing of NN Arte; the write-off of unamortized loan costs of the former credit facility; and the non-cash compensation charges associated with a portion of employee stock options.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147320</wp:posOffset>
            </wp:positionV>
            <wp:extent cx="7291705"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pacing w:after="0" w:line="379" w:lineRule="exact"/>
        <w:rPr>
          <w:sz w:val="20"/>
          <w:szCs w:val="20"/>
          <w:color w:val="auto"/>
        </w:rPr>
      </w:pPr>
    </w:p>
    <w:p>
      <w:pPr>
        <w:ind w:right="3019"/>
        <w:spacing w:after="0" w:line="268" w:lineRule="auto"/>
        <w:rPr>
          <w:sz w:val="20"/>
          <w:szCs w:val="20"/>
          <w:color w:val="auto"/>
        </w:rPr>
      </w:pPr>
      <w:r>
        <w:rPr>
          <w:rFonts w:ascii="Courier New" w:cs="Courier New" w:eastAsia="Courier New" w:hAnsi="Courier New"/>
          <w:sz w:val="15"/>
          <w:szCs w:val="15"/>
          <w:color w:val="auto"/>
        </w:rPr>
        <w:t>Company's management believes that by adjusting reported net income and diluted earnings per share to exclude the effects of these items, the resulting earnings better represent the operating results of the Company. The Company's management uses adjusted earnings to evaluate operating performance of consolidated business units from one period to another. The reconciliation of adjusted net income and diluted earnings per share is provided below:</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860" w:type="dxa"/>
            <w:vAlign w:val="bottom"/>
          </w:tcPr>
          <w:p>
            <w:pPr>
              <w:spacing w:after="0"/>
              <w:rPr>
                <w:sz w:val="15"/>
                <w:szCs w:val="15"/>
                <w:color w:val="auto"/>
              </w:rPr>
            </w:pPr>
          </w:p>
        </w:tc>
        <w:tc>
          <w:tcPr>
            <w:tcW w:w="3080" w:type="dxa"/>
            <w:vAlign w:val="bottom"/>
            <w:gridSpan w:val="2"/>
          </w:tcPr>
          <w:p>
            <w:pPr>
              <w:ind w:left="1000"/>
              <w:spacing w:after="0"/>
              <w:rPr>
                <w:sz w:val="20"/>
                <w:szCs w:val="20"/>
                <w:color w:val="auto"/>
              </w:rPr>
            </w:pPr>
            <w:r>
              <w:rPr>
                <w:rFonts w:ascii="Courier New" w:cs="Courier New" w:eastAsia="Courier New" w:hAnsi="Courier New"/>
                <w:sz w:val="15"/>
                <w:szCs w:val="15"/>
                <w:b w:val="1"/>
                <w:bCs w:val="1"/>
                <w:color w:val="auto"/>
              </w:rPr>
              <w:t>Three Months</w:t>
            </w:r>
          </w:p>
        </w:tc>
        <w:tc>
          <w:tcPr>
            <w:tcW w:w="2600" w:type="dxa"/>
            <w:vAlign w:val="bottom"/>
            <w:gridSpan w:val="2"/>
          </w:tcPr>
          <w:p>
            <w:pPr>
              <w:jc w:val="right"/>
              <w:ind w:right="725"/>
              <w:spacing w:after="0"/>
              <w:rPr>
                <w:sz w:val="20"/>
                <w:szCs w:val="20"/>
                <w:color w:val="auto"/>
              </w:rPr>
            </w:pPr>
            <w:r>
              <w:rPr>
                <w:rFonts w:ascii="Courier New" w:cs="Courier New" w:eastAsia="Courier New" w:hAnsi="Courier New"/>
                <w:sz w:val="15"/>
                <w:szCs w:val="15"/>
                <w:b w:val="1"/>
                <w:bCs w:val="1"/>
                <w:color w:val="auto"/>
              </w:rPr>
              <w:t>Six Months</w:t>
            </w: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5"/>
                <w:szCs w:val="15"/>
                <w:b w:val="1"/>
                <w:bCs w:val="1"/>
                <w:color w:val="auto"/>
              </w:rPr>
              <w:t>Ended</w:t>
            </w:r>
          </w:p>
        </w:tc>
        <w:tc>
          <w:tcPr>
            <w:tcW w:w="1220" w:type="dxa"/>
            <w:vAlign w:val="bottom"/>
          </w:tcPr>
          <w:p>
            <w:pPr>
              <w:spacing w:after="0"/>
              <w:rPr>
                <w:sz w:val="15"/>
                <w:szCs w:val="15"/>
                <w:color w:val="auto"/>
              </w:rPr>
            </w:pP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b w:val="1"/>
                <w:bCs w:val="1"/>
                <w:color w:val="auto"/>
              </w:rPr>
              <w:t>Ended</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3080" w:type="dxa"/>
            <w:vAlign w:val="bottom"/>
            <w:gridSpan w:val="2"/>
          </w:tcPr>
          <w:p>
            <w:pPr>
              <w:ind w:left="1000"/>
              <w:spacing w:after="0"/>
              <w:rPr>
                <w:sz w:val="20"/>
                <w:szCs w:val="20"/>
                <w:color w:val="auto"/>
              </w:rPr>
            </w:pPr>
            <w:r>
              <w:rPr>
                <w:rFonts w:ascii="Courier New" w:cs="Courier New" w:eastAsia="Courier New" w:hAnsi="Courier New"/>
                <w:sz w:val="15"/>
                <w:szCs w:val="15"/>
                <w:b w:val="1"/>
                <w:bCs w:val="1"/>
                <w:color w:val="auto"/>
              </w:rPr>
              <w:t>June 30, 2003</w:t>
            </w:r>
          </w:p>
        </w:tc>
        <w:tc>
          <w:tcPr>
            <w:tcW w:w="2600" w:type="dxa"/>
            <w:vAlign w:val="bottom"/>
            <w:gridSpan w:val="2"/>
          </w:tcPr>
          <w:p>
            <w:pPr>
              <w:jc w:val="right"/>
              <w:ind w:right="545"/>
              <w:spacing w:after="0"/>
              <w:rPr>
                <w:sz w:val="20"/>
                <w:szCs w:val="20"/>
                <w:color w:val="auto"/>
              </w:rPr>
            </w:pPr>
            <w:r>
              <w:rPr>
                <w:rFonts w:ascii="Courier New" w:cs="Courier New" w:eastAsia="Courier New" w:hAnsi="Courier New"/>
                <w:sz w:val="15"/>
                <w:szCs w:val="15"/>
                <w:b w:val="1"/>
                <w:bCs w:val="1"/>
                <w:color w:val="auto"/>
              </w:rPr>
              <w:t>June 30, 2003</w:t>
            </w: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1860" w:type="dxa"/>
            <w:vAlign w:val="bottom"/>
          </w:tcPr>
          <w:p>
            <w:pPr>
              <w:jc w:val="right"/>
              <w:ind w:right="425"/>
              <w:spacing w:after="0"/>
              <w:rPr>
                <w:sz w:val="20"/>
                <w:szCs w:val="20"/>
                <w:color w:val="auto"/>
              </w:rPr>
            </w:pPr>
            <w:r>
              <w:rPr>
                <w:rFonts w:ascii="Courier New" w:cs="Courier New" w:eastAsia="Courier New" w:hAnsi="Courier New"/>
                <w:sz w:val="15"/>
                <w:szCs w:val="15"/>
                <w:b w:val="1"/>
                <w:bCs w:val="1"/>
                <w:color w:val="auto"/>
              </w:rPr>
              <w:t>Net Income</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b w:val="1"/>
                <w:bCs w:val="1"/>
                <w:color w:val="auto"/>
              </w:rPr>
              <w:t>Diluted</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b w:val="1"/>
                <w:bCs w:val="1"/>
                <w:color w:val="auto"/>
              </w:rPr>
              <w:t>Net Income</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b w:val="1"/>
                <w:bCs w:val="1"/>
                <w:color w:val="auto"/>
              </w:rPr>
              <w:t>Diluted</w:t>
            </w: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1860" w:type="dxa"/>
            <w:vAlign w:val="bottom"/>
          </w:tcPr>
          <w:p>
            <w:pPr>
              <w:jc w:val="right"/>
              <w:ind w:right="425"/>
              <w:spacing w:after="0"/>
              <w:rPr>
                <w:sz w:val="20"/>
                <w:szCs w:val="20"/>
                <w:color w:val="auto"/>
              </w:rPr>
            </w:pPr>
            <w:r>
              <w:rPr>
                <w:rFonts w:ascii="Courier New" w:cs="Courier New" w:eastAsia="Courier New" w:hAnsi="Courier New"/>
                <w:sz w:val="15"/>
                <w:szCs w:val="15"/>
                <w:b w:val="1"/>
                <w:bCs w:val="1"/>
                <w:color w:val="auto"/>
              </w:rPr>
              <w:t>(Millions)</w:t>
            </w:r>
          </w:p>
        </w:tc>
        <w:tc>
          <w:tcPr>
            <w:tcW w:w="1220" w:type="dxa"/>
            <w:vAlign w:val="bottom"/>
          </w:tcPr>
          <w:p>
            <w:pPr>
              <w:jc w:val="right"/>
              <w:ind w:right="565"/>
              <w:spacing w:after="0"/>
              <w:rPr>
                <w:sz w:val="20"/>
                <w:szCs w:val="20"/>
                <w:color w:val="auto"/>
              </w:rPr>
            </w:pPr>
            <w:r>
              <w:rPr>
                <w:rFonts w:ascii="Courier New" w:cs="Courier New" w:eastAsia="Courier New" w:hAnsi="Courier New"/>
                <w:sz w:val="15"/>
                <w:szCs w:val="15"/>
                <w:b w:val="1"/>
                <w:bCs w:val="1"/>
                <w:color w:val="auto"/>
              </w:rPr>
              <w:t>EPS</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b w:val="1"/>
                <w:bCs w:val="1"/>
                <w:color w:val="auto"/>
              </w:rPr>
              <w:t>(Millions)</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b w:val="1"/>
                <w:bCs w:val="1"/>
                <w:color w:val="auto"/>
              </w:rPr>
              <w:t>EPS</w:t>
            </w:r>
          </w:p>
        </w:tc>
        <w:tc>
          <w:tcPr>
            <w:tcW w:w="0" w:type="dxa"/>
            <w:vAlign w:val="bottom"/>
          </w:tcPr>
          <w:p>
            <w:pPr>
              <w:spacing w:after="0"/>
              <w:rPr>
                <w:sz w:val="1"/>
                <w:szCs w:val="1"/>
                <w:color w:val="auto"/>
              </w:rPr>
            </w:pPr>
          </w:p>
        </w:tc>
      </w:tr>
      <w:tr>
        <w:trPr>
          <w:trHeight w:val="194"/>
        </w:trPr>
        <w:tc>
          <w:tcPr>
            <w:tcW w:w="3860" w:type="dxa"/>
            <w:vAlign w:val="bottom"/>
            <w:vMerge w:val="restart"/>
          </w:tcPr>
          <w:p>
            <w:pPr>
              <w:spacing w:after="0"/>
              <w:rPr>
                <w:sz w:val="20"/>
                <w:szCs w:val="20"/>
                <w:color w:val="auto"/>
              </w:rPr>
            </w:pPr>
            <w:r>
              <w:rPr>
                <w:rFonts w:ascii="Courier New" w:cs="Courier New" w:eastAsia="Courier New" w:hAnsi="Courier New"/>
                <w:sz w:val="15"/>
                <w:szCs w:val="15"/>
                <w:color w:val="auto"/>
              </w:rPr>
              <w:t>As Reported</w:t>
            </w:r>
          </w:p>
        </w:tc>
        <w:tc>
          <w:tcPr>
            <w:tcW w:w="1860" w:type="dxa"/>
            <w:vAlign w:val="bottom"/>
          </w:tcPr>
          <w:p>
            <w:pPr>
              <w:jc w:val="right"/>
              <w:ind w:right="245"/>
              <w:spacing w:after="0"/>
              <w:rPr>
                <w:sz w:val="20"/>
                <w:szCs w:val="20"/>
                <w:color w:val="auto"/>
              </w:rPr>
            </w:pPr>
            <w:r>
              <w:rPr>
                <w:rFonts w:ascii="Courier New" w:cs="Courier New" w:eastAsia="Courier New" w:hAnsi="Courier New"/>
                <w:sz w:val="15"/>
                <w:szCs w:val="15"/>
                <w:b w:val="1"/>
                <w:bCs w:val="1"/>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b w:val="1"/>
                <w:bCs w:val="1"/>
                <w:color w:val="auto"/>
              </w:rPr>
              <w:t>-----------</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b w:val="1"/>
                <w:bCs w:val="1"/>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b w:val="1"/>
                <w:bCs w:val="1"/>
                <w:color w:val="auto"/>
              </w:rPr>
              <w:t>----------</w:t>
            </w:r>
          </w:p>
        </w:tc>
        <w:tc>
          <w:tcPr>
            <w:tcW w:w="0" w:type="dxa"/>
            <w:vAlign w:val="bottom"/>
          </w:tcPr>
          <w:p>
            <w:pPr>
              <w:spacing w:after="0"/>
              <w:rPr>
                <w:sz w:val="1"/>
                <w:szCs w:val="1"/>
                <w:color w:val="auto"/>
              </w:rPr>
            </w:pPr>
          </w:p>
        </w:tc>
      </w:tr>
      <w:tr>
        <w:trPr>
          <w:trHeight w:val="173"/>
        </w:trPr>
        <w:tc>
          <w:tcPr>
            <w:tcW w:w="3860" w:type="dxa"/>
            <w:vAlign w:val="bottom"/>
            <w:vMerge w:val="continue"/>
          </w:tcPr>
          <w:p>
            <w:pPr>
              <w:spacing w:after="0"/>
              <w:rPr>
                <w:sz w:val="15"/>
                <w:szCs w:val="15"/>
                <w:color w:val="auto"/>
              </w:rPr>
            </w:pPr>
          </w:p>
        </w:tc>
        <w:tc>
          <w:tcPr>
            <w:tcW w:w="18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$7.3</w:t>
            </w:r>
          </w:p>
        </w:tc>
        <w:tc>
          <w:tcPr>
            <w:tcW w:w="1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$0.44</w:t>
            </w:r>
          </w:p>
        </w:tc>
        <w:tc>
          <w:tcPr>
            <w:tcW w:w="16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$10.9</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$0.69</w:t>
            </w:r>
          </w:p>
        </w:tc>
        <w:tc>
          <w:tcPr>
            <w:tcW w:w="0" w:type="dxa"/>
            <w:vAlign w:val="bottom"/>
          </w:tcPr>
          <w:p>
            <w:pPr>
              <w:spacing w:after="0"/>
              <w:rPr>
                <w:sz w:val="1"/>
                <w:szCs w:val="1"/>
                <w:color w:val="auto"/>
              </w:rPr>
            </w:pPr>
          </w:p>
        </w:tc>
      </w:tr>
      <w:tr>
        <w:trPr>
          <w:trHeight w:val="173"/>
        </w:trPr>
        <w:tc>
          <w:tcPr>
            <w:tcW w:w="3860" w:type="dxa"/>
            <w:vAlign w:val="bottom"/>
          </w:tcPr>
          <w:p>
            <w:pPr>
              <w:spacing w:after="0"/>
              <w:rPr>
                <w:sz w:val="20"/>
                <w:szCs w:val="20"/>
                <w:color w:val="auto"/>
              </w:rPr>
            </w:pPr>
            <w:r>
              <w:rPr>
                <w:rFonts w:ascii="Courier New" w:cs="Courier New" w:eastAsia="Courier New" w:hAnsi="Courier New"/>
                <w:sz w:val="15"/>
                <w:szCs w:val="15"/>
                <w:color w:val="auto"/>
              </w:rPr>
              <w:t>Add:</w:t>
            </w:r>
          </w:p>
        </w:tc>
        <w:tc>
          <w:tcPr>
            <w:tcW w:w="1860" w:type="dxa"/>
            <w:vAlign w:val="bottom"/>
            <w:vMerge w:val="restart"/>
          </w:tcPr>
          <w:p>
            <w:pPr>
              <w:jc w:val="right"/>
              <w:ind w:right="685"/>
              <w:spacing w:after="0"/>
              <w:rPr>
                <w:sz w:val="20"/>
                <w:szCs w:val="20"/>
                <w:color w:val="auto"/>
              </w:rPr>
            </w:pPr>
            <w:r>
              <w:rPr>
                <w:rFonts w:ascii="Courier New" w:cs="Courier New" w:eastAsia="Courier New" w:hAnsi="Courier New"/>
                <w:sz w:val="15"/>
                <w:szCs w:val="15"/>
                <w:color w:val="auto"/>
              </w:rPr>
              <w:t>2.0</w:t>
            </w:r>
          </w:p>
        </w:tc>
        <w:tc>
          <w:tcPr>
            <w:tcW w:w="122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0.12</w:t>
            </w:r>
          </w:p>
        </w:tc>
        <w:tc>
          <w:tcPr>
            <w:tcW w:w="1620" w:type="dxa"/>
            <w:vAlign w:val="bottom"/>
            <w:vMerge w:val="restart"/>
          </w:tcPr>
          <w:p>
            <w:pPr>
              <w:jc w:val="right"/>
              <w:ind w:right="645"/>
              <w:spacing w:after="0"/>
              <w:rPr>
                <w:sz w:val="20"/>
                <w:szCs w:val="20"/>
                <w:color w:val="auto"/>
              </w:rPr>
            </w:pPr>
            <w:r>
              <w:rPr>
                <w:rFonts w:ascii="Courier New" w:cs="Courier New" w:eastAsia="Courier New" w:hAnsi="Courier New"/>
                <w:sz w:val="15"/>
                <w:szCs w:val="15"/>
                <w:color w:val="auto"/>
              </w:rPr>
              <w:t>2.0</w:t>
            </w:r>
          </w:p>
        </w:tc>
        <w:tc>
          <w:tcPr>
            <w:tcW w:w="98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0.12</w:t>
            </w:r>
          </w:p>
        </w:tc>
        <w:tc>
          <w:tcPr>
            <w:tcW w:w="0" w:type="dxa"/>
            <w:vAlign w:val="bottom"/>
          </w:tcPr>
          <w:p>
            <w:pPr>
              <w:spacing w:after="0"/>
              <w:rPr>
                <w:sz w:val="1"/>
                <w:szCs w:val="1"/>
                <w:color w:val="auto"/>
              </w:rPr>
            </w:pPr>
          </w:p>
        </w:tc>
      </w:tr>
      <w:tr>
        <w:trPr>
          <w:trHeight w:val="173"/>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Restructuring and Impairment Charges</w:t>
            </w:r>
          </w:p>
        </w:tc>
        <w:tc>
          <w:tcPr>
            <w:tcW w:w="186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Unamortized Loan Costs</w:t>
            </w:r>
          </w:p>
        </w:tc>
        <w:tc>
          <w:tcPr>
            <w:tcW w:w="18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0.3</w:t>
            </w:r>
          </w:p>
        </w:tc>
        <w:tc>
          <w:tcPr>
            <w:tcW w:w="1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0.02</w:t>
            </w:r>
          </w:p>
        </w:tc>
        <w:tc>
          <w:tcPr>
            <w:tcW w:w="16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0.3</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0.02</w:t>
            </w:r>
          </w:p>
        </w:tc>
        <w:tc>
          <w:tcPr>
            <w:tcW w:w="0" w:type="dxa"/>
            <w:vAlign w:val="bottom"/>
          </w:tcPr>
          <w:p>
            <w:pPr>
              <w:spacing w:after="0"/>
              <w:rPr>
                <w:sz w:val="1"/>
                <w:szCs w:val="1"/>
                <w:color w:val="auto"/>
              </w:rPr>
            </w:pPr>
          </w:p>
        </w:tc>
      </w:tr>
      <w:tr>
        <w:trPr>
          <w:trHeight w:val="173"/>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Non-cash Compensation Charges</w:t>
            </w:r>
          </w:p>
        </w:tc>
        <w:tc>
          <w:tcPr>
            <w:tcW w:w="18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0.2</w:t>
            </w:r>
          </w:p>
        </w:tc>
        <w:tc>
          <w:tcPr>
            <w:tcW w:w="1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0.01</w:t>
            </w:r>
          </w:p>
        </w:tc>
        <w:tc>
          <w:tcPr>
            <w:tcW w:w="16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0.2</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0.01</w:t>
            </w:r>
          </w:p>
        </w:tc>
        <w:tc>
          <w:tcPr>
            <w:tcW w:w="0" w:type="dxa"/>
            <w:vAlign w:val="bottom"/>
          </w:tcPr>
          <w:p>
            <w:pPr>
              <w:spacing w:after="0"/>
              <w:rPr>
                <w:sz w:val="1"/>
                <w:szCs w:val="1"/>
                <w:color w:val="auto"/>
              </w:rPr>
            </w:pPr>
          </w:p>
        </w:tc>
      </w:tr>
      <w:tr>
        <w:trPr>
          <w:trHeight w:val="255"/>
        </w:trPr>
        <w:tc>
          <w:tcPr>
            <w:tcW w:w="3860" w:type="dxa"/>
            <w:vAlign w:val="bottom"/>
          </w:tcPr>
          <w:p>
            <w:pPr>
              <w:spacing w:after="0"/>
              <w:rPr>
                <w:sz w:val="20"/>
                <w:szCs w:val="20"/>
                <w:color w:val="auto"/>
              </w:rPr>
            </w:pPr>
            <w:r>
              <w:rPr>
                <w:rFonts w:ascii="Courier New" w:cs="Courier New" w:eastAsia="Courier New" w:hAnsi="Courier New"/>
                <w:sz w:val="15"/>
                <w:szCs w:val="15"/>
                <w:color w:val="auto"/>
              </w:rPr>
              <w:t>Less:</w:t>
            </w:r>
          </w:p>
        </w:tc>
        <w:tc>
          <w:tcPr>
            <w:tcW w:w="18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3" w:right="1440"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rPr>
              <w:t>Gain on Purchase of Minority Interest</w:t>
            </w:r>
          </w:p>
        </w:tc>
        <w:tc>
          <w:tcPr>
            <w:tcW w:w="1720" w:type="dxa"/>
            <w:vAlign w:val="bottom"/>
          </w:tcPr>
          <w:p>
            <w:pPr>
              <w:jc w:val="center"/>
              <w:ind w:left="125"/>
              <w:spacing w:after="0"/>
              <w:rPr>
                <w:sz w:val="20"/>
                <w:szCs w:val="20"/>
                <w:color w:val="auto"/>
              </w:rPr>
            </w:pPr>
            <w:r>
              <w:rPr>
                <w:rFonts w:ascii="Courier New" w:cs="Courier New" w:eastAsia="Courier New" w:hAnsi="Courier New"/>
                <w:sz w:val="15"/>
                <w:szCs w:val="15"/>
                <w:color w:val="auto"/>
              </w:rPr>
              <w:t>6.6</w:t>
            </w:r>
          </w:p>
        </w:tc>
        <w:tc>
          <w:tcPr>
            <w:tcW w:w="13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0.40</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rPr>
              <w:t>6.6</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0.41</w:t>
            </w:r>
          </w:p>
        </w:tc>
        <w:tc>
          <w:tcPr>
            <w:tcW w:w="0" w:type="dxa"/>
            <w:vAlign w:val="bottom"/>
          </w:tcPr>
          <w:p>
            <w:pPr>
              <w:spacing w:after="0"/>
              <w:rPr>
                <w:sz w:val="1"/>
                <w:szCs w:val="1"/>
                <w:color w:val="auto"/>
              </w:rPr>
            </w:pPr>
          </w:p>
        </w:tc>
      </w:tr>
      <w:tr>
        <w:trPr>
          <w:trHeight w:val="173"/>
        </w:trPr>
        <w:tc>
          <w:tcPr>
            <w:tcW w:w="3860" w:type="dxa"/>
            <w:vAlign w:val="bottom"/>
            <w:vMerge w:val="restart"/>
          </w:tcPr>
          <w:p>
            <w:pPr>
              <w:spacing w:after="0"/>
              <w:rPr>
                <w:sz w:val="20"/>
                <w:szCs w:val="20"/>
                <w:color w:val="auto"/>
              </w:rPr>
            </w:pPr>
            <w:r>
              <w:rPr>
                <w:rFonts w:ascii="Courier New" w:cs="Courier New" w:eastAsia="Courier New" w:hAnsi="Courier New"/>
                <w:sz w:val="15"/>
                <w:szCs w:val="15"/>
                <w:color w:val="auto"/>
              </w:rPr>
              <w:t>Adjusted</w:t>
            </w:r>
          </w:p>
        </w:tc>
        <w:tc>
          <w:tcPr>
            <w:tcW w:w="1720" w:type="dxa"/>
            <w:vAlign w:val="bottom"/>
            <w:vMerge w:val="restart"/>
          </w:tcPr>
          <w:p>
            <w:pPr>
              <w:jc w:val="center"/>
              <w:ind w:left="105"/>
              <w:spacing w:after="0"/>
              <w:rPr>
                <w:sz w:val="20"/>
                <w:szCs w:val="20"/>
                <w:color w:val="auto"/>
              </w:rPr>
            </w:pPr>
            <w:r>
              <w:rPr>
                <w:rFonts w:ascii="Courier New" w:cs="Courier New" w:eastAsia="Courier New" w:hAnsi="Courier New"/>
                <w:sz w:val="15"/>
                <w:szCs w:val="15"/>
                <w:color w:val="auto"/>
                <w:w w:val="71"/>
              </w:rPr>
              <w:t>-------------</w:t>
            </w:r>
            <w:r>
              <w:rPr>
                <w:rFonts w:ascii="Courier New" w:cs="Courier New" w:eastAsia="Courier New" w:hAnsi="Courier New"/>
                <w:sz w:val="30"/>
                <w:szCs w:val="30"/>
                <w:color w:val="auto"/>
                <w:w w:val="71"/>
                <w:vertAlign w:val="subscript"/>
              </w:rPr>
              <w:t>$3.2</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3860" w:type="dxa"/>
            <w:vAlign w:val="bottom"/>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13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$0.19</w:t>
            </w: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$6.8</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$0.43</w:t>
            </w:r>
          </w:p>
        </w:tc>
        <w:tc>
          <w:tcPr>
            <w:tcW w:w="0" w:type="dxa"/>
            <w:vAlign w:val="bottom"/>
          </w:tcPr>
          <w:p>
            <w:pPr>
              <w:spacing w:after="0"/>
              <w:rPr>
                <w:sz w:val="1"/>
                <w:szCs w:val="1"/>
                <w:color w:val="auto"/>
              </w:rPr>
            </w:pPr>
          </w:p>
        </w:tc>
      </w:tr>
      <w:tr>
        <w:trPr>
          <w:trHeight w:val="255"/>
        </w:trPr>
        <w:tc>
          <w:tcPr>
            <w:tcW w:w="3860" w:type="dxa"/>
            <w:vAlign w:val="bottom"/>
          </w:tcPr>
          <w:p>
            <w:pPr>
              <w:spacing w:after="0"/>
              <w:rPr>
                <w:sz w:val="22"/>
                <w:szCs w:val="22"/>
                <w:color w:val="auto"/>
              </w:rPr>
            </w:pPr>
          </w:p>
        </w:tc>
        <w:tc>
          <w:tcPr>
            <w:tcW w:w="1720" w:type="dxa"/>
            <w:vAlign w:val="bottom"/>
          </w:tcPr>
          <w:p>
            <w:pPr>
              <w:jc w:val="center"/>
              <w:ind w:left="10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right="4320"/>
        <w:spacing w:after="0" w:line="311" w:lineRule="auto"/>
        <w:rPr>
          <w:sz w:val="20"/>
          <w:szCs w:val="20"/>
          <w:color w:val="auto"/>
        </w:rPr>
      </w:pPr>
      <w:r>
        <w:rPr>
          <w:rFonts w:ascii="Courier New" w:cs="Courier New" w:eastAsia="Courier New" w:hAnsi="Courier New"/>
          <w:sz w:val="14"/>
          <w:szCs w:val="14"/>
          <w:color w:val="auto"/>
        </w:rPr>
        <w:t>NN, Inc. manufacturers and supplies high precision bearing components consisting of balls, rollers, seals, and retainers for leading bearing manufacturers on a global basis. In addition, the company manufactures a variety of other plastic components. NN, Inc. had sales of US $193 million in 2002.</w:t>
      </w:r>
    </w:p>
    <w:p>
      <w:pPr>
        <w:spacing w:after="0" w:line="49" w:lineRule="exact"/>
        <w:rPr>
          <w:sz w:val="20"/>
          <w:szCs w:val="20"/>
          <w:color w:val="auto"/>
        </w:rPr>
      </w:pPr>
    </w:p>
    <w:p>
      <w:pPr>
        <w:ind w:right="4320"/>
        <w:spacing w:after="0" w:line="247" w:lineRule="auto"/>
        <w:rPr>
          <w:sz w:val="20"/>
          <w:szCs w:val="20"/>
          <w:color w:val="auto"/>
        </w:rPr>
      </w:pPr>
      <w:r>
        <w:rPr>
          <w:rFonts w:ascii="Courier New" w:cs="Courier New" w:eastAsia="Courier New" w:hAnsi="Courier New"/>
          <w:sz w:val="15"/>
          <w:szCs w:val="15"/>
          <w:i w:val="1"/>
          <w:iCs w:val="1"/>
          <w:color w:val="auto"/>
        </w:rPr>
        <w:t>The comments by Mr. Baty regarding the third quarter and full year 2003 earnings are forward looking statements made pursuant to the safe harbor provisions of the Private Securities Litigation Reform Act of 1995. Forward-looking statements involve a number of risks and uncertainties that may cause actual results to be materially different from such forward-looking statements. Such factors include, among others, general economic conditions and economic conditions in the industrial sector, competitive influences, risks that current customers will commence or increase captive production, risks of capacity underutilization, quality issues, availability of raw materials, currency and other risks associated with international trade, the Company's dependence on certain major customers, and other risk factors and cautionary statements listed from time to time in the Company's periodic reports filed with the Securities and Exchange Commission, including, but not limited to, the Company's Annual Report on 10-K for the fiscal year ended December 31, 2002.</w:t>
      </w:r>
    </w:p>
    <w:p>
      <w:pPr>
        <w:spacing w:after="0" w:line="152"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b w:val="1"/>
          <w:bCs w:val="1"/>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99060</wp:posOffset>
            </wp:positionV>
            <wp:extent cx="7291705"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ind w:right="4320"/>
        <w:spacing w:after="0"/>
        <w:rPr>
          <w:sz w:val="20"/>
          <w:szCs w:val="20"/>
          <w:color w:val="auto"/>
        </w:rPr>
      </w:pPr>
      <w:r>
        <w:rPr>
          <w:rFonts w:ascii="Courier New" w:cs="Courier New" w:eastAsia="Courier New" w:hAnsi="Courier New"/>
          <w:sz w:val="15"/>
          <w:szCs w:val="15"/>
          <w:b w:val="1"/>
          <w:bCs w:val="1"/>
          <w:color w:val="auto"/>
        </w:rPr>
        <w:t>NN, Inc.</w:t>
      </w:r>
    </w:p>
    <w:p>
      <w:pPr>
        <w:spacing w:after="0" w:line="61" w:lineRule="exact"/>
        <w:rPr>
          <w:sz w:val="20"/>
          <w:szCs w:val="20"/>
          <w:color w:val="auto"/>
        </w:rPr>
      </w:pPr>
    </w:p>
    <w:p>
      <w:pPr>
        <w:jc w:val="center"/>
        <w:ind w:right="4320"/>
        <w:spacing w:after="0"/>
        <w:rPr>
          <w:sz w:val="20"/>
          <w:szCs w:val="20"/>
          <w:color w:val="auto"/>
        </w:rPr>
      </w:pPr>
      <w:r>
        <w:rPr>
          <w:rFonts w:ascii="Courier New" w:cs="Courier New" w:eastAsia="Courier New" w:hAnsi="Courier New"/>
          <w:sz w:val="15"/>
          <w:szCs w:val="15"/>
          <w:b w:val="1"/>
          <w:bCs w:val="1"/>
          <w:color w:val="auto"/>
        </w:rPr>
        <w:t>Income Statement</w:t>
      </w:r>
    </w:p>
    <w:p>
      <w:pPr>
        <w:spacing w:after="0" w:line="3" w:lineRule="exact"/>
        <w:rPr>
          <w:sz w:val="20"/>
          <w:szCs w:val="20"/>
          <w:color w:val="auto"/>
        </w:rPr>
      </w:pPr>
    </w:p>
    <w:p>
      <w:pPr>
        <w:jc w:val="center"/>
        <w:ind w:right="4320"/>
        <w:spacing w:after="0"/>
        <w:rPr>
          <w:sz w:val="20"/>
          <w:szCs w:val="20"/>
          <w:color w:val="auto"/>
        </w:rPr>
      </w:pPr>
      <w:r>
        <w:rPr>
          <w:rFonts w:ascii="Courier New" w:cs="Courier New" w:eastAsia="Courier New" w:hAnsi="Courier New"/>
          <w:sz w:val="15"/>
          <w:szCs w:val="15"/>
          <w:b w:val="1"/>
          <w:bCs w:val="1"/>
          <w:color w:val="auto"/>
        </w:rPr>
        <w:t>(In Thousands, Except Per Share Amounts)</w:t>
      </w:r>
    </w:p>
    <w:p>
      <w:pPr>
        <w:spacing w:after="0" w:line="3" w:lineRule="exact"/>
        <w:rPr>
          <w:sz w:val="20"/>
          <w:szCs w:val="20"/>
          <w:color w:val="auto"/>
        </w:rPr>
      </w:pPr>
    </w:p>
    <w:tbl>
      <w:tblPr>
        <w:tblLayout w:type="fixed"/>
        <w:tblInd w:w="440" w:type="dxa"/>
        <w:tblCellMar>
          <w:top w:w="0" w:type="dxa"/>
          <w:left w:w="0" w:type="dxa"/>
          <w:bottom w:w="0" w:type="dxa"/>
          <w:right w:w="0" w:type="dxa"/>
        </w:tblCellMar>
      </w:tblPr>
      <w:tr>
        <w:trPr>
          <w:trHeight w:val="289"/>
        </w:trPr>
        <w:tc>
          <w:tcPr>
            <w:tcW w:w="4060" w:type="dxa"/>
            <w:vAlign w:val="bottom"/>
          </w:tcPr>
          <w:p>
            <w:pPr>
              <w:ind w:left="2700"/>
              <w:spacing w:after="0"/>
              <w:rPr>
                <w:sz w:val="20"/>
                <w:szCs w:val="20"/>
                <w:color w:val="auto"/>
              </w:rPr>
            </w:pPr>
            <w:r>
              <w:rPr>
                <w:rFonts w:ascii="Courier New" w:cs="Courier New" w:eastAsia="Courier New" w:hAnsi="Courier New"/>
                <w:sz w:val="15"/>
                <w:szCs w:val="15"/>
                <w:b w:val="1"/>
                <w:bCs w:val="1"/>
                <w:color w:val="auto"/>
              </w:rPr>
              <w:t>(Unaudited)</w:t>
            </w:r>
          </w:p>
        </w:tc>
        <w:tc>
          <w:tcPr>
            <w:tcW w:w="19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060" w:type="dxa"/>
            <w:vAlign w:val="bottom"/>
          </w:tcPr>
          <w:p>
            <w:pPr>
              <w:spacing w:after="0"/>
              <w:rPr>
                <w:sz w:val="15"/>
                <w:szCs w:val="15"/>
                <w:color w:val="auto"/>
              </w:rPr>
            </w:pPr>
          </w:p>
        </w:tc>
        <w:tc>
          <w:tcPr>
            <w:tcW w:w="3700" w:type="dxa"/>
            <w:vAlign w:val="bottom"/>
            <w:gridSpan w:val="2"/>
          </w:tcPr>
          <w:p>
            <w:pPr>
              <w:jc w:val="right"/>
              <w:ind w:right="1005"/>
              <w:spacing w:after="0"/>
              <w:rPr>
                <w:sz w:val="20"/>
                <w:szCs w:val="20"/>
                <w:color w:val="auto"/>
              </w:rPr>
            </w:pPr>
            <w:r>
              <w:rPr>
                <w:rFonts w:ascii="Courier New" w:cs="Courier New" w:eastAsia="Courier New" w:hAnsi="Courier New"/>
                <w:sz w:val="15"/>
                <w:szCs w:val="15"/>
                <w:b w:val="1"/>
                <w:bCs w:val="1"/>
                <w:color w:val="auto"/>
              </w:rPr>
              <w:t>Three Months Ended</w:t>
            </w:r>
          </w:p>
        </w:tc>
        <w:tc>
          <w:tcPr>
            <w:tcW w:w="3320" w:type="dxa"/>
            <w:vAlign w:val="bottom"/>
            <w:gridSpan w:val="2"/>
          </w:tcPr>
          <w:p>
            <w:pPr>
              <w:jc w:val="right"/>
              <w:ind w:right="805"/>
              <w:spacing w:after="0"/>
              <w:rPr>
                <w:sz w:val="20"/>
                <w:szCs w:val="20"/>
                <w:color w:val="auto"/>
              </w:rPr>
            </w:pPr>
            <w:r>
              <w:rPr>
                <w:rFonts w:ascii="Courier New" w:cs="Courier New" w:eastAsia="Courier New" w:hAnsi="Courier New"/>
                <w:sz w:val="15"/>
                <w:szCs w:val="15"/>
                <w:b w:val="1"/>
                <w:bCs w:val="1"/>
                <w:color w:val="auto"/>
              </w:rPr>
              <w:t>Six Months Ended</w:t>
            </w: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3700" w:type="dxa"/>
            <w:vAlign w:val="bottom"/>
            <w:gridSpan w:val="2"/>
          </w:tcPr>
          <w:p>
            <w:pPr>
              <w:jc w:val="right"/>
              <w:ind w:right="1545"/>
              <w:spacing w:after="0"/>
              <w:rPr>
                <w:sz w:val="20"/>
                <w:szCs w:val="20"/>
                <w:color w:val="auto"/>
              </w:rPr>
            </w:pPr>
            <w:r>
              <w:rPr>
                <w:rFonts w:ascii="Courier New" w:cs="Courier New" w:eastAsia="Courier New" w:hAnsi="Courier New"/>
                <w:sz w:val="15"/>
                <w:szCs w:val="15"/>
                <w:b w:val="1"/>
                <w:bCs w:val="1"/>
                <w:color w:val="auto"/>
              </w:rPr>
              <w:t>June 30,</w:t>
            </w:r>
          </w:p>
        </w:tc>
        <w:tc>
          <w:tcPr>
            <w:tcW w:w="3320" w:type="dxa"/>
            <w:vAlign w:val="bottom"/>
            <w:gridSpan w:val="2"/>
          </w:tcPr>
          <w:p>
            <w:pPr>
              <w:jc w:val="right"/>
              <w:ind w:right="1265"/>
              <w:spacing w:after="0"/>
              <w:rPr>
                <w:sz w:val="20"/>
                <w:szCs w:val="20"/>
                <w:color w:val="auto"/>
              </w:rPr>
            </w:pPr>
            <w:r>
              <w:rPr>
                <w:rFonts w:ascii="Courier New" w:cs="Courier New" w:eastAsia="Courier New" w:hAnsi="Courier New"/>
                <w:sz w:val="15"/>
                <w:szCs w:val="15"/>
                <w:b w:val="1"/>
                <w:bCs w:val="1"/>
                <w:color w:val="auto"/>
              </w:rPr>
              <w:t>June 30,</w:t>
            </w: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1900" w:type="dxa"/>
            <w:vAlign w:val="bottom"/>
          </w:tcPr>
          <w:p>
            <w:pPr>
              <w:jc w:val="center"/>
              <w:ind w:left="185"/>
              <w:spacing w:after="0"/>
              <w:rPr>
                <w:sz w:val="20"/>
                <w:szCs w:val="20"/>
                <w:color w:val="auto"/>
              </w:rPr>
            </w:pPr>
            <w:r>
              <w:rPr>
                <w:rFonts w:ascii="Courier New" w:cs="Courier New" w:eastAsia="Courier New" w:hAnsi="Courier New"/>
                <w:sz w:val="15"/>
                <w:szCs w:val="15"/>
                <w:b w:val="1"/>
                <w:bCs w:val="1"/>
                <w:color w:val="auto"/>
                <w:w w:val="99"/>
              </w:rPr>
              <w:t>2003</w:t>
            </w:r>
          </w:p>
        </w:tc>
        <w:tc>
          <w:tcPr>
            <w:tcW w:w="1800" w:type="dxa"/>
            <w:vAlign w:val="bottom"/>
          </w:tcPr>
          <w:p>
            <w:pPr>
              <w:jc w:val="center"/>
              <w:ind w:right="125"/>
              <w:spacing w:after="0"/>
              <w:rPr>
                <w:sz w:val="20"/>
                <w:szCs w:val="20"/>
                <w:color w:val="auto"/>
              </w:rPr>
            </w:pPr>
            <w:r>
              <w:rPr>
                <w:rFonts w:ascii="Courier New" w:cs="Courier New" w:eastAsia="Courier New" w:hAnsi="Courier New"/>
                <w:sz w:val="15"/>
                <w:szCs w:val="15"/>
                <w:b w:val="1"/>
                <w:bCs w:val="1"/>
                <w:color w:val="auto"/>
                <w:w w:val="99"/>
              </w:rPr>
              <w:t>2002</w:t>
            </w:r>
          </w:p>
        </w:tc>
        <w:tc>
          <w:tcPr>
            <w:tcW w:w="1800" w:type="dxa"/>
            <w:vAlign w:val="bottom"/>
          </w:tcPr>
          <w:p>
            <w:pPr>
              <w:jc w:val="center"/>
              <w:ind w:left="85"/>
              <w:spacing w:after="0"/>
              <w:rPr>
                <w:sz w:val="20"/>
                <w:szCs w:val="20"/>
                <w:color w:val="auto"/>
              </w:rPr>
            </w:pPr>
            <w:r>
              <w:rPr>
                <w:rFonts w:ascii="Courier New" w:cs="Courier New" w:eastAsia="Courier New" w:hAnsi="Courier New"/>
                <w:sz w:val="15"/>
                <w:szCs w:val="15"/>
                <w:b w:val="1"/>
                <w:bCs w:val="1"/>
                <w:color w:val="auto"/>
                <w:w w:val="99"/>
              </w:rPr>
              <w:t>2003</w:t>
            </w:r>
          </w:p>
        </w:tc>
        <w:tc>
          <w:tcPr>
            <w:tcW w:w="1520" w:type="dxa"/>
            <w:vAlign w:val="bottom"/>
          </w:tcPr>
          <w:p>
            <w:pPr>
              <w:jc w:val="right"/>
              <w:ind w:right="445"/>
              <w:spacing w:after="0"/>
              <w:rPr>
                <w:sz w:val="20"/>
                <w:szCs w:val="20"/>
                <w:color w:val="auto"/>
              </w:rPr>
            </w:pPr>
            <w:r>
              <w:rPr>
                <w:rFonts w:ascii="Courier New" w:cs="Courier New" w:eastAsia="Courier New" w:hAnsi="Courier New"/>
                <w:sz w:val="15"/>
                <w:szCs w:val="15"/>
                <w:b w:val="1"/>
                <w:bCs w:val="1"/>
                <w:color w:val="auto"/>
              </w:rPr>
              <w:t>2002</w:t>
            </w:r>
          </w:p>
        </w:tc>
        <w:tc>
          <w:tcPr>
            <w:tcW w:w="0" w:type="dxa"/>
            <w:vAlign w:val="bottom"/>
          </w:tcPr>
          <w:p>
            <w:pPr>
              <w:spacing w:after="0"/>
              <w:rPr>
                <w:sz w:val="1"/>
                <w:szCs w:val="1"/>
                <w:color w:val="auto"/>
              </w:rPr>
            </w:pPr>
          </w:p>
        </w:tc>
      </w:tr>
      <w:tr>
        <w:trPr>
          <w:trHeight w:val="194"/>
        </w:trPr>
        <w:tc>
          <w:tcPr>
            <w:tcW w:w="4060" w:type="dxa"/>
            <w:vAlign w:val="bottom"/>
            <w:vMerge w:val="restart"/>
          </w:tcPr>
          <w:p>
            <w:pPr>
              <w:spacing w:after="0"/>
              <w:rPr>
                <w:sz w:val="20"/>
                <w:szCs w:val="20"/>
                <w:color w:val="auto"/>
              </w:rPr>
            </w:pPr>
            <w:r>
              <w:rPr>
                <w:rFonts w:ascii="Courier New" w:cs="Courier New" w:eastAsia="Courier New" w:hAnsi="Courier New"/>
                <w:sz w:val="15"/>
                <w:szCs w:val="15"/>
                <w:color w:val="auto"/>
              </w:rPr>
              <w:t>Net sales</w:t>
            </w:r>
          </w:p>
        </w:tc>
        <w:tc>
          <w:tcPr>
            <w:tcW w:w="1900" w:type="dxa"/>
            <w:vAlign w:val="bottom"/>
          </w:tcPr>
          <w:p>
            <w:pPr>
              <w:jc w:val="center"/>
              <w:ind w:left="185"/>
              <w:spacing w:after="0"/>
              <w:rPr>
                <w:sz w:val="20"/>
                <w:szCs w:val="20"/>
                <w:color w:val="auto"/>
              </w:rPr>
            </w:pPr>
            <w:r>
              <w:rPr>
                <w:rFonts w:ascii="Courier New" w:cs="Courier New" w:eastAsia="Courier New" w:hAnsi="Courier New"/>
                <w:sz w:val="15"/>
                <w:szCs w:val="15"/>
                <w:b w:val="1"/>
                <w:bCs w:val="1"/>
                <w:color w:val="auto"/>
                <w:w w:val="99"/>
              </w:rPr>
              <w:t>----------------</w:t>
            </w:r>
          </w:p>
        </w:tc>
        <w:tc>
          <w:tcPr>
            <w:tcW w:w="1800" w:type="dxa"/>
            <w:vAlign w:val="bottom"/>
          </w:tcPr>
          <w:p>
            <w:pPr>
              <w:jc w:val="center"/>
              <w:ind w:right="125"/>
              <w:spacing w:after="0"/>
              <w:rPr>
                <w:sz w:val="20"/>
                <w:szCs w:val="20"/>
                <w:color w:val="auto"/>
              </w:rPr>
            </w:pPr>
            <w:r>
              <w:rPr>
                <w:rFonts w:ascii="Courier New" w:cs="Courier New" w:eastAsia="Courier New" w:hAnsi="Courier New"/>
                <w:sz w:val="15"/>
                <w:szCs w:val="15"/>
                <w:b w:val="1"/>
                <w:bCs w:val="1"/>
                <w:color w:val="auto"/>
                <w:w w:val="99"/>
              </w:rPr>
              <w:t>----------------</w:t>
            </w:r>
          </w:p>
        </w:tc>
        <w:tc>
          <w:tcPr>
            <w:tcW w:w="1800" w:type="dxa"/>
            <w:vAlign w:val="bottom"/>
          </w:tcPr>
          <w:p>
            <w:pPr>
              <w:jc w:val="center"/>
              <w:ind w:left="85"/>
              <w:spacing w:after="0"/>
              <w:rPr>
                <w:sz w:val="20"/>
                <w:szCs w:val="20"/>
                <w:color w:val="auto"/>
              </w:rPr>
            </w:pPr>
            <w:r>
              <w:rPr>
                <w:rFonts w:ascii="Courier New" w:cs="Courier New" w:eastAsia="Courier New" w:hAnsi="Courier New"/>
                <w:sz w:val="15"/>
                <w:szCs w:val="15"/>
                <w:b w:val="1"/>
                <w:bCs w:val="1"/>
                <w:color w:val="auto"/>
                <w:w w:val="99"/>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b w:val="1"/>
                <w:bCs w:val="1"/>
                <w:color w:val="auto"/>
              </w:rPr>
              <w:t>----------------</w:t>
            </w:r>
          </w:p>
        </w:tc>
        <w:tc>
          <w:tcPr>
            <w:tcW w:w="0" w:type="dxa"/>
            <w:vAlign w:val="bottom"/>
          </w:tcPr>
          <w:p>
            <w:pPr>
              <w:spacing w:after="0"/>
              <w:rPr>
                <w:sz w:val="1"/>
                <w:szCs w:val="1"/>
                <w:color w:val="auto"/>
              </w:rPr>
            </w:pPr>
          </w:p>
        </w:tc>
      </w:tr>
      <w:tr>
        <w:trPr>
          <w:trHeight w:val="173"/>
        </w:trPr>
        <w:tc>
          <w:tcPr>
            <w:tcW w:w="4060" w:type="dxa"/>
            <w:vAlign w:val="bottom"/>
            <w:vMerge w:val="continue"/>
          </w:tcPr>
          <w:p>
            <w:pPr>
              <w:spacing w:after="0"/>
              <w:rPr>
                <w:sz w:val="15"/>
                <w:szCs w:val="15"/>
                <w:color w:val="auto"/>
              </w:rPr>
            </w:pPr>
          </w:p>
        </w:tc>
        <w:tc>
          <w:tcPr>
            <w:tcW w:w="1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$ 64,194</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$ 49,186</w:t>
            </w:r>
          </w:p>
        </w:tc>
        <w:tc>
          <w:tcPr>
            <w:tcW w:w="1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$121,803</w:t>
            </w: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$ 96,386</w:t>
            </w:r>
          </w:p>
        </w:tc>
        <w:tc>
          <w:tcPr>
            <w:tcW w:w="0" w:type="dxa"/>
            <w:vAlign w:val="bottom"/>
          </w:tcPr>
          <w:p>
            <w:pPr>
              <w:spacing w:after="0"/>
              <w:rPr>
                <w:sz w:val="1"/>
                <w:szCs w:val="1"/>
                <w:color w:val="auto"/>
              </w:rPr>
            </w:pPr>
          </w:p>
        </w:tc>
      </w:tr>
      <w:tr>
        <w:trPr>
          <w:trHeight w:val="173"/>
        </w:trPr>
        <w:tc>
          <w:tcPr>
            <w:tcW w:w="406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1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49,721</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36,139</w:t>
            </w:r>
          </w:p>
        </w:tc>
        <w:tc>
          <w:tcPr>
            <w:tcW w:w="1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92,464</w:t>
            </w: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71,670</w:t>
            </w:r>
          </w:p>
        </w:tc>
        <w:tc>
          <w:tcPr>
            <w:tcW w:w="0" w:type="dxa"/>
            <w:vAlign w:val="bottom"/>
          </w:tcPr>
          <w:p>
            <w:pPr>
              <w:spacing w:after="0"/>
              <w:rPr>
                <w:sz w:val="1"/>
                <w:szCs w:val="1"/>
                <w:color w:val="auto"/>
              </w:rPr>
            </w:pPr>
          </w:p>
        </w:tc>
      </w:tr>
      <w:tr>
        <w:trPr>
          <w:trHeight w:val="173"/>
        </w:trPr>
        <w:tc>
          <w:tcPr>
            <w:tcW w:w="40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Gross profit</w:t>
            </w:r>
          </w:p>
        </w:tc>
        <w:tc>
          <w:tcPr>
            <w:tcW w:w="190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w:t>
            </w:r>
          </w:p>
        </w:tc>
        <w:tc>
          <w:tcPr>
            <w:tcW w:w="180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180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5"/>
        </w:trPr>
        <w:tc>
          <w:tcPr>
            <w:tcW w:w="4060" w:type="dxa"/>
            <w:vAlign w:val="bottom"/>
            <w:vMerge w:val="continue"/>
          </w:tcPr>
          <w:p>
            <w:pPr>
              <w:spacing w:after="0"/>
              <w:rPr>
                <w:sz w:val="22"/>
                <w:szCs w:val="22"/>
                <w:color w:val="auto"/>
              </w:rPr>
            </w:pPr>
          </w:p>
        </w:tc>
        <w:tc>
          <w:tcPr>
            <w:tcW w:w="1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14,473</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13,047</w:t>
            </w:r>
          </w:p>
        </w:tc>
        <w:tc>
          <w:tcPr>
            <w:tcW w:w="1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29,339</w:t>
            </w: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24,716</w:t>
            </w:r>
          </w:p>
        </w:tc>
        <w:tc>
          <w:tcPr>
            <w:tcW w:w="0" w:type="dxa"/>
            <w:vAlign w:val="bottom"/>
          </w:tcPr>
          <w:p>
            <w:pPr>
              <w:spacing w:after="0"/>
              <w:rPr>
                <w:sz w:val="1"/>
                <w:szCs w:val="1"/>
                <w:color w:val="auto"/>
              </w:rPr>
            </w:pPr>
          </w:p>
        </w:tc>
      </w:tr>
      <w:tr>
        <w:trPr>
          <w:trHeight w:val="265"/>
        </w:trPr>
        <w:tc>
          <w:tcPr>
            <w:tcW w:w="4060" w:type="dxa"/>
            <w:vAlign w:val="bottom"/>
          </w:tcPr>
          <w:p>
            <w:pPr>
              <w:spacing w:after="0"/>
              <w:rPr>
                <w:sz w:val="20"/>
                <w:szCs w:val="20"/>
                <w:color w:val="auto"/>
              </w:rPr>
            </w:pPr>
            <w:r>
              <w:rPr>
                <w:rFonts w:ascii="Courier New" w:cs="Courier New" w:eastAsia="Courier New" w:hAnsi="Courier New"/>
                <w:sz w:val="15"/>
                <w:szCs w:val="15"/>
                <w:color w:val="auto"/>
              </w:rPr>
              <w:t>SG&amp;A</w:t>
            </w:r>
          </w:p>
        </w:tc>
        <w:tc>
          <w:tcPr>
            <w:tcW w:w="1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5,771</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4,777</w:t>
            </w:r>
          </w:p>
        </w:tc>
        <w:tc>
          <w:tcPr>
            <w:tcW w:w="1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10,403</w:t>
            </w: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9,317</w:t>
            </w:r>
          </w:p>
        </w:tc>
        <w:tc>
          <w:tcPr>
            <w:tcW w:w="0" w:type="dxa"/>
            <w:vAlign w:val="bottom"/>
          </w:tcPr>
          <w:p>
            <w:pPr>
              <w:spacing w:after="0"/>
              <w:rPr>
                <w:sz w:val="1"/>
                <w:szCs w:val="1"/>
                <w:color w:val="auto"/>
              </w:rPr>
            </w:pPr>
          </w:p>
        </w:tc>
      </w:tr>
      <w:tr>
        <w:trPr>
          <w:trHeight w:val="173"/>
        </w:trPr>
        <w:tc>
          <w:tcPr>
            <w:tcW w:w="4060" w:type="dxa"/>
            <w:vAlign w:val="bottom"/>
          </w:tcPr>
          <w:p>
            <w:pPr>
              <w:spacing w:after="0"/>
              <w:rPr>
                <w:sz w:val="20"/>
                <w:szCs w:val="20"/>
                <w:color w:val="auto"/>
              </w:rPr>
            </w:pPr>
            <w:r>
              <w:rPr>
                <w:rFonts w:ascii="Courier New" w:cs="Courier New" w:eastAsia="Courier New" w:hAnsi="Courier New"/>
                <w:sz w:val="15"/>
                <w:szCs w:val="15"/>
                <w:color w:val="auto"/>
              </w:rPr>
              <w:t>Depreciation / Amortization</w:t>
            </w:r>
          </w:p>
        </w:tc>
        <w:tc>
          <w:tcPr>
            <w:tcW w:w="1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3,482</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2,767</w:t>
            </w:r>
          </w:p>
        </w:tc>
        <w:tc>
          <w:tcPr>
            <w:tcW w:w="1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6,560</w:t>
            </w: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5,620</w:t>
            </w:r>
          </w:p>
        </w:tc>
        <w:tc>
          <w:tcPr>
            <w:tcW w:w="0" w:type="dxa"/>
            <w:vAlign w:val="bottom"/>
          </w:tcPr>
          <w:p>
            <w:pPr>
              <w:spacing w:after="0"/>
              <w:rPr>
                <w:sz w:val="1"/>
                <w:szCs w:val="1"/>
                <w:color w:val="auto"/>
              </w:rPr>
            </w:pPr>
          </w:p>
        </w:tc>
      </w:tr>
      <w:tr>
        <w:trPr>
          <w:trHeight w:val="173"/>
        </w:trPr>
        <w:tc>
          <w:tcPr>
            <w:tcW w:w="4060" w:type="dxa"/>
            <w:vAlign w:val="bottom"/>
          </w:tcPr>
          <w:p>
            <w:pPr>
              <w:spacing w:after="0"/>
              <w:rPr>
                <w:sz w:val="20"/>
                <w:szCs w:val="20"/>
                <w:color w:val="auto"/>
              </w:rPr>
            </w:pPr>
            <w:r>
              <w:rPr>
                <w:rFonts w:ascii="Courier New" w:cs="Courier New" w:eastAsia="Courier New" w:hAnsi="Courier New"/>
                <w:sz w:val="15"/>
                <w:szCs w:val="15"/>
                <w:color w:val="auto"/>
              </w:rPr>
              <w:t>Restructuring and impairment costs</w:t>
            </w:r>
          </w:p>
        </w:tc>
        <w:tc>
          <w:tcPr>
            <w:tcW w:w="1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2,723</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2,723</w:t>
            </w: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78</w:t>
            </w:r>
          </w:p>
        </w:tc>
        <w:tc>
          <w:tcPr>
            <w:tcW w:w="0" w:type="dxa"/>
            <w:vAlign w:val="bottom"/>
          </w:tcPr>
          <w:p>
            <w:pPr>
              <w:spacing w:after="0"/>
              <w:rPr>
                <w:sz w:val="1"/>
                <w:szCs w:val="1"/>
                <w:color w:val="auto"/>
              </w:rPr>
            </w:pPr>
          </w:p>
        </w:tc>
      </w:tr>
      <w:tr>
        <w:trPr>
          <w:trHeight w:val="173"/>
        </w:trPr>
        <w:tc>
          <w:tcPr>
            <w:tcW w:w="40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Income from operations</w:t>
            </w:r>
          </w:p>
        </w:tc>
        <w:tc>
          <w:tcPr>
            <w:tcW w:w="190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w:t>
            </w:r>
          </w:p>
        </w:tc>
        <w:tc>
          <w:tcPr>
            <w:tcW w:w="180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180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5"/>
        </w:trPr>
        <w:tc>
          <w:tcPr>
            <w:tcW w:w="4060" w:type="dxa"/>
            <w:vAlign w:val="bottom"/>
            <w:vMerge w:val="continue"/>
          </w:tcPr>
          <w:p>
            <w:pPr>
              <w:spacing w:after="0"/>
              <w:rPr>
                <w:sz w:val="22"/>
                <w:szCs w:val="22"/>
                <w:color w:val="auto"/>
              </w:rPr>
            </w:pPr>
          </w:p>
        </w:tc>
        <w:tc>
          <w:tcPr>
            <w:tcW w:w="1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2,497</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5,503</w:t>
            </w:r>
          </w:p>
        </w:tc>
        <w:tc>
          <w:tcPr>
            <w:tcW w:w="1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9,653</w:t>
            </w: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9,701</w:t>
            </w:r>
          </w:p>
        </w:tc>
        <w:tc>
          <w:tcPr>
            <w:tcW w:w="0" w:type="dxa"/>
            <w:vAlign w:val="bottom"/>
          </w:tcPr>
          <w:p>
            <w:pPr>
              <w:spacing w:after="0"/>
              <w:rPr>
                <w:sz w:val="1"/>
                <w:szCs w:val="1"/>
                <w:color w:val="auto"/>
              </w:rPr>
            </w:pPr>
          </w:p>
        </w:tc>
      </w:tr>
      <w:tr>
        <w:trPr>
          <w:trHeight w:val="265"/>
        </w:trPr>
        <w:tc>
          <w:tcPr>
            <w:tcW w:w="406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759</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609</w:t>
            </w:r>
          </w:p>
        </w:tc>
        <w:tc>
          <w:tcPr>
            <w:tcW w:w="1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1,343</w:t>
            </w: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1,140</w:t>
            </w:r>
          </w:p>
        </w:tc>
        <w:tc>
          <w:tcPr>
            <w:tcW w:w="0" w:type="dxa"/>
            <w:vAlign w:val="bottom"/>
          </w:tcPr>
          <w:p>
            <w:pPr>
              <w:spacing w:after="0"/>
              <w:rPr>
                <w:sz w:val="1"/>
                <w:szCs w:val="1"/>
                <w:color w:val="auto"/>
              </w:rPr>
            </w:pPr>
          </w:p>
        </w:tc>
      </w:tr>
      <w:tr>
        <w:trPr>
          <w:trHeight w:val="173"/>
        </w:trPr>
        <w:tc>
          <w:tcPr>
            <w:tcW w:w="4060" w:type="dxa"/>
            <w:vAlign w:val="bottom"/>
          </w:tcPr>
          <w:p>
            <w:pPr>
              <w:spacing w:after="0"/>
              <w:rPr>
                <w:sz w:val="20"/>
                <w:szCs w:val="20"/>
                <w:color w:val="auto"/>
              </w:rPr>
            </w:pPr>
            <w:r>
              <w:rPr>
                <w:rFonts w:ascii="Courier New" w:cs="Courier New" w:eastAsia="Courier New" w:hAnsi="Courier New"/>
                <w:sz w:val="15"/>
                <w:szCs w:val="15"/>
                <w:color w:val="auto"/>
              </w:rPr>
              <w:t>Gain on purchase of minority interest</w:t>
            </w:r>
          </w:p>
        </w:tc>
        <w:tc>
          <w:tcPr>
            <w:tcW w:w="1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(6,600)</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(6,600)</w:t>
            </w: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4060" w:type="dxa"/>
            <w:vAlign w:val="bottom"/>
          </w:tcPr>
          <w:p>
            <w:pPr>
              <w:spacing w:after="0"/>
              <w:rPr>
                <w:sz w:val="20"/>
                <w:szCs w:val="20"/>
                <w:color w:val="auto"/>
              </w:rPr>
            </w:pPr>
            <w:r>
              <w:rPr>
                <w:rFonts w:ascii="Courier New" w:cs="Courier New" w:eastAsia="Courier New" w:hAnsi="Courier New"/>
                <w:sz w:val="15"/>
                <w:szCs w:val="15"/>
                <w:color w:val="auto"/>
              </w:rPr>
              <w:t>Other income/expense</w:t>
            </w:r>
          </w:p>
        </w:tc>
        <w:tc>
          <w:tcPr>
            <w:tcW w:w="1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389</w:t>
            </w:r>
          </w:p>
        </w:tc>
        <w:tc>
          <w:tcPr>
            <w:tcW w:w="1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(141)</w:t>
            </w:r>
          </w:p>
        </w:tc>
        <w:tc>
          <w:tcPr>
            <w:tcW w:w="1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310</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(496)</w:t>
            </w:r>
          </w:p>
        </w:tc>
        <w:tc>
          <w:tcPr>
            <w:tcW w:w="0" w:type="dxa"/>
            <w:vAlign w:val="bottom"/>
          </w:tcPr>
          <w:p>
            <w:pPr>
              <w:spacing w:after="0"/>
              <w:rPr>
                <w:sz w:val="1"/>
                <w:szCs w:val="1"/>
                <w:color w:val="auto"/>
              </w:rPr>
            </w:pPr>
          </w:p>
        </w:tc>
      </w:tr>
      <w:tr>
        <w:trPr>
          <w:trHeight w:val="173"/>
        </w:trPr>
        <w:tc>
          <w:tcPr>
            <w:tcW w:w="406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provision for taxes</w:t>
            </w:r>
          </w:p>
        </w:tc>
        <w:tc>
          <w:tcPr>
            <w:tcW w:w="190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w:t>
            </w:r>
          </w:p>
        </w:tc>
        <w:tc>
          <w:tcPr>
            <w:tcW w:w="180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180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4060" w:type="dxa"/>
            <w:vAlign w:val="bottom"/>
            <w:vMerge w:val="continue"/>
          </w:tcPr>
          <w:p>
            <w:pPr>
              <w:spacing w:after="0"/>
              <w:rPr>
                <w:sz w:val="15"/>
                <w:szCs w:val="15"/>
                <w:color w:val="auto"/>
              </w:rPr>
            </w:pPr>
          </w:p>
        </w:tc>
        <w:tc>
          <w:tcPr>
            <w:tcW w:w="1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7,949</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5,035</w:t>
            </w:r>
          </w:p>
        </w:tc>
        <w:tc>
          <w:tcPr>
            <w:tcW w:w="1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14,600</w:t>
            </w: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9,057</w:t>
            </w:r>
          </w:p>
        </w:tc>
        <w:tc>
          <w:tcPr>
            <w:tcW w:w="0" w:type="dxa"/>
            <w:vAlign w:val="bottom"/>
          </w:tcPr>
          <w:p>
            <w:pPr>
              <w:spacing w:after="0"/>
              <w:rPr>
                <w:sz w:val="1"/>
                <w:szCs w:val="1"/>
                <w:color w:val="auto"/>
              </w:rPr>
            </w:pPr>
          </w:p>
        </w:tc>
      </w:tr>
      <w:tr>
        <w:trPr>
          <w:trHeight w:val="173"/>
        </w:trPr>
        <w:tc>
          <w:tcPr>
            <w:tcW w:w="4060" w:type="dxa"/>
            <w:vAlign w:val="bottom"/>
          </w:tcPr>
          <w:p>
            <w:pPr>
              <w:spacing w:after="0"/>
              <w:rPr>
                <w:sz w:val="20"/>
                <w:szCs w:val="20"/>
                <w:color w:val="auto"/>
              </w:rPr>
            </w:pPr>
            <w:r>
              <w:rPr>
                <w:rFonts w:ascii="Courier New" w:cs="Courier New" w:eastAsia="Courier New" w:hAnsi="Courier New"/>
                <w:sz w:val="15"/>
                <w:szCs w:val="15"/>
                <w:color w:val="auto"/>
              </w:rPr>
              <w:t>Provision for taxes</w:t>
            </w:r>
          </w:p>
        </w:tc>
        <w:tc>
          <w:tcPr>
            <w:tcW w:w="1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512</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1,840</w:t>
            </w:r>
          </w:p>
        </w:tc>
        <w:tc>
          <w:tcPr>
            <w:tcW w:w="1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2,984</w:t>
            </w: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3,345</w:t>
            </w:r>
          </w:p>
        </w:tc>
        <w:tc>
          <w:tcPr>
            <w:tcW w:w="0" w:type="dxa"/>
            <w:vAlign w:val="bottom"/>
          </w:tcPr>
          <w:p>
            <w:pPr>
              <w:spacing w:after="0"/>
              <w:rPr>
                <w:sz w:val="1"/>
                <w:szCs w:val="1"/>
                <w:color w:val="auto"/>
              </w:rPr>
            </w:pPr>
          </w:p>
        </w:tc>
      </w:tr>
      <w:tr>
        <w:trPr>
          <w:trHeight w:val="173"/>
        </w:trPr>
        <w:tc>
          <w:tcPr>
            <w:tcW w:w="406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140</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787</w:t>
            </w:r>
          </w:p>
        </w:tc>
        <w:tc>
          <w:tcPr>
            <w:tcW w:w="1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675</w:t>
            </w: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1,454</w:t>
            </w:r>
          </w:p>
        </w:tc>
        <w:tc>
          <w:tcPr>
            <w:tcW w:w="0" w:type="dxa"/>
            <w:vAlign w:val="bottom"/>
          </w:tcPr>
          <w:p>
            <w:pPr>
              <w:spacing w:after="0"/>
              <w:rPr>
                <w:sz w:val="1"/>
                <w:szCs w:val="1"/>
                <w:color w:val="auto"/>
              </w:rPr>
            </w:pPr>
          </w:p>
        </w:tc>
      </w:tr>
      <w:tr>
        <w:trPr>
          <w:trHeight w:val="173"/>
        </w:trPr>
        <w:tc>
          <w:tcPr>
            <w:tcW w:w="40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Net income</w:t>
            </w:r>
          </w:p>
        </w:tc>
        <w:tc>
          <w:tcPr>
            <w:tcW w:w="190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w:t>
            </w:r>
          </w:p>
        </w:tc>
        <w:tc>
          <w:tcPr>
            <w:tcW w:w="180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180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4060" w:type="dxa"/>
            <w:vAlign w:val="bottom"/>
            <w:vMerge w:val="continue"/>
          </w:tcPr>
          <w:p>
            <w:pPr>
              <w:spacing w:after="0"/>
              <w:rPr>
                <w:sz w:val="15"/>
                <w:szCs w:val="15"/>
                <w:color w:val="auto"/>
              </w:rPr>
            </w:pPr>
          </w:p>
        </w:tc>
        <w:tc>
          <w:tcPr>
            <w:tcW w:w="1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$ 7,297</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$ 2,408</w:t>
            </w:r>
          </w:p>
        </w:tc>
        <w:tc>
          <w:tcPr>
            <w:tcW w:w="1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$ 10,941</w:t>
            </w: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$ 4,258</w:t>
            </w:r>
          </w:p>
        </w:tc>
        <w:tc>
          <w:tcPr>
            <w:tcW w:w="0" w:type="dxa"/>
            <w:vAlign w:val="bottom"/>
          </w:tcPr>
          <w:p>
            <w:pPr>
              <w:spacing w:after="0"/>
              <w:rPr>
                <w:sz w:val="1"/>
                <w:szCs w:val="1"/>
                <w:color w:val="auto"/>
              </w:rPr>
            </w:pPr>
          </w:p>
        </w:tc>
      </w:tr>
      <w:tr>
        <w:trPr>
          <w:trHeight w:val="255"/>
        </w:trPr>
        <w:tc>
          <w:tcPr>
            <w:tcW w:w="4060" w:type="dxa"/>
            <w:vAlign w:val="bottom"/>
          </w:tcPr>
          <w:p>
            <w:pPr>
              <w:spacing w:after="0"/>
              <w:rPr>
                <w:sz w:val="22"/>
                <w:szCs w:val="22"/>
                <w:color w:val="auto"/>
              </w:rPr>
            </w:pPr>
          </w:p>
        </w:tc>
        <w:tc>
          <w:tcPr>
            <w:tcW w:w="190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w:t>
            </w:r>
          </w:p>
        </w:tc>
        <w:tc>
          <w:tcPr>
            <w:tcW w:w="180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180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38"/>
        </w:trPr>
        <w:tc>
          <w:tcPr>
            <w:tcW w:w="406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$ 0.44</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$ 0.15</w:t>
            </w:r>
          </w:p>
        </w:tc>
        <w:tc>
          <w:tcPr>
            <w:tcW w:w="1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$ 0.69</w:t>
            </w: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$ 0.27</w:t>
            </w:r>
          </w:p>
        </w:tc>
        <w:tc>
          <w:tcPr>
            <w:tcW w:w="0" w:type="dxa"/>
            <w:vAlign w:val="bottom"/>
          </w:tcPr>
          <w:p>
            <w:pPr>
              <w:spacing w:after="0"/>
              <w:rPr>
                <w:sz w:val="1"/>
                <w:szCs w:val="1"/>
                <w:color w:val="auto"/>
              </w:rPr>
            </w:pPr>
          </w:p>
        </w:tc>
      </w:tr>
      <w:tr>
        <w:trPr>
          <w:trHeight w:val="255"/>
        </w:trPr>
        <w:tc>
          <w:tcPr>
            <w:tcW w:w="4060" w:type="dxa"/>
            <w:vAlign w:val="bottom"/>
          </w:tcPr>
          <w:p>
            <w:pPr>
              <w:spacing w:after="0"/>
              <w:rPr>
                <w:sz w:val="22"/>
                <w:szCs w:val="22"/>
                <w:color w:val="auto"/>
              </w:rPr>
            </w:pPr>
          </w:p>
        </w:tc>
        <w:tc>
          <w:tcPr>
            <w:tcW w:w="190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w:t>
            </w:r>
          </w:p>
        </w:tc>
        <w:tc>
          <w:tcPr>
            <w:tcW w:w="180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180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267335</wp:posOffset>
            </wp:positionV>
            <wp:extent cx="7291705"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1705"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b w:val="1"/>
          <w:bCs w:val="1"/>
          <w:color w:val="auto"/>
        </w:rPr>
        <w:t>NN, Inc.</w:t>
      </w:r>
    </w:p>
    <w:p>
      <w:pPr>
        <w:spacing w:after="0" w:line="6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b w:val="1"/>
          <w:bCs w:val="1"/>
          <w:color w:val="auto"/>
        </w:rPr>
        <w:t>Condensed Balance Sheet</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b w:val="1"/>
          <w:bCs w:val="1"/>
          <w:color w:val="auto"/>
        </w:rPr>
        <w:t>(In Thousands, Except Per Share Amounts)</w:t>
      </w:r>
    </w:p>
    <w:p>
      <w:pPr>
        <w:spacing w:after="0" w:line="3" w:lineRule="exact"/>
        <w:rPr>
          <w:sz w:val="20"/>
          <w:szCs w:val="20"/>
          <w:color w:val="auto"/>
        </w:rPr>
      </w:pPr>
    </w:p>
    <w:tbl>
      <w:tblPr>
        <w:tblLayout w:type="fixed"/>
        <w:tblInd w:w="800" w:type="dxa"/>
        <w:tblCellMar>
          <w:top w:w="0" w:type="dxa"/>
          <w:left w:w="0" w:type="dxa"/>
          <w:bottom w:w="0" w:type="dxa"/>
          <w:right w:w="0" w:type="dxa"/>
        </w:tblCellMar>
      </w:tblPr>
      <w:tr>
        <w:trPr>
          <w:trHeight w:val="289"/>
        </w:trPr>
        <w:tc>
          <w:tcPr>
            <w:tcW w:w="1400" w:type="dxa"/>
            <w:vAlign w:val="bottom"/>
          </w:tcPr>
          <w:p>
            <w:pPr>
              <w:spacing w:after="0"/>
              <w:rPr>
                <w:sz w:val="24"/>
                <w:szCs w:val="24"/>
                <w:color w:val="auto"/>
              </w:rPr>
            </w:pPr>
          </w:p>
        </w:tc>
        <w:tc>
          <w:tcPr>
            <w:tcW w:w="3200" w:type="dxa"/>
            <w:vAlign w:val="bottom"/>
          </w:tcPr>
          <w:p>
            <w:pPr>
              <w:ind w:left="320"/>
              <w:spacing w:after="0"/>
              <w:rPr>
                <w:sz w:val="20"/>
                <w:szCs w:val="20"/>
                <w:color w:val="auto"/>
              </w:rPr>
            </w:pPr>
            <w:r>
              <w:rPr>
                <w:rFonts w:ascii="Courier New" w:cs="Courier New" w:eastAsia="Courier New" w:hAnsi="Courier New"/>
                <w:sz w:val="15"/>
                <w:szCs w:val="15"/>
                <w:b w:val="1"/>
                <w:bCs w:val="1"/>
                <w:color w:val="auto"/>
              </w:rPr>
              <w:t>(Unaudited)</w:t>
            </w:r>
          </w:p>
        </w:tc>
        <w:tc>
          <w:tcPr>
            <w:tcW w:w="37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3700" w:type="dxa"/>
            <w:vAlign w:val="bottom"/>
          </w:tcPr>
          <w:p>
            <w:pPr>
              <w:jc w:val="right"/>
              <w:ind w:right="825"/>
              <w:spacing w:after="0"/>
              <w:rPr>
                <w:sz w:val="20"/>
                <w:szCs w:val="20"/>
                <w:color w:val="auto"/>
              </w:rPr>
            </w:pPr>
            <w:r>
              <w:rPr>
                <w:rFonts w:ascii="Courier New" w:cs="Courier New" w:eastAsia="Courier New" w:hAnsi="Courier New"/>
                <w:sz w:val="15"/>
                <w:szCs w:val="15"/>
                <w:b w:val="1"/>
                <w:bCs w:val="1"/>
                <w:color w:val="auto"/>
              </w:rPr>
              <w:t>Consolidated</w:t>
            </w:r>
          </w:p>
        </w:tc>
        <w:tc>
          <w:tcPr>
            <w:tcW w:w="2340" w:type="dxa"/>
            <w:vAlign w:val="bottom"/>
          </w:tcPr>
          <w:p>
            <w:pPr>
              <w:jc w:val="right"/>
              <w:ind w:right="465"/>
              <w:spacing w:after="0"/>
              <w:rPr>
                <w:sz w:val="20"/>
                <w:szCs w:val="20"/>
                <w:color w:val="auto"/>
              </w:rPr>
            </w:pPr>
            <w:r>
              <w:rPr>
                <w:rFonts w:ascii="Courier New" w:cs="Courier New" w:eastAsia="Courier New" w:hAnsi="Courier New"/>
                <w:sz w:val="15"/>
                <w:szCs w:val="15"/>
                <w:b w:val="1"/>
                <w:bCs w:val="1"/>
                <w:color w:val="auto"/>
              </w:rPr>
              <w:t>Consolidated</w:t>
            </w:r>
          </w:p>
        </w:tc>
        <w:tc>
          <w:tcPr>
            <w:tcW w:w="0" w:type="dxa"/>
            <w:vAlign w:val="bottom"/>
          </w:tcPr>
          <w:p>
            <w:pPr>
              <w:spacing w:after="0"/>
              <w:rPr>
                <w:sz w:val="1"/>
                <w:szCs w:val="1"/>
                <w:color w:val="auto"/>
              </w:rPr>
            </w:pPr>
          </w:p>
        </w:tc>
      </w:tr>
      <w:tr>
        <w:trPr>
          <w:trHeight w:val="173"/>
        </w:trPr>
        <w:tc>
          <w:tcPr>
            <w:tcW w:w="14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3700" w:type="dxa"/>
            <w:vAlign w:val="bottom"/>
          </w:tcPr>
          <w:p>
            <w:pPr>
              <w:jc w:val="right"/>
              <w:ind w:right="1005"/>
              <w:spacing w:after="0"/>
              <w:rPr>
                <w:sz w:val="20"/>
                <w:szCs w:val="20"/>
                <w:color w:val="auto"/>
              </w:rPr>
            </w:pPr>
            <w:r>
              <w:rPr>
                <w:rFonts w:ascii="Courier New" w:cs="Courier New" w:eastAsia="Courier New" w:hAnsi="Courier New"/>
                <w:sz w:val="15"/>
                <w:szCs w:val="15"/>
                <w:b w:val="1"/>
                <w:bCs w:val="1"/>
                <w:color w:val="auto"/>
              </w:rPr>
              <w:t>6/30/03</w:t>
            </w:r>
          </w:p>
        </w:tc>
        <w:tc>
          <w:tcPr>
            <w:tcW w:w="2340" w:type="dxa"/>
            <w:vAlign w:val="bottom"/>
          </w:tcPr>
          <w:p>
            <w:pPr>
              <w:jc w:val="right"/>
              <w:ind w:right="645"/>
              <w:spacing w:after="0"/>
              <w:rPr>
                <w:sz w:val="20"/>
                <w:szCs w:val="20"/>
                <w:color w:val="auto"/>
              </w:rPr>
            </w:pPr>
            <w:r>
              <w:rPr>
                <w:rFonts w:ascii="Courier New" w:cs="Courier New" w:eastAsia="Courier New" w:hAnsi="Courier New"/>
                <w:sz w:val="15"/>
                <w:szCs w:val="15"/>
                <w:b w:val="1"/>
                <w:bCs w:val="1"/>
                <w:color w:val="auto"/>
              </w:rPr>
              <w:t>12/31/02</w:t>
            </w:r>
          </w:p>
        </w:tc>
        <w:tc>
          <w:tcPr>
            <w:tcW w:w="0" w:type="dxa"/>
            <w:vAlign w:val="bottom"/>
          </w:tcPr>
          <w:p>
            <w:pPr>
              <w:spacing w:after="0"/>
              <w:rPr>
                <w:sz w:val="1"/>
                <w:szCs w:val="1"/>
                <w:color w:val="auto"/>
              </w:rPr>
            </w:pPr>
          </w:p>
        </w:tc>
      </w:tr>
      <w:tr>
        <w:trPr>
          <w:trHeight w:val="289"/>
        </w:trPr>
        <w:tc>
          <w:tcPr>
            <w:tcW w:w="1400" w:type="dxa"/>
            <w:vAlign w:val="bottom"/>
            <w:vMerge w:val="restart"/>
          </w:tcPr>
          <w:p>
            <w:pPr>
              <w:spacing w:after="0"/>
              <w:rPr>
                <w:sz w:val="20"/>
                <w:szCs w:val="20"/>
                <w:color w:val="auto"/>
              </w:rPr>
            </w:pPr>
            <w:r>
              <w:rPr>
                <w:rFonts w:ascii="Courier New" w:cs="Courier New" w:eastAsia="Courier New" w:hAnsi="Courier New"/>
                <w:sz w:val="15"/>
                <w:szCs w:val="15"/>
                <w:b w:val="1"/>
                <w:bCs w:val="1"/>
                <w:color w:val="auto"/>
              </w:rPr>
              <w:t>Assets</w:t>
            </w:r>
          </w:p>
        </w:tc>
        <w:tc>
          <w:tcPr>
            <w:tcW w:w="3200" w:type="dxa"/>
            <w:vAlign w:val="bottom"/>
          </w:tcPr>
          <w:p>
            <w:pPr>
              <w:spacing w:after="0"/>
              <w:rPr>
                <w:sz w:val="24"/>
                <w:szCs w:val="24"/>
                <w:color w:val="auto"/>
              </w:rPr>
            </w:pPr>
          </w:p>
        </w:tc>
        <w:tc>
          <w:tcPr>
            <w:tcW w:w="3700" w:type="dxa"/>
            <w:vAlign w:val="bottom"/>
          </w:tcPr>
          <w:p>
            <w:pPr>
              <w:jc w:val="right"/>
              <w:ind w:right="285"/>
              <w:spacing w:after="0"/>
              <w:rPr>
                <w:sz w:val="20"/>
                <w:szCs w:val="20"/>
                <w:color w:val="auto"/>
              </w:rPr>
            </w:pPr>
            <w:r>
              <w:rPr>
                <w:rFonts w:ascii="Courier New" w:cs="Courier New" w:eastAsia="Courier New" w:hAnsi="Courier New"/>
                <w:sz w:val="15"/>
                <w:szCs w:val="15"/>
                <w:b w:val="1"/>
                <w:bCs w:val="1"/>
                <w:color w:val="auto"/>
              </w:rPr>
              <w:t>----------------------</w:t>
            </w:r>
          </w:p>
        </w:tc>
        <w:tc>
          <w:tcPr>
            <w:tcW w:w="2340" w:type="dxa"/>
            <w:vAlign w:val="bottom"/>
          </w:tcPr>
          <w:p>
            <w:pPr>
              <w:jc w:val="right"/>
              <w:spacing w:after="0"/>
              <w:rPr>
                <w:sz w:val="20"/>
                <w:szCs w:val="20"/>
                <w:color w:val="auto"/>
              </w:rPr>
            </w:pPr>
            <w:r>
              <w:rPr>
                <w:rFonts w:ascii="Courier New" w:cs="Courier New" w:eastAsia="Courier New" w:hAnsi="Courier New"/>
                <w:sz w:val="15"/>
                <w:szCs w:val="15"/>
                <w:b w:val="1"/>
                <w:bCs w:val="1"/>
                <w:color w:val="auto"/>
              </w:rPr>
              <w:t>----------------------</w:t>
            </w:r>
          </w:p>
        </w:tc>
        <w:tc>
          <w:tcPr>
            <w:tcW w:w="0" w:type="dxa"/>
            <w:vAlign w:val="bottom"/>
          </w:tcPr>
          <w:p>
            <w:pPr>
              <w:spacing w:after="0"/>
              <w:rPr>
                <w:sz w:val="1"/>
                <w:szCs w:val="1"/>
                <w:color w:val="auto"/>
              </w:rPr>
            </w:pPr>
          </w:p>
        </w:tc>
      </w:tr>
      <w:tr>
        <w:trPr>
          <w:trHeight w:val="78"/>
        </w:trPr>
        <w:tc>
          <w:tcPr>
            <w:tcW w:w="1400" w:type="dxa"/>
            <w:vAlign w:val="bottom"/>
            <w:vMerge w:val="continue"/>
          </w:tcPr>
          <w:p>
            <w:pPr>
              <w:spacing w:after="0"/>
              <w:rPr>
                <w:sz w:val="6"/>
                <w:szCs w:val="6"/>
                <w:color w:val="auto"/>
              </w:rPr>
            </w:pPr>
          </w:p>
        </w:tc>
        <w:tc>
          <w:tcPr>
            <w:tcW w:w="3200" w:type="dxa"/>
            <w:vAlign w:val="bottom"/>
          </w:tcPr>
          <w:p>
            <w:pPr>
              <w:spacing w:after="0"/>
              <w:rPr>
                <w:sz w:val="6"/>
                <w:szCs w:val="6"/>
                <w:color w:val="auto"/>
              </w:rPr>
            </w:pPr>
          </w:p>
        </w:tc>
        <w:tc>
          <w:tcPr>
            <w:tcW w:w="3700" w:type="dxa"/>
            <w:vAlign w:val="bottom"/>
          </w:tcPr>
          <w:p>
            <w:pPr>
              <w:spacing w:after="0"/>
              <w:rPr>
                <w:sz w:val="6"/>
                <w:szCs w:val="6"/>
                <w:color w:val="auto"/>
              </w:rPr>
            </w:pPr>
          </w:p>
        </w:tc>
        <w:tc>
          <w:tcPr>
            <w:tcW w:w="2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4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2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equivalents</w:t>
            </w:r>
          </w:p>
        </w:tc>
        <w:tc>
          <w:tcPr>
            <w:tcW w:w="3700" w:type="dxa"/>
            <w:vAlign w:val="bottom"/>
            <w:vMerge w:val="restart"/>
          </w:tcPr>
          <w:p>
            <w:pPr>
              <w:jc w:val="right"/>
              <w:ind w:right="385"/>
              <w:spacing w:after="0"/>
              <w:rPr>
                <w:sz w:val="20"/>
                <w:szCs w:val="20"/>
                <w:color w:val="auto"/>
              </w:rPr>
            </w:pPr>
            <w:r>
              <w:rPr>
                <w:rFonts w:ascii="Courier New" w:cs="Courier New" w:eastAsia="Courier New" w:hAnsi="Courier New"/>
                <w:sz w:val="15"/>
                <w:szCs w:val="15"/>
                <w:color w:val="auto"/>
              </w:rPr>
              <w:t>$ 4,641</w:t>
            </w:r>
          </w:p>
        </w:tc>
        <w:tc>
          <w:tcPr>
            <w:tcW w:w="23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$ 5,144</w:t>
            </w:r>
          </w:p>
        </w:tc>
        <w:tc>
          <w:tcPr>
            <w:tcW w:w="0" w:type="dxa"/>
            <w:vAlign w:val="bottom"/>
          </w:tcPr>
          <w:p>
            <w:pPr>
              <w:spacing w:after="0"/>
              <w:rPr>
                <w:sz w:val="1"/>
                <w:szCs w:val="1"/>
                <w:color w:val="auto"/>
              </w:rPr>
            </w:pPr>
          </w:p>
        </w:tc>
      </w:tr>
      <w:tr>
        <w:trPr>
          <w:trHeight w:val="173"/>
        </w:trPr>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Cash and cash</w:t>
            </w:r>
          </w:p>
        </w:tc>
        <w:tc>
          <w:tcPr>
            <w:tcW w:w="3200" w:type="dxa"/>
            <w:vAlign w:val="bottom"/>
            <w:vMerge w:val="continue"/>
          </w:tcPr>
          <w:p>
            <w:pPr>
              <w:spacing w:after="0"/>
              <w:rPr>
                <w:sz w:val="15"/>
                <w:szCs w:val="15"/>
                <w:color w:val="auto"/>
              </w:rPr>
            </w:pPr>
          </w:p>
        </w:tc>
        <w:tc>
          <w:tcPr>
            <w:tcW w:w="3700" w:type="dxa"/>
            <w:vAlign w:val="bottom"/>
            <w:vMerge w:val="continue"/>
          </w:tcPr>
          <w:p>
            <w:pPr>
              <w:spacing w:after="0"/>
              <w:rPr>
                <w:sz w:val="15"/>
                <w:szCs w:val="15"/>
                <w:color w:val="auto"/>
              </w:rPr>
            </w:pPr>
          </w:p>
        </w:tc>
        <w:tc>
          <w:tcPr>
            <w:tcW w:w="2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6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Accounts receivable, net</w:t>
            </w:r>
          </w:p>
        </w:tc>
        <w:tc>
          <w:tcPr>
            <w:tcW w:w="37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44,542</w:t>
            </w:r>
          </w:p>
        </w:tc>
        <w:tc>
          <w:tcPr>
            <w:tcW w:w="2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28,965</w:t>
            </w:r>
          </w:p>
        </w:tc>
        <w:tc>
          <w:tcPr>
            <w:tcW w:w="0" w:type="dxa"/>
            <w:vAlign w:val="bottom"/>
          </w:tcPr>
          <w:p>
            <w:pPr>
              <w:spacing w:after="0"/>
              <w:rPr>
                <w:sz w:val="1"/>
                <w:szCs w:val="1"/>
                <w:color w:val="auto"/>
              </w:rPr>
            </w:pPr>
          </w:p>
        </w:tc>
      </w:tr>
      <w:tr>
        <w:trPr>
          <w:trHeight w:val="173"/>
        </w:trPr>
        <w:tc>
          <w:tcPr>
            <w:tcW w:w="46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Inventories, net</w:t>
            </w:r>
          </w:p>
        </w:tc>
        <w:tc>
          <w:tcPr>
            <w:tcW w:w="37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33,825</w:t>
            </w:r>
          </w:p>
        </w:tc>
        <w:tc>
          <w:tcPr>
            <w:tcW w:w="2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23,402</w:t>
            </w:r>
          </w:p>
        </w:tc>
        <w:tc>
          <w:tcPr>
            <w:tcW w:w="0" w:type="dxa"/>
            <w:vAlign w:val="bottom"/>
          </w:tcPr>
          <w:p>
            <w:pPr>
              <w:spacing w:after="0"/>
              <w:rPr>
                <w:sz w:val="1"/>
                <w:szCs w:val="1"/>
                <w:color w:val="auto"/>
              </w:rPr>
            </w:pPr>
          </w:p>
        </w:tc>
      </w:tr>
      <w:tr>
        <w:trPr>
          <w:trHeight w:val="173"/>
        </w:trPr>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Other current</w:t>
            </w:r>
          </w:p>
        </w:tc>
        <w:tc>
          <w:tcPr>
            <w:tcW w:w="3200" w:type="dxa"/>
            <w:vAlign w:val="bottom"/>
          </w:tcPr>
          <w:p>
            <w:pPr>
              <w:ind w:left="40"/>
              <w:spacing w:after="0"/>
              <w:rPr>
                <w:sz w:val="20"/>
                <w:szCs w:val="20"/>
                <w:color w:val="auto"/>
              </w:rPr>
            </w:pPr>
            <w:r>
              <w:rPr>
                <w:rFonts w:ascii="Courier New" w:cs="Courier New" w:eastAsia="Courier New" w:hAnsi="Courier New"/>
                <w:sz w:val="15"/>
                <w:szCs w:val="15"/>
                <w:color w:val="auto"/>
              </w:rPr>
              <w:t>assets</w:t>
            </w:r>
          </w:p>
        </w:tc>
        <w:tc>
          <w:tcPr>
            <w:tcW w:w="37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6,779</w:t>
            </w:r>
          </w:p>
        </w:tc>
        <w:tc>
          <w:tcPr>
            <w:tcW w:w="2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3,901</w:t>
            </w:r>
          </w:p>
        </w:tc>
        <w:tc>
          <w:tcPr>
            <w:tcW w:w="0" w:type="dxa"/>
            <w:vAlign w:val="bottom"/>
          </w:tcPr>
          <w:p>
            <w:pPr>
              <w:spacing w:after="0"/>
              <w:rPr>
                <w:sz w:val="1"/>
                <w:szCs w:val="1"/>
                <w:color w:val="auto"/>
              </w:rPr>
            </w:pPr>
          </w:p>
        </w:tc>
      </w:tr>
      <w:tr>
        <w:trPr>
          <w:trHeight w:val="173"/>
        </w:trPr>
        <w:tc>
          <w:tcPr>
            <w:tcW w:w="1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Total</w:t>
            </w:r>
          </w:p>
        </w:tc>
        <w:tc>
          <w:tcPr>
            <w:tcW w:w="32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current assets</w:t>
            </w:r>
          </w:p>
        </w:tc>
        <w:tc>
          <w:tcPr>
            <w:tcW w:w="3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5"/>
        </w:trPr>
        <w:tc>
          <w:tcPr>
            <w:tcW w:w="1400" w:type="dxa"/>
            <w:vAlign w:val="bottom"/>
            <w:vMerge w:val="continue"/>
          </w:tcPr>
          <w:p>
            <w:pPr>
              <w:spacing w:after="0"/>
              <w:rPr>
                <w:sz w:val="22"/>
                <w:szCs w:val="22"/>
                <w:color w:val="auto"/>
              </w:rPr>
            </w:pPr>
          </w:p>
        </w:tc>
        <w:tc>
          <w:tcPr>
            <w:tcW w:w="3200" w:type="dxa"/>
            <w:vAlign w:val="bottom"/>
            <w:vMerge w:val="continue"/>
          </w:tcPr>
          <w:p>
            <w:pPr>
              <w:spacing w:after="0"/>
              <w:rPr>
                <w:sz w:val="22"/>
                <w:szCs w:val="22"/>
                <w:color w:val="auto"/>
              </w:rPr>
            </w:pPr>
          </w:p>
        </w:tc>
        <w:tc>
          <w:tcPr>
            <w:tcW w:w="37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89,787</w:t>
            </w:r>
          </w:p>
        </w:tc>
        <w:tc>
          <w:tcPr>
            <w:tcW w:w="2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61,412</w:t>
            </w:r>
          </w:p>
        </w:tc>
        <w:tc>
          <w:tcPr>
            <w:tcW w:w="0" w:type="dxa"/>
            <w:vAlign w:val="bottom"/>
          </w:tcPr>
          <w:p>
            <w:pPr>
              <w:spacing w:after="0"/>
              <w:rPr>
                <w:sz w:val="1"/>
                <w:szCs w:val="1"/>
                <w:color w:val="auto"/>
              </w:rPr>
            </w:pPr>
          </w:p>
        </w:tc>
      </w:tr>
      <w:tr>
        <w:trPr>
          <w:trHeight w:val="265"/>
        </w:trPr>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w w:val="99"/>
              </w:rPr>
              <w:t>Property, plant</w:t>
            </w:r>
          </w:p>
        </w:tc>
        <w:tc>
          <w:tcPr>
            <w:tcW w:w="3200" w:type="dxa"/>
            <w:vAlign w:val="bottom"/>
          </w:tcPr>
          <w:p>
            <w:pPr>
              <w:ind w:left="40"/>
              <w:spacing w:after="0"/>
              <w:rPr>
                <w:sz w:val="20"/>
                <w:szCs w:val="20"/>
                <w:color w:val="auto"/>
              </w:rPr>
            </w:pPr>
            <w:r>
              <w:rPr>
                <w:rFonts w:ascii="Courier New" w:cs="Courier New" w:eastAsia="Courier New" w:hAnsi="Courier New"/>
                <w:sz w:val="15"/>
                <w:szCs w:val="15"/>
                <w:color w:val="auto"/>
              </w:rPr>
              <w:t>and equipment, net</w:t>
            </w:r>
          </w:p>
        </w:tc>
        <w:tc>
          <w:tcPr>
            <w:tcW w:w="37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105,006</w:t>
            </w:r>
          </w:p>
        </w:tc>
        <w:tc>
          <w:tcPr>
            <w:tcW w:w="2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88,199</w:t>
            </w:r>
          </w:p>
        </w:tc>
        <w:tc>
          <w:tcPr>
            <w:tcW w:w="0" w:type="dxa"/>
            <w:vAlign w:val="bottom"/>
          </w:tcPr>
          <w:p>
            <w:pPr>
              <w:spacing w:after="0"/>
              <w:rPr>
                <w:sz w:val="1"/>
                <w:szCs w:val="1"/>
                <w:color w:val="auto"/>
              </w:rPr>
            </w:pPr>
          </w:p>
        </w:tc>
      </w:tr>
      <w:tr>
        <w:trPr>
          <w:trHeight w:val="173"/>
        </w:trPr>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w w:val="99"/>
              </w:rPr>
              <w:t>Assets held for</w:t>
            </w:r>
          </w:p>
        </w:tc>
        <w:tc>
          <w:tcPr>
            <w:tcW w:w="3200" w:type="dxa"/>
            <w:vAlign w:val="bottom"/>
          </w:tcPr>
          <w:p>
            <w:pPr>
              <w:ind w:left="40"/>
              <w:spacing w:after="0"/>
              <w:rPr>
                <w:sz w:val="20"/>
                <w:szCs w:val="20"/>
                <w:color w:val="auto"/>
              </w:rPr>
            </w:pPr>
            <w:r>
              <w:rPr>
                <w:rFonts w:ascii="Courier New" w:cs="Courier New" w:eastAsia="Courier New" w:hAnsi="Courier New"/>
                <w:sz w:val="15"/>
                <w:szCs w:val="15"/>
                <w:color w:val="auto"/>
              </w:rPr>
              <w:t>sale</w:t>
            </w:r>
          </w:p>
        </w:tc>
        <w:tc>
          <w:tcPr>
            <w:tcW w:w="37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1,805</w:t>
            </w:r>
          </w:p>
        </w:tc>
        <w:tc>
          <w:tcPr>
            <w:tcW w:w="2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2,214</w:t>
            </w:r>
          </w:p>
        </w:tc>
        <w:tc>
          <w:tcPr>
            <w:tcW w:w="0" w:type="dxa"/>
            <w:vAlign w:val="bottom"/>
          </w:tcPr>
          <w:p>
            <w:pPr>
              <w:spacing w:after="0"/>
              <w:rPr>
                <w:sz w:val="1"/>
                <w:szCs w:val="1"/>
                <w:color w:val="auto"/>
              </w:rPr>
            </w:pPr>
          </w:p>
        </w:tc>
      </w:tr>
      <w:tr>
        <w:trPr>
          <w:trHeight w:val="173"/>
        </w:trPr>
        <w:tc>
          <w:tcPr>
            <w:tcW w:w="1400" w:type="dxa"/>
            <w:vAlign w:val="bottom"/>
          </w:tcPr>
          <w:p>
            <w:pPr>
              <w:spacing w:after="0"/>
              <w:rPr>
                <w:sz w:val="20"/>
                <w:szCs w:val="20"/>
                <w:color w:val="auto"/>
              </w:rPr>
            </w:pPr>
            <w:r>
              <w:rPr>
                <w:rFonts w:ascii="Courier New" w:cs="Courier New" w:eastAsia="Courier New" w:hAnsi="Courier New"/>
                <w:sz w:val="15"/>
                <w:szCs w:val="15"/>
                <w:color w:val="auto"/>
              </w:rPr>
              <w:t>Goodwill, net</w:t>
            </w:r>
          </w:p>
        </w:tc>
        <w:tc>
          <w:tcPr>
            <w:tcW w:w="3200" w:type="dxa"/>
            <w:vAlign w:val="bottom"/>
          </w:tcPr>
          <w:p>
            <w:pPr>
              <w:spacing w:after="0"/>
              <w:rPr>
                <w:sz w:val="15"/>
                <w:szCs w:val="15"/>
                <w:color w:val="auto"/>
              </w:rPr>
            </w:pPr>
          </w:p>
        </w:tc>
        <w:tc>
          <w:tcPr>
            <w:tcW w:w="37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53,681</w:t>
            </w:r>
          </w:p>
        </w:tc>
        <w:tc>
          <w:tcPr>
            <w:tcW w:w="2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42,166</w:t>
            </w:r>
          </w:p>
        </w:tc>
        <w:tc>
          <w:tcPr>
            <w:tcW w:w="0" w:type="dxa"/>
            <w:vAlign w:val="bottom"/>
          </w:tcPr>
          <w:p>
            <w:pPr>
              <w:spacing w:after="0"/>
              <w:rPr>
                <w:sz w:val="1"/>
                <w:szCs w:val="1"/>
                <w:color w:val="auto"/>
              </w:rPr>
            </w:pPr>
          </w:p>
        </w:tc>
      </w:tr>
      <w:tr>
        <w:trPr>
          <w:trHeight w:val="173"/>
        </w:trPr>
        <w:tc>
          <w:tcPr>
            <w:tcW w:w="14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3200" w:type="dxa"/>
            <w:vAlign w:val="bottom"/>
          </w:tcPr>
          <w:p>
            <w:pPr>
              <w:spacing w:after="0"/>
              <w:rPr>
                <w:sz w:val="15"/>
                <w:szCs w:val="15"/>
                <w:color w:val="auto"/>
              </w:rPr>
            </w:pPr>
          </w:p>
        </w:tc>
        <w:tc>
          <w:tcPr>
            <w:tcW w:w="37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4,604</w:t>
            </w:r>
          </w:p>
        </w:tc>
        <w:tc>
          <w:tcPr>
            <w:tcW w:w="2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4,016</w:t>
            </w:r>
          </w:p>
        </w:tc>
        <w:tc>
          <w:tcPr>
            <w:tcW w:w="0" w:type="dxa"/>
            <w:vAlign w:val="bottom"/>
          </w:tcPr>
          <w:p>
            <w:pPr>
              <w:spacing w:after="0"/>
              <w:rPr>
                <w:sz w:val="1"/>
                <w:szCs w:val="1"/>
                <w:color w:val="auto"/>
              </w:rPr>
            </w:pPr>
          </w:p>
        </w:tc>
      </w:tr>
      <w:tr>
        <w:trPr>
          <w:trHeight w:val="173"/>
        </w:trPr>
        <w:tc>
          <w:tcPr>
            <w:tcW w:w="1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Total</w:t>
            </w:r>
          </w:p>
        </w:tc>
        <w:tc>
          <w:tcPr>
            <w:tcW w:w="32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assets</w:t>
            </w:r>
          </w:p>
        </w:tc>
        <w:tc>
          <w:tcPr>
            <w:tcW w:w="3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1400" w:type="dxa"/>
            <w:vAlign w:val="bottom"/>
            <w:vMerge w:val="continue"/>
          </w:tcPr>
          <w:p>
            <w:pPr>
              <w:spacing w:after="0"/>
              <w:rPr>
                <w:sz w:val="15"/>
                <w:szCs w:val="15"/>
                <w:color w:val="auto"/>
              </w:rPr>
            </w:pPr>
          </w:p>
        </w:tc>
        <w:tc>
          <w:tcPr>
            <w:tcW w:w="3200" w:type="dxa"/>
            <w:vAlign w:val="bottom"/>
            <w:vMerge w:val="continue"/>
          </w:tcPr>
          <w:p>
            <w:pPr>
              <w:spacing w:after="0"/>
              <w:rPr>
                <w:sz w:val="15"/>
                <w:szCs w:val="15"/>
                <w:color w:val="auto"/>
              </w:rPr>
            </w:pPr>
          </w:p>
        </w:tc>
        <w:tc>
          <w:tcPr>
            <w:tcW w:w="37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$ 254,883</w:t>
            </w:r>
          </w:p>
        </w:tc>
        <w:tc>
          <w:tcPr>
            <w:tcW w:w="2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$ 198,007</w:t>
            </w:r>
          </w:p>
        </w:tc>
        <w:tc>
          <w:tcPr>
            <w:tcW w:w="0" w:type="dxa"/>
            <w:vAlign w:val="bottom"/>
          </w:tcPr>
          <w:p>
            <w:pPr>
              <w:spacing w:after="0"/>
              <w:rPr>
                <w:sz w:val="1"/>
                <w:szCs w:val="1"/>
                <w:color w:val="auto"/>
              </w:rPr>
            </w:pPr>
          </w:p>
        </w:tc>
      </w:tr>
      <w:tr>
        <w:trPr>
          <w:trHeight w:val="255"/>
        </w:trPr>
        <w:tc>
          <w:tcPr>
            <w:tcW w:w="14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3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1"/>
        </w:trPr>
        <w:tc>
          <w:tcPr>
            <w:tcW w:w="1400" w:type="dxa"/>
            <w:vAlign w:val="bottom"/>
          </w:tcPr>
          <w:p>
            <w:pPr>
              <w:jc w:val="right"/>
              <w:spacing w:after="0"/>
              <w:rPr>
                <w:sz w:val="20"/>
                <w:szCs w:val="20"/>
                <w:color w:val="auto"/>
              </w:rPr>
            </w:pPr>
            <w:r>
              <w:rPr>
                <w:rFonts w:ascii="Courier New" w:cs="Courier New" w:eastAsia="Courier New" w:hAnsi="Courier New"/>
                <w:sz w:val="15"/>
                <w:szCs w:val="15"/>
                <w:b w:val="1"/>
                <w:bCs w:val="1"/>
                <w:color w:val="auto"/>
                <w:w w:val="99"/>
              </w:rPr>
              <w:t>Liabilities and</w:t>
            </w:r>
          </w:p>
        </w:tc>
        <w:tc>
          <w:tcPr>
            <w:tcW w:w="3200" w:type="dxa"/>
            <w:vAlign w:val="bottom"/>
          </w:tcPr>
          <w:p>
            <w:pPr>
              <w:ind w:left="40"/>
              <w:spacing w:after="0"/>
              <w:rPr>
                <w:sz w:val="20"/>
                <w:szCs w:val="20"/>
                <w:color w:val="auto"/>
              </w:rPr>
            </w:pPr>
            <w:r>
              <w:rPr>
                <w:rFonts w:ascii="Courier New" w:cs="Courier New" w:eastAsia="Courier New" w:hAnsi="Courier New"/>
                <w:sz w:val="15"/>
                <w:szCs w:val="15"/>
                <w:b w:val="1"/>
                <w:bCs w:val="1"/>
                <w:color w:val="auto"/>
              </w:rPr>
              <w:t>Stockholders' Equity</w:t>
            </w:r>
          </w:p>
        </w:tc>
        <w:tc>
          <w:tcPr>
            <w:tcW w:w="37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113" w:right="1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980" w:type="dxa"/>
            <w:vAlign w:val="bottom"/>
            <w:vMerge w:val="restart"/>
          </w:tcPr>
          <w:p>
            <w:pPr>
              <w:jc w:val="right"/>
              <w:ind w:right="385"/>
              <w:spacing w:after="0"/>
              <w:rPr>
                <w:sz w:val="20"/>
                <w:szCs w:val="20"/>
                <w:color w:val="auto"/>
              </w:rPr>
            </w:pPr>
            <w:r>
              <w:rPr>
                <w:rFonts w:ascii="Courier New" w:cs="Courier New" w:eastAsia="Courier New" w:hAnsi="Courier New"/>
                <w:sz w:val="15"/>
                <w:szCs w:val="15"/>
                <w:color w:val="auto"/>
              </w:rPr>
              <w:t>$ 36,640</w:t>
            </w:r>
          </w:p>
        </w:tc>
        <w:tc>
          <w:tcPr>
            <w:tcW w:w="23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$ 23,020</w:t>
            </w:r>
          </w:p>
        </w:tc>
        <w:tc>
          <w:tcPr>
            <w:tcW w:w="0" w:type="dxa"/>
            <w:vAlign w:val="bottom"/>
          </w:tcPr>
          <w:p>
            <w:pPr>
              <w:spacing w:after="0"/>
              <w:rPr>
                <w:sz w:val="1"/>
                <w:szCs w:val="1"/>
                <w:color w:val="auto"/>
              </w:rPr>
            </w:pPr>
          </w:p>
        </w:tc>
      </w:tr>
      <w:tr>
        <w:trPr>
          <w:trHeight w:val="173"/>
        </w:trPr>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Accounts payable</w:t>
            </w:r>
          </w:p>
        </w:tc>
        <w:tc>
          <w:tcPr>
            <w:tcW w:w="2980" w:type="dxa"/>
            <w:vAlign w:val="bottom"/>
            <w:vMerge w:val="continue"/>
          </w:tcPr>
          <w:p>
            <w:pPr>
              <w:spacing w:after="0"/>
              <w:rPr>
                <w:sz w:val="15"/>
                <w:szCs w:val="15"/>
                <w:color w:val="auto"/>
              </w:rPr>
            </w:pPr>
          </w:p>
        </w:tc>
        <w:tc>
          <w:tcPr>
            <w:tcW w:w="2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Accrued wages</w:t>
            </w:r>
          </w:p>
        </w:tc>
        <w:tc>
          <w:tcPr>
            <w:tcW w:w="2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11,608</w:t>
            </w:r>
          </w:p>
        </w:tc>
        <w:tc>
          <w:tcPr>
            <w:tcW w:w="2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6,354</w:t>
            </w:r>
          </w:p>
        </w:tc>
        <w:tc>
          <w:tcPr>
            <w:tcW w:w="0" w:type="dxa"/>
            <w:vAlign w:val="bottom"/>
          </w:tcPr>
          <w:p>
            <w:pPr>
              <w:spacing w:after="0"/>
              <w:rPr>
                <w:sz w:val="1"/>
                <w:szCs w:val="1"/>
                <w:color w:val="auto"/>
              </w:rPr>
            </w:pPr>
          </w:p>
        </w:tc>
      </w:tr>
      <w:tr>
        <w:trPr>
          <w:trHeight w:val="173"/>
        </w:trPr>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Income taxes payable</w:t>
            </w:r>
          </w:p>
        </w:tc>
        <w:tc>
          <w:tcPr>
            <w:tcW w:w="2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1,019</w:t>
            </w:r>
          </w:p>
        </w:tc>
        <w:tc>
          <w:tcPr>
            <w:tcW w:w="2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620</w:t>
            </w:r>
          </w:p>
        </w:tc>
        <w:tc>
          <w:tcPr>
            <w:tcW w:w="0" w:type="dxa"/>
            <w:vAlign w:val="bottom"/>
          </w:tcPr>
          <w:p>
            <w:pPr>
              <w:spacing w:after="0"/>
              <w:rPr>
                <w:sz w:val="1"/>
                <w:szCs w:val="1"/>
                <w:color w:val="auto"/>
              </w:rPr>
            </w:pPr>
          </w:p>
        </w:tc>
      </w:tr>
      <w:tr>
        <w:trPr>
          <w:trHeight w:val="173"/>
        </w:trPr>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Short term portion of long term debt</w:t>
            </w:r>
          </w:p>
        </w:tc>
        <w:tc>
          <w:tcPr>
            <w:tcW w:w="2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9,066</w:t>
            </w:r>
          </w:p>
        </w:tc>
        <w:tc>
          <w:tcPr>
            <w:tcW w:w="2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7,000</w:t>
            </w:r>
          </w:p>
        </w:tc>
        <w:tc>
          <w:tcPr>
            <w:tcW w:w="0" w:type="dxa"/>
            <w:vAlign w:val="bottom"/>
          </w:tcPr>
          <w:p>
            <w:pPr>
              <w:spacing w:after="0"/>
              <w:rPr>
                <w:sz w:val="1"/>
                <w:szCs w:val="1"/>
                <w:color w:val="auto"/>
              </w:rPr>
            </w:pPr>
          </w:p>
        </w:tc>
      </w:tr>
      <w:tr>
        <w:trPr>
          <w:trHeight w:val="173"/>
        </w:trPr>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Other liabilities</w:t>
            </w:r>
          </w:p>
        </w:tc>
        <w:tc>
          <w:tcPr>
            <w:tcW w:w="2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4,400</w:t>
            </w:r>
          </w:p>
        </w:tc>
        <w:tc>
          <w:tcPr>
            <w:tcW w:w="2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3,240</w:t>
            </w:r>
          </w:p>
        </w:tc>
        <w:tc>
          <w:tcPr>
            <w:tcW w:w="0" w:type="dxa"/>
            <w:vAlign w:val="bottom"/>
          </w:tcPr>
          <w:p>
            <w:pPr>
              <w:spacing w:after="0"/>
              <w:rPr>
                <w:sz w:val="1"/>
                <w:szCs w:val="1"/>
                <w:color w:val="auto"/>
              </w:rPr>
            </w:pPr>
          </w:p>
        </w:tc>
      </w:tr>
      <w:tr>
        <w:trPr>
          <w:trHeight w:val="173"/>
        </w:trPr>
        <w:tc>
          <w:tcPr>
            <w:tcW w:w="5320" w:type="dxa"/>
            <w:vAlign w:val="bottom"/>
            <w:vMerge w:val="restart"/>
          </w:tcPr>
          <w:p>
            <w:pPr>
              <w:ind w:left="820"/>
              <w:spacing w:after="0"/>
              <w:rPr>
                <w:sz w:val="20"/>
                <w:szCs w:val="20"/>
                <w:color w:val="auto"/>
              </w:rPr>
            </w:pPr>
            <w:r>
              <w:rPr>
                <w:rFonts w:ascii="Courier New" w:cs="Courier New" w:eastAsia="Courier New" w:hAnsi="Courier New"/>
                <w:sz w:val="15"/>
                <w:szCs w:val="15"/>
                <w:color w:val="auto"/>
              </w:rPr>
              <w:t>Total current liabilities</w:t>
            </w:r>
          </w:p>
        </w:tc>
        <w:tc>
          <w:tcPr>
            <w:tcW w:w="298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w w:val="96"/>
              </w:rPr>
              <w:t>----------------------</w:t>
            </w:r>
            <w:r>
              <w:rPr>
                <w:rFonts w:ascii="Courier New" w:cs="Courier New" w:eastAsia="Courier New" w:hAnsi="Courier New"/>
                <w:sz w:val="30"/>
                <w:szCs w:val="30"/>
                <w:color w:val="auto"/>
                <w:w w:val="96"/>
                <w:vertAlign w:val="subscript"/>
              </w:rPr>
              <w:t>62,733</w:t>
            </w:r>
          </w:p>
        </w:tc>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0"/>
        </w:trPr>
        <w:tc>
          <w:tcPr>
            <w:tcW w:w="5320" w:type="dxa"/>
            <w:vAlign w:val="bottom"/>
            <w:vMerge w:val="continue"/>
          </w:tcPr>
          <w:p>
            <w:pPr>
              <w:spacing w:after="0"/>
              <w:rPr>
                <w:sz w:val="23"/>
                <w:szCs w:val="23"/>
                <w:color w:val="auto"/>
              </w:rPr>
            </w:pPr>
          </w:p>
        </w:tc>
        <w:tc>
          <w:tcPr>
            <w:tcW w:w="2980" w:type="dxa"/>
            <w:vAlign w:val="bottom"/>
            <w:vMerge w:val="continue"/>
          </w:tcPr>
          <w:p>
            <w:pPr>
              <w:spacing w:after="0"/>
              <w:rPr>
                <w:sz w:val="23"/>
                <w:szCs w:val="23"/>
                <w:color w:val="auto"/>
              </w:rPr>
            </w:pPr>
          </w:p>
        </w:tc>
        <w:tc>
          <w:tcPr>
            <w:tcW w:w="2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40,234</w:t>
            </w:r>
          </w:p>
        </w:tc>
        <w:tc>
          <w:tcPr>
            <w:tcW w:w="0" w:type="dxa"/>
            <w:vAlign w:val="bottom"/>
          </w:tcPr>
          <w:p>
            <w:pPr>
              <w:spacing w:after="0"/>
              <w:rPr>
                <w:sz w:val="1"/>
                <w:szCs w:val="1"/>
                <w:color w:val="auto"/>
              </w:rPr>
            </w:pPr>
          </w:p>
        </w:tc>
      </w:tr>
      <w:tr>
        <w:trPr>
          <w:trHeight w:val="251"/>
        </w:trPr>
        <w:tc>
          <w:tcPr>
            <w:tcW w:w="5320" w:type="dxa"/>
            <w:vAlign w:val="bottom"/>
          </w:tcPr>
          <w:p>
            <w:pPr>
              <w:spacing w:after="0"/>
              <w:rPr>
                <w:sz w:val="20"/>
                <w:szCs w:val="20"/>
                <w:color w:val="auto"/>
              </w:rPr>
            </w:pPr>
            <w:r>
              <w:rPr>
                <w:rFonts w:ascii="Courier New" w:cs="Courier New" w:eastAsia="Courier New" w:hAnsi="Courier New"/>
                <w:sz w:val="15"/>
                <w:szCs w:val="15"/>
                <w:color w:val="auto"/>
              </w:rPr>
              <w:t>Minority interest in consolidated subsidiaries</w:t>
            </w:r>
          </w:p>
        </w:tc>
        <w:tc>
          <w:tcPr>
            <w:tcW w:w="2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2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19,706</w:t>
            </w:r>
          </w:p>
        </w:tc>
        <w:tc>
          <w:tcPr>
            <w:tcW w:w="0" w:type="dxa"/>
            <w:vAlign w:val="bottom"/>
          </w:tcPr>
          <w:p>
            <w:pPr>
              <w:spacing w:after="0"/>
              <w:rPr>
                <w:sz w:val="1"/>
                <w:szCs w:val="1"/>
                <w:color w:val="auto"/>
              </w:rPr>
            </w:pP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2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9,688</w:t>
            </w:r>
          </w:p>
        </w:tc>
        <w:tc>
          <w:tcPr>
            <w:tcW w:w="2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9,334</w:t>
            </w:r>
          </w:p>
        </w:tc>
        <w:tc>
          <w:tcPr>
            <w:tcW w:w="0" w:type="dxa"/>
            <w:vAlign w:val="bottom"/>
          </w:tcPr>
          <w:p>
            <w:pPr>
              <w:spacing w:after="0"/>
              <w:rPr>
                <w:sz w:val="1"/>
                <w:szCs w:val="1"/>
                <w:color w:val="auto"/>
              </w:rPr>
            </w:pP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2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75,344</w:t>
            </w:r>
          </w:p>
        </w:tc>
        <w:tc>
          <w:tcPr>
            <w:tcW w:w="2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46,135</w:t>
            </w:r>
          </w:p>
        </w:tc>
        <w:tc>
          <w:tcPr>
            <w:tcW w:w="0" w:type="dxa"/>
            <w:vAlign w:val="bottom"/>
          </w:tcPr>
          <w:p>
            <w:pPr>
              <w:spacing w:after="0"/>
              <w:rPr>
                <w:sz w:val="1"/>
                <w:szCs w:val="1"/>
                <w:color w:val="auto"/>
              </w:rPr>
            </w:pP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10,130</w:t>
            </w:r>
          </w:p>
        </w:tc>
        <w:tc>
          <w:tcPr>
            <w:tcW w:w="2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9,319</w:t>
            </w:r>
          </w:p>
        </w:tc>
        <w:tc>
          <w:tcPr>
            <w:tcW w:w="0" w:type="dxa"/>
            <w:vAlign w:val="bottom"/>
          </w:tcPr>
          <w:p>
            <w:pPr>
              <w:spacing w:after="0"/>
              <w:rPr>
                <w:sz w:val="1"/>
                <w:szCs w:val="1"/>
                <w:color w:val="auto"/>
              </w:rPr>
            </w:pPr>
          </w:p>
        </w:tc>
      </w:tr>
      <w:tr>
        <w:trPr>
          <w:trHeight w:val="173"/>
        </w:trPr>
        <w:tc>
          <w:tcPr>
            <w:tcW w:w="5320" w:type="dxa"/>
            <w:vAlign w:val="bottom"/>
            <w:vMerge w:val="restart"/>
          </w:tcPr>
          <w:p>
            <w:pPr>
              <w:ind w:left="900"/>
              <w:spacing w:after="0"/>
              <w:rPr>
                <w:sz w:val="20"/>
                <w:szCs w:val="20"/>
                <w:color w:val="auto"/>
              </w:rPr>
            </w:pPr>
            <w:r>
              <w:rPr>
                <w:rFonts w:ascii="Courier New" w:cs="Courier New" w:eastAsia="Courier New" w:hAnsi="Courier New"/>
                <w:sz w:val="15"/>
                <w:szCs w:val="15"/>
                <w:color w:val="auto"/>
              </w:rPr>
              <w:t>Total liabilities</w:t>
            </w:r>
          </w:p>
        </w:tc>
        <w:tc>
          <w:tcPr>
            <w:tcW w:w="298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w w:val="92"/>
              </w:rPr>
              <w:t>----------------------</w:t>
            </w:r>
            <w:r>
              <w:rPr>
                <w:rFonts w:ascii="Courier New" w:cs="Courier New" w:eastAsia="Courier New" w:hAnsi="Courier New"/>
                <w:sz w:val="30"/>
                <w:szCs w:val="30"/>
                <w:color w:val="auto"/>
                <w:w w:val="92"/>
                <w:vertAlign w:val="subscript"/>
              </w:rPr>
              <w:t>157,895</w:t>
            </w:r>
          </w:p>
        </w:tc>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0"/>
        </w:trPr>
        <w:tc>
          <w:tcPr>
            <w:tcW w:w="5320" w:type="dxa"/>
            <w:vAlign w:val="bottom"/>
            <w:vMerge w:val="continue"/>
          </w:tcPr>
          <w:p>
            <w:pPr>
              <w:spacing w:after="0"/>
              <w:rPr>
                <w:sz w:val="23"/>
                <w:szCs w:val="23"/>
                <w:color w:val="auto"/>
              </w:rPr>
            </w:pPr>
          </w:p>
        </w:tc>
        <w:tc>
          <w:tcPr>
            <w:tcW w:w="2980" w:type="dxa"/>
            <w:vAlign w:val="bottom"/>
            <w:vMerge w:val="continue"/>
          </w:tcPr>
          <w:p>
            <w:pPr>
              <w:spacing w:after="0"/>
              <w:rPr>
                <w:sz w:val="23"/>
                <w:szCs w:val="23"/>
                <w:color w:val="auto"/>
              </w:rPr>
            </w:pPr>
          </w:p>
        </w:tc>
        <w:tc>
          <w:tcPr>
            <w:tcW w:w="2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124,728</w:t>
            </w:r>
          </w:p>
        </w:tc>
        <w:tc>
          <w:tcPr>
            <w:tcW w:w="0" w:type="dxa"/>
            <w:vAlign w:val="bottom"/>
          </w:tcPr>
          <w:p>
            <w:pPr>
              <w:spacing w:after="0"/>
              <w:rPr>
                <w:sz w:val="1"/>
                <w:szCs w:val="1"/>
                <w:color w:val="auto"/>
              </w:rPr>
            </w:pPr>
          </w:p>
        </w:tc>
      </w:tr>
      <w:tr>
        <w:trPr>
          <w:trHeight w:val="251"/>
        </w:trPr>
        <w:tc>
          <w:tcPr>
            <w:tcW w:w="5320" w:type="dxa"/>
            <w:vAlign w:val="bottom"/>
          </w:tcPr>
          <w:p>
            <w:pPr>
              <w:ind w:left="900"/>
              <w:spacing w:after="0"/>
              <w:rPr>
                <w:sz w:val="20"/>
                <w:szCs w:val="20"/>
                <w:color w:val="auto"/>
              </w:rPr>
            </w:pPr>
            <w:r>
              <w:rPr>
                <w:rFonts w:ascii="Courier New" w:cs="Courier New" w:eastAsia="Courier New" w:hAnsi="Courier New"/>
                <w:sz w:val="15"/>
                <w:szCs w:val="15"/>
                <w:color w:val="auto"/>
              </w:rPr>
              <w:t>Total stockholders' equity</w:t>
            </w:r>
          </w:p>
        </w:tc>
        <w:tc>
          <w:tcPr>
            <w:tcW w:w="2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96,988</w:t>
            </w:r>
          </w:p>
        </w:tc>
        <w:tc>
          <w:tcPr>
            <w:tcW w:w="2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73,279</w:t>
            </w:r>
          </w:p>
        </w:tc>
        <w:tc>
          <w:tcPr>
            <w:tcW w:w="0" w:type="dxa"/>
            <w:vAlign w:val="bottom"/>
          </w:tcPr>
          <w:p>
            <w:pPr>
              <w:spacing w:after="0"/>
              <w:rPr>
                <w:sz w:val="1"/>
                <w:szCs w:val="1"/>
                <w:color w:val="auto"/>
              </w:rPr>
            </w:pPr>
          </w:p>
        </w:tc>
      </w:tr>
      <w:tr>
        <w:trPr>
          <w:trHeight w:val="173"/>
        </w:trPr>
        <w:tc>
          <w:tcPr>
            <w:tcW w:w="5320" w:type="dxa"/>
            <w:vAlign w:val="bottom"/>
            <w:vMerge w:val="restart"/>
          </w:tcPr>
          <w:p>
            <w:pPr>
              <w:ind w:left="900"/>
              <w:spacing w:after="0"/>
              <w:rPr>
                <w:sz w:val="20"/>
                <w:szCs w:val="20"/>
                <w:color w:val="auto"/>
              </w:rPr>
            </w:pPr>
            <w:r>
              <w:rPr>
                <w:rFonts w:ascii="Courier New" w:cs="Courier New" w:eastAsia="Courier New" w:hAnsi="Courier New"/>
                <w:sz w:val="15"/>
                <w:szCs w:val="15"/>
                <w:color w:val="auto"/>
              </w:rPr>
              <w:t>Total liabilities and stockholders' equity</w:t>
            </w:r>
          </w:p>
        </w:tc>
        <w:tc>
          <w:tcPr>
            <w:tcW w:w="298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w w:val="88"/>
              </w:rPr>
              <w:t>----------------------</w:t>
            </w:r>
            <w:r>
              <w:rPr>
                <w:rFonts w:ascii="Courier New" w:cs="Courier New" w:eastAsia="Courier New" w:hAnsi="Courier New"/>
                <w:sz w:val="30"/>
                <w:szCs w:val="30"/>
                <w:color w:val="auto"/>
                <w:w w:val="88"/>
                <w:vertAlign w:val="subscript"/>
              </w:rPr>
              <w:t>$254,883</w:t>
            </w:r>
          </w:p>
        </w:tc>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5320" w:type="dxa"/>
            <w:vAlign w:val="bottom"/>
            <w:vMerge w:val="continue"/>
          </w:tcPr>
          <w:p>
            <w:pPr>
              <w:spacing w:after="0"/>
              <w:rPr>
                <w:sz w:val="15"/>
                <w:szCs w:val="15"/>
                <w:color w:val="auto"/>
              </w:rPr>
            </w:pPr>
          </w:p>
        </w:tc>
        <w:tc>
          <w:tcPr>
            <w:tcW w:w="2980" w:type="dxa"/>
            <w:vAlign w:val="bottom"/>
            <w:vMerge w:val="continue"/>
          </w:tcPr>
          <w:p>
            <w:pPr>
              <w:spacing w:after="0"/>
              <w:rPr>
                <w:sz w:val="15"/>
                <w:szCs w:val="15"/>
                <w:color w:val="auto"/>
              </w:rPr>
            </w:pPr>
          </w:p>
        </w:tc>
        <w:tc>
          <w:tcPr>
            <w:tcW w:w="2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$ 198,007</w:t>
            </w:r>
          </w:p>
        </w:tc>
        <w:tc>
          <w:tcPr>
            <w:tcW w:w="0" w:type="dxa"/>
            <w:vAlign w:val="bottom"/>
          </w:tcPr>
          <w:p>
            <w:pPr>
              <w:spacing w:after="0"/>
              <w:rPr>
                <w:sz w:val="1"/>
                <w:szCs w:val="1"/>
                <w:color w:val="auto"/>
              </w:rPr>
            </w:pPr>
          </w:p>
        </w:tc>
      </w:tr>
      <w:tr>
        <w:trPr>
          <w:trHeight w:val="255"/>
        </w:trPr>
        <w:tc>
          <w:tcPr>
            <w:tcW w:w="5320" w:type="dxa"/>
            <w:vAlign w:val="bottom"/>
          </w:tcPr>
          <w:p>
            <w:pPr>
              <w:spacing w:after="0"/>
              <w:rPr>
                <w:sz w:val="22"/>
                <w:szCs w:val="22"/>
                <w:color w:val="auto"/>
              </w:rPr>
            </w:pPr>
          </w:p>
        </w:tc>
        <w:tc>
          <w:tcPr>
            <w:tcW w:w="2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640"/>
      </w:cols>
      <w:pgMar w:left="1040" w:top="113"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2019-12-14T02:35:53Z</dcterms:created>
  <dcterms:modified xsi:type="dcterms:W3CDTF">2019-12-14T02:35:53Z</dcterms:modified>
</cp:coreProperties>
</file>