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Veltman Warren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6210 ARDREY KELL ROAD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CHARLOTTE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NC</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28277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NN INC</w:t>
              </w:r>
            </w:hyperlink>
            <w:r>
              <w:rPr/>
              <w:t xml:space="preserve"> [ </w:t>
            </w:r>
            <w:r>
              <w:rPr>
                <w:rFonts w:ascii="Times;serif" w:hAnsi="Times;serif"/>
                <w:color w:val="0000FF"/>
                <w:sz w:val="24"/>
                <w:highlight w:val="white"/>
              </w:rPr>
              <w:t>NNBR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03/23/2021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81,458</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193,624</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374" w:type="dxa"/>
        <w:jc w:val="left"/>
        <w:tblInd w:w="0" w:type="dxa"/>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16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Performance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67,182</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67,182</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67,182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are restricted stock and vest in three equal annual installments beginning on March 23,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performance right represents a contingent right to receive one share of common stock of NN, Inc.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2021 and ending December 31, 2023. The performance rights granted represent the right to receive the target shares, and actual performance rights earned may be between 50% and 150% of the target shares.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Matthew S. Heiter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18759" TargetMode="External"/><Relationship Id="rId4" Type="http://schemas.openxmlformats.org/officeDocument/2006/relationships/hyperlink" Target="http://www.sec.gov/cgi-bin/browse-edgar?action=getcompany&amp;CIK=000091854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667</Words>
  <CharactersWithSpaces>4151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