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4719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7199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NIXON D. GAIL</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03/23/2021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9" w:right="640" w:hanging="9"/>
        <w:spacing w:after="0" w:line="237" w:lineRule="auto"/>
        <w:tabs>
          <w:tab w:leader="none" w:pos="152"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89" w:type="dxa"/>
        <w:tblCellMar>
          <w:top w:w="0" w:type="dxa"/>
          <w:left w:w="0" w:type="dxa"/>
          <w:bottom w:w="0" w:type="dxa"/>
          <w:right w:w="0" w:type="dxa"/>
        </w:tblCellMar>
      </w:tblPr>
      <w:tr>
        <w:trPr>
          <w:trHeight w:val="155"/>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89"/>
        <w:spacing w:after="0"/>
        <w:rPr>
          <w:sz w:val="20"/>
          <w:szCs w:val="20"/>
          <w:color w:val="auto"/>
        </w:rPr>
      </w:pPr>
      <w:r>
        <w:rPr>
          <w:rFonts w:ascii="Arial" w:cs="Arial" w:eastAsia="Arial" w:hAnsi="Arial"/>
          <w:sz w:val="17"/>
          <w:szCs w:val="17"/>
          <w:color w:val="0000FF"/>
        </w:rPr>
        <w:t>Senior VP, Human Resources</w:t>
      </w:r>
    </w:p>
    <w:p>
      <w:pPr>
        <w:spacing w:after="0" w:line="306" w:lineRule="exact"/>
        <w:rPr>
          <w:sz w:val="24"/>
          <w:szCs w:val="24"/>
          <w:color w:val="auto"/>
        </w:rPr>
      </w:pPr>
    </w:p>
    <w:p>
      <w:pPr>
        <w:sectPr>
          <w:pgSz w:w="11900" w:h="16838" w:orient="portrait"/>
          <w:cols w:equalWidth="0" w:num="3">
            <w:col w:w="3180" w:space="720"/>
            <w:col w:w="3111" w:space="720"/>
            <w:col w:w="3349"/>
          </w:cols>
          <w:pgMar w:left="460" w:top="221"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CHARLOTTE</w:t>
            </w:r>
          </w:p>
        </w:tc>
        <w:tc>
          <w:tcPr>
            <w:tcW w:w="920" w:type="dxa"/>
            <w:vAlign w:val="bottom"/>
          </w:tcPr>
          <w:p>
            <w:pPr>
              <w:ind w:left="120"/>
              <w:spacing w:after="0"/>
              <w:rPr>
                <w:sz w:val="20"/>
                <w:szCs w:val="20"/>
                <w:color w:val="auto"/>
              </w:rPr>
            </w:pPr>
            <w:r>
              <w:rPr>
                <w:rFonts w:ascii="Arial" w:cs="Arial" w:eastAsia="Arial" w:hAnsi="Arial"/>
                <w:sz w:val="17"/>
                <w:szCs w:val="17"/>
                <w:color w:val="0000FF"/>
              </w:rPr>
              <w:t>NC</w:t>
            </w:r>
          </w:p>
        </w:tc>
        <w:tc>
          <w:tcPr>
            <w:tcW w:w="1620" w:type="dxa"/>
            <w:vAlign w:val="bottom"/>
          </w:tcPr>
          <w:p>
            <w:pPr>
              <w:ind w:left="420"/>
              <w:spacing w:after="0"/>
              <w:rPr>
                <w:sz w:val="20"/>
                <w:szCs w:val="20"/>
                <w:color w:val="auto"/>
              </w:rPr>
            </w:pPr>
            <w:r>
              <w:rPr>
                <w:rFonts w:ascii="Arial" w:cs="Arial" w:eastAsia="Arial" w:hAnsi="Arial"/>
                <w:sz w:val="17"/>
                <w:szCs w:val="17"/>
                <w:color w:val="0000FF"/>
              </w:rPr>
              <w:t>28277</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20"/>
        <w:spacing w:after="0" w:line="217"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7"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660"/>
              <w:spacing w:after="0" w:line="126"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0"/>
                <w:szCs w:val="10"/>
                <w:color w:val="auto"/>
              </w:rPr>
            </w:pPr>
          </w:p>
        </w:tc>
        <w:tc>
          <w:tcPr>
            <w:tcW w:w="98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2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6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03/23/2021</w:t>
            </w: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343"/>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68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3"/>
              </w:rPr>
              <w:t>8,726</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8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47,228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4"/>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60" w:type="dxa"/>
            <w:vAlign w:val="bottom"/>
            <w:gridSpan w:val="11"/>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ind w:left="260"/>
              <w:spacing w:after="0"/>
              <w:rPr>
                <w:sz w:val="20"/>
                <w:szCs w:val="20"/>
                <w:color w:val="auto"/>
              </w:rPr>
            </w:pPr>
            <w:r>
              <w:rPr>
                <w:rFonts w:ascii="Arial" w:cs="Arial" w:eastAsia="Arial" w:hAnsi="Arial"/>
                <w:sz w:val="13"/>
                <w:szCs w:val="13"/>
                <w:color w:val="0000FF"/>
              </w:rPr>
              <w:t>03/23/2021</w:t>
            </w:r>
          </w:p>
        </w:tc>
        <w:tc>
          <w:tcPr>
            <w:tcW w:w="1100" w:type="dxa"/>
            <w:vAlign w:val="bottom"/>
          </w:tcPr>
          <w:p>
            <w:pPr>
              <w:spacing w:after="0"/>
              <w:rPr>
                <w:sz w:val="20"/>
                <w:szCs w:val="20"/>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20"/>
                <w:szCs w:val="20"/>
                <w:color w:val="auto"/>
              </w:rPr>
            </w:pPr>
          </w:p>
        </w:tc>
        <w:tc>
          <w:tcPr>
            <w:tcW w:w="480" w:type="dxa"/>
            <w:vAlign w:val="bottom"/>
          </w:tcPr>
          <w:p>
            <w:pPr>
              <w:ind w:left="100"/>
              <w:spacing w:after="0"/>
              <w:rPr>
                <w:sz w:val="20"/>
                <w:szCs w:val="20"/>
                <w:color w:val="auto"/>
              </w:rPr>
            </w:pPr>
            <w:r>
              <w:rPr>
                <w:rFonts w:ascii="Arial" w:cs="Arial" w:eastAsia="Arial" w:hAnsi="Arial"/>
                <w:sz w:val="13"/>
                <w:szCs w:val="13"/>
                <w:color w:val="0000FF"/>
              </w:rPr>
              <w:t>7,197</w:t>
            </w:r>
          </w:p>
        </w:tc>
        <w:tc>
          <w:tcPr>
            <w:tcW w:w="320" w:type="dxa"/>
            <w:vAlign w:val="bottom"/>
          </w:tcPr>
          <w:p>
            <w:pPr>
              <w:spacing w:after="0"/>
              <w:rPr>
                <w:sz w:val="20"/>
                <w:szCs w:val="20"/>
                <w:color w:val="auto"/>
              </w:rPr>
            </w:pPr>
          </w:p>
        </w:tc>
        <w:tc>
          <w:tcPr>
            <w:tcW w:w="800" w:type="dxa"/>
            <w:vAlign w:val="bottom"/>
            <w:gridSpan w:val="2"/>
          </w:tcPr>
          <w:p>
            <w:pPr>
              <w:jc w:val="right"/>
              <w:ind w:right="343"/>
              <w:spacing w:after="0"/>
              <w:rPr>
                <w:sz w:val="20"/>
                <w:szCs w:val="20"/>
                <w:color w:val="auto"/>
              </w:rPr>
            </w:pPr>
            <w:r>
              <w:rPr>
                <w:rFonts w:ascii="Arial" w:cs="Arial" w:eastAsia="Arial" w:hAnsi="Arial"/>
                <w:sz w:val="11"/>
                <w:szCs w:val="11"/>
                <w:color w:val="008000"/>
              </w:rPr>
              <w:t>(3)</w:t>
            </w:r>
          </w:p>
        </w:tc>
        <w:tc>
          <w:tcPr>
            <w:tcW w:w="680" w:type="dxa"/>
            <w:vAlign w:val="bottom"/>
          </w:tcPr>
          <w:p>
            <w:pPr>
              <w:ind w:left="220"/>
              <w:spacing w:after="0"/>
              <w:rPr>
                <w:sz w:val="20"/>
                <w:szCs w:val="20"/>
                <w:color w:val="auto"/>
              </w:rPr>
            </w:pPr>
            <w:r>
              <w:rPr>
                <w:rFonts w:ascii="Arial" w:cs="Arial" w:eastAsia="Arial" w:hAnsi="Arial"/>
                <w:sz w:val="11"/>
                <w:szCs w:val="11"/>
                <w:color w:val="008000"/>
              </w:rPr>
              <w:t>(3)</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20" w:type="dxa"/>
            <w:vAlign w:val="bottom"/>
          </w:tcPr>
          <w:p>
            <w:pPr>
              <w:ind w:left="40"/>
              <w:spacing w:after="0"/>
              <w:rPr>
                <w:sz w:val="20"/>
                <w:szCs w:val="20"/>
                <w:color w:val="auto"/>
              </w:rPr>
            </w:pPr>
            <w:r>
              <w:rPr>
                <w:rFonts w:ascii="Arial" w:cs="Arial" w:eastAsia="Arial" w:hAnsi="Arial"/>
                <w:sz w:val="17"/>
                <w:szCs w:val="17"/>
                <w:color w:val="0000FF"/>
              </w:rPr>
              <w:t>7,197</w:t>
            </w:r>
          </w:p>
        </w:tc>
        <w:tc>
          <w:tcPr>
            <w:tcW w:w="40" w:type="dxa"/>
            <w:vAlign w:val="bottom"/>
          </w:tcPr>
          <w:p>
            <w:pPr>
              <w:spacing w:after="0"/>
              <w:rPr>
                <w:sz w:val="20"/>
                <w:szCs w:val="20"/>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60" w:type="dxa"/>
            <w:vAlign w:val="bottom"/>
          </w:tcPr>
          <w:p>
            <w:pPr>
              <w:ind w:left="260"/>
              <w:spacing w:after="0"/>
              <w:rPr>
                <w:sz w:val="20"/>
                <w:szCs w:val="20"/>
                <w:color w:val="auto"/>
              </w:rPr>
            </w:pPr>
            <w:r>
              <w:rPr>
                <w:rFonts w:ascii="Arial" w:cs="Arial" w:eastAsia="Arial" w:hAnsi="Arial"/>
                <w:sz w:val="13"/>
                <w:szCs w:val="13"/>
                <w:color w:val="0000FF"/>
                <w:w w:val="85"/>
              </w:rPr>
              <w:t>7,197</w:t>
            </w:r>
          </w:p>
        </w:tc>
        <w:tc>
          <w:tcPr>
            <w:tcW w:w="30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-1999615</wp:posOffset>
            </wp:positionV>
            <wp:extent cx="29210" cy="2004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046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23, 2022.</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43" w:lineRule="exact"/>
        <w:rPr>
          <w:rFonts w:ascii="Arial" w:cs="Arial" w:eastAsia="Arial" w:hAnsi="Arial"/>
          <w:sz w:val="13"/>
          <w:szCs w:val="13"/>
          <w:color w:val="008000"/>
        </w:rPr>
      </w:pPr>
    </w:p>
    <w:p>
      <w:pPr>
        <w:ind w:left="40" w:right="300" w:firstLine="2"/>
        <w:spacing w:after="0" w:line="267" w:lineRule="auto"/>
        <w:tabs>
          <w:tab w:leader="none" w:pos="169"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performance rights will vest pursuant to the terms and subject to the conditions set forth in the Issuer's 2019 Omnibus Incentive Plan and the applicable Performance Share Unit Award Agreement based on the relative total shareholder return ("TSR") of the Issuer, as compared to the TSR of the S&amp;P SmallCap 600 Index over the period beginning on January 1, 2021 and ending December 31, 2023. The performance rights granted represent the right to receive the target shares, and actual performance rights earned may be between 50% and 150% of the target shares.</w:t>
      </w:r>
    </w:p>
    <w:p>
      <w:pPr>
        <w:sectPr>
          <w:pgSz w:w="11900" w:h="16838" w:orient="portrait"/>
          <w:cols w:equalWidth="0" w:num="1">
            <w:col w:w="11080"/>
          </w:cols>
          <w:pgMar w:left="460" w:top="221" w:right="359" w:bottom="1440" w:gutter="0" w:footer="0" w:header="0"/>
          <w:type w:val="continuous"/>
        </w:sectPr>
      </w:pP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2540</wp:posOffset>
            </wp:positionV>
            <wp:extent cx="1340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spacing w:after="0" w:line="2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4927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2760" cy="8255"/>
                    </a:xfrm>
                    <a:prstGeom prst="rect">
                      <a:avLst/>
                    </a:prstGeom>
                    <a:noFill/>
                  </pic:spPr>
                </pic:pic>
              </a:graphicData>
            </a:graphic>
          </wp:anchor>
        </w:drawing>
      </w:r>
    </w:p>
    <w:p>
      <w:pPr>
        <w:spacing w:after="0" w:line="43"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1220" w:firstLine="2"/>
        <w:spacing w:after="0" w:line="334"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5"/>
          <w:szCs w:val="15"/>
          <w:color w:val="0000FF"/>
        </w:rPr>
        <w:t>03/25/2021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484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01" w:lineRule="exact"/>
        <w:rPr>
          <w:sz w:val="24"/>
          <w:szCs w:val="24"/>
          <w:color w:val="auto"/>
        </w:rPr>
      </w:pPr>
    </w:p>
    <w:p>
      <w:pPr>
        <w:sectPr>
          <w:pgSz w:w="11900" w:h="16838" w:orient="portrait"/>
          <w:cols w:equalWidth="0" w:num="2">
            <w:col w:w="8700" w:space="10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13507"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2021-03-26T21:45:23Z</dcterms:created>
  <dcterms:modified xsi:type="dcterms:W3CDTF">2021-03-26T21:45:23Z</dcterms:modified>
</cp:coreProperties>
</file>