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(Rule 13d-102)</w:t>
      </w:r>
    </w:p>
    <w:p>
      <w:pPr>
        <w:jc w:val="center"/>
        <w:ind w:right="179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No.17)</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2022</w:t>
      </w:r>
    </w:p>
    <w:p>
      <w:pPr>
        <w:spacing w:after="0" w:line="201" w:lineRule="exact"/>
        <w:rPr>
          <w:sz w:val="24"/>
          <w:szCs w:val="24"/>
          <w:color w:val="auto"/>
        </w:rPr>
      </w:pPr>
    </w:p>
    <w:p>
      <w:pPr>
        <w:ind w:right="243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160" w:type="dxa"/>
            <w:vAlign w:val="bottom"/>
          </w:tcPr>
          <w:p>
            <w:pPr>
              <w:spacing w:after="0"/>
              <w:rPr>
                <w:sz w:val="20"/>
                <w:szCs w:val="20"/>
                <w:color w:val="auto"/>
              </w:rPr>
            </w:pPr>
            <w:r>
              <w:rPr>
                <w:rFonts w:ascii="Courier New" w:cs="Courier New" w:eastAsia="Courier New" w:hAnsi="Courier New"/>
                <w:sz w:val="18"/>
                <w:szCs w:val="18"/>
                <w:color w:val="auto"/>
              </w:rPr>
              <w:t>CUSIP No. 629337106</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4"/>
          <w:szCs w:val="24"/>
          <w:color w:val="auto"/>
        </w:rPr>
      </w:pPr>
    </w:p>
    <w:p>
      <w:pPr>
        <w:ind w:left="640" w:hanging="421"/>
        <w:spacing w:after="0"/>
        <w:tabs>
          <w:tab w:leader="none" w:pos="6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S.S. OR I.R.S. IDENTIFICATION NO. OF ABOVE PERSON</w:t>
      </w:r>
    </w:p>
    <w:p>
      <w:pPr>
        <w:spacing w:after="0" w:line="224" w:lineRule="exact"/>
        <w:rPr>
          <w:sz w:val="24"/>
          <w:szCs w:val="24"/>
          <w:color w:val="auto"/>
        </w:rPr>
      </w:pPr>
    </w:p>
    <w:tbl>
      <w:tblPr>
        <w:tblLayout w:type="fixed"/>
        <w:tblInd w:w="640" w:type="dxa"/>
        <w:tblCellMar>
          <w:top w:w="0" w:type="dxa"/>
          <w:left w:w="0" w:type="dxa"/>
          <w:bottom w:w="0" w:type="dxa"/>
          <w:right w:w="0" w:type="dxa"/>
        </w:tblCellMar>
      </w:tblPr>
      <w:tr>
        <w:trPr>
          <w:trHeight w:val="296"/>
        </w:trPr>
        <w:tc>
          <w:tcPr>
            <w:tcW w:w="2520" w:type="dxa"/>
            <w:vAlign w:val="bottom"/>
          </w:tcPr>
          <w:p>
            <w:pPr>
              <w:spacing w:after="0"/>
              <w:rPr>
                <w:sz w:val="20"/>
                <w:szCs w:val="20"/>
                <w:color w:val="auto"/>
              </w:rPr>
            </w:pPr>
            <w:r>
              <w:rPr>
                <w:rFonts w:ascii="Courier New" w:cs="Courier New" w:eastAsia="Courier New" w:hAnsi="Courier New"/>
                <w:sz w:val="18"/>
                <w:szCs w:val="18"/>
                <w:color w:val="auto"/>
              </w:rPr>
              <w:t>Royce &amp; Associates, LP</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52-2343049</w:t>
            </w:r>
          </w:p>
        </w:tc>
      </w:tr>
    </w:tbl>
    <w:p>
      <w:pPr>
        <w:spacing w:after="0" w:line="109" w:lineRule="exact"/>
        <w:rPr>
          <w:sz w:val="24"/>
          <w:szCs w:val="24"/>
          <w:color w:val="auto"/>
        </w:rPr>
      </w:pP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sz w:val="24"/>
          <w:szCs w:val="24"/>
          <w:color w:val="auto"/>
        </w:rPr>
      </w:pPr>
    </w:p>
    <w:p>
      <w:pPr>
        <w:ind w:left="640" w:hanging="421"/>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740" w:right="5699" w:hanging="521"/>
        <w:spacing w:after="0" w:line="476" w:lineRule="auto"/>
        <w:tabs>
          <w:tab w:leader="none" w:pos="6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1480" w:right="7399" w:hanging="840"/>
        <w:spacing w:after="0" w:line="536" w:lineRule="auto"/>
        <w:tabs>
          <w:tab w:leader="none" w:pos="95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2,203,887</w:t>
      </w:r>
    </w:p>
    <w:p>
      <w:pPr>
        <w:ind w:left="960" w:hanging="320"/>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sz w:val="24"/>
          <w:szCs w:val="24"/>
          <w:color w:val="auto"/>
        </w:rPr>
      </w:pPr>
    </w:p>
    <w:p>
      <w:pPr>
        <w:ind w:left="1480" w:right="6859" w:hanging="840"/>
        <w:spacing w:after="0" w:line="47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2,203,887</w:t>
      </w:r>
    </w:p>
    <w:p>
      <w:pPr>
        <w:spacing w:after="0" w:line="1" w:lineRule="exact"/>
        <w:rPr>
          <w:sz w:val="24"/>
          <w:szCs w:val="24"/>
          <w:color w:val="auto"/>
        </w:rPr>
      </w:pPr>
    </w:p>
    <w:p>
      <w:pPr>
        <w:ind w:left="960" w:hanging="320"/>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ind w:left="1480" w:right="3279" w:hanging="1261"/>
        <w:spacing w:after="0" w:line="476"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2,203,887</w:t>
      </w:r>
    </w:p>
    <w:p>
      <w:pPr>
        <w:spacing w:after="0" w:line="1" w:lineRule="exact"/>
        <w:rPr>
          <w:sz w:val="24"/>
          <w:szCs w:val="24"/>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5.02%</w:t>
      </w:r>
    </w:p>
    <w:p>
      <w:pPr>
        <w:spacing w:after="0" w:line="201" w:lineRule="exact"/>
        <w:rPr>
          <w:sz w:val="24"/>
          <w:szCs w:val="24"/>
          <w:color w:val="auto"/>
        </w:rPr>
      </w:pPr>
    </w:p>
    <w:p>
      <w:pPr>
        <w:ind w:left="1480" w:right="7079" w:hanging="1367"/>
        <w:spacing w:after="0" w:line="476"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160" w:type="dxa"/>
            <w:vAlign w:val="bottom"/>
          </w:tcPr>
          <w:p>
            <w:pPr>
              <w:spacing w:after="0"/>
              <w:rPr>
                <w:sz w:val="20"/>
                <w:szCs w:val="20"/>
                <w:color w:val="auto"/>
              </w:rPr>
            </w:pPr>
            <w:r>
              <w:rPr>
                <w:rFonts w:ascii="Courier New" w:cs="Courier New" w:eastAsia="Courier New" w:hAnsi="Courier New"/>
                <w:sz w:val="18"/>
                <w:szCs w:val="18"/>
                <w:color w:val="auto"/>
              </w:rPr>
              <w:t>CUSIP No. 629337106</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ectPr>
          <w:pgSz w:w="11900" w:h="16838" w:orient="portrait"/>
          <w:cols w:equalWidth="0" w:num="1">
            <w:col w:w="10139"/>
          </w:cols>
          <w:pgMar w:left="320" w:top="218" w:right="1440" w:bottom="0" w:gutter="0" w:footer="0" w:header="0"/>
        </w:sectPr>
      </w:pPr>
    </w:p>
    <w:bookmarkStart w:id="1" w:name="page2"/>
    <w:bookmarkEnd w:id="1"/>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Office of the Secretary</w:t>
      </w:r>
    </w:p>
    <w:p>
      <w:pPr>
        <w:spacing w:after="0" w:line="2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207 Mockingbird Lane</w:t>
      </w:r>
    </w:p>
    <w:tbl>
      <w:tblPr>
        <w:tblLayout w:type="fixed"/>
        <w:tblInd w:w="1380" w:type="dxa"/>
        <w:tblCellMar>
          <w:top w:w="0" w:type="dxa"/>
          <w:left w:w="0" w:type="dxa"/>
          <w:bottom w:w="0" w:type="dxa"/>
          <w:right w:w="0" w:type="dxa"/>
        </w:tblCellMar>
      </w:tblPr>
      <w:tr>
        <w:trPr>
          <w:trHeight w:val="296"/>
        </w:trPr>
        <w:tc>
          <w:tcPr>
            <w:tcW w:w="1840" w:type="dxa"/>
            <w:vAlign w:val="bottom"/>
          </w:tcPr>
          <w:p>
            <w:pPr>
              <w:spacing w:after="0"/>
              <w:rPr>
                <w:sz w:val="20"/>
                <w:szCs w:val="20"/>
                <w:color w:val="auto"/>
              </w:rPr>
            </w:pPr>
            <w:r>
              <w:rPr>
                <w:rFonts w:ascii="Courier New" w:cs="Courier New" w:eastAsia="Courier New" w:hAnsi="Courier New"/>
                <w:sz w:val="18"/>
                <w:szCs w:val="18"/>
                <w:color w:val="auto"/>
              </w:rPr>
              <w:t>Johnson City, TN</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37604</w:t>
            </w:r>
          </w:p>
        </w:tc>
      </w:tr>
    </w:tbl>
    <w:p>
      <w:pPr>
        <w:spacing w:after="0" w:line="7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Royce &amp; Associates, LP</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380"/>
        <w:spacing w:after="0"/>
        <w:tabs>
          <w:tab w:leader="none" w:pos="4720" w:val="left"/>
        </w:tabs>
        <w:rPr>
          <w:sz w:val="20"/>
          <w:szCs w:val="20"/>
          <w:color w:val="auto"/>
        </w:rPr>
      </w:pPr>
      <w:r>
        <w:rPr>
          <w:rFonts w:ascii="Courier New" w:cs="Courier New" w:eastAsia="Courier New" w:hAnsi="Courier New"/>
          <w:sz w:val="18"/>
          <w:szCs w:val="18"/>
          <w:color w:val="auto"/>
        </w:rPr>
        <w:t>745 Fifth Avenue, New York, NY</w:t>
        <w:tab/>
        <w:t>10151</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New York Corporation</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2(b), check whether the person filing is a:</w:t>
      </w:r>
    </w:p>
    <w:p>
      <w:pPr>
        <w:spacing w:after="0" w:line="169" w:lineRule="exact"/>
        <w:rPr>
          <w:sz w:val="20"/>
          <w:szCs w:val="20"/>
          <w:color w:val="auto"/>
        </w:rPr>
      </w:pPr>
    </w:p>
    <w:p>
      <w:pPr>
        <w:ind w:left="960" w:hanging="426"/>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Investment Company Act</w:t>
      </w:r>
    </w:p>
    <w:p>
      <w:pPr>
        <w:spacing w:after="0" w:line="169" w:lineRule="exact"/>
        <w:rPr>
          <w:sz w:val="20"/>
          <w:szCs w:val="20"/>
          <w:color w:val="auto"/>
        </w:rPr>
      </w:pPr>
    </w:p>
    <w:p>
      <w:pPr>
        <w:ind w:left="1380" w:right="3499" w:hanging="846"/>
        <w:spacing w:after="0" w:line="346" w:lineRule="auto"/>
        <w:tabs>
          <w:tab w:leader="none" w:pos="9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19" w:lineRule="exact"/>
        <w:rPr>
          <w:rFonts w:ascii="Courier New" w:cs="Courier New" w:eastAsia="Courier New" w:hAnsi="Courier New"/>
          <w:sz w:val="18"/>
          <w:szCs w:val="18"/>
          <w:color w:val="auto"/>
        </w:rPr>
      </w:pPr>
    </w:p>
    <w:p>
      <w:pPr>
        <w:ind w:left="1380" w:right="4119" w:hanging="846"/>
        <w:spacing w:after="0" w:line="289" w:lineRule="auto"/>
        <w:tabs>
          <w:tab w:leader="none" w:pos="95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169" w:lineRule="exact"/>
        <w:rPr>
          <w:rFonts w:ascii="Courier New" w:cs="Courier New" w:eastAsia="Courier New" w:hAnsi="Courier New"/>
          <w:sz w:val="16"/>
          <w:szCs w:val="16"/>
          <w:color w:val="auto"/>
        </w:rPr>
      </w:pPr>
    </w:p>
    <w:p>
      <w:pPr>
        <w:ind w:left="960" w:hanging="426"/>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223" w:lineRule="exact"/>
        <w:rPr>
          <w:rFonts w:ascii="Courier New" w:cs="Courier New" w:eastAsia="Courier New" w:hAnsi="Courier New"/>
          <w:sz w:val="16"/>
          <w:szCs w:val="16"/>
          <w:color w:val="auto"/>
        </w:rPr>
      </w:pPr>
    </w:p>
    <w:p>
      <w:pPr>
        <w:ind w:left="960" w:hanging="426"/>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60" w:type="dxa"/>
            <w:vAlign w:val="bottom"/>
          </w:tcPr>
          <w:p>
            <w:pPr>
              <w:spacing w:after="0"/>
              <w:rPr>
                <w:sz w:val="20"/>
                <w:szCs w:val="20"/>
                <w:color w:val="auto"/>
              </w:rPr>
            </w:pPr>
            <w:r>
              <w:rPr>
                <w:rFonts w:ascii="Courier New" w:cs="Courier New" w:eastAsia="Courier New" w:hAnsi="Courier New"/>
                <w:sz w:val="18"/>
                <w:szCs w:val="18"/>
                <w:color w:val="auto"/>
              </w:rPr>
              <w:t>CUSIP No. 629337106</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20" w:right="2559"/>
        <w:spacing w:after="0" w:line="279" w:lineRule="auto"/>
        <w:rPr>
          <w:sz w:val="20"/>
          <w:szCs w:val="20"/>
          <w:color w:val="auto"/>
        </w:rPr>
      </w:pPr>
      <w:r>
        <w:rPr>
          <w:rFonts w:ascii="Courier New" w:cs="Courier New" w:eastAsia="Courier New" w:hAnsi="Courier New"/>
          <w:sz w:val="16"/>
          <w:szCs w:val="16"/>
          <w:color w:val="auto"/>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 agreement, unless otherwise noted in this Item 4. As a result, for purposes of Rule 13d 3 under the Act, RALP may be deemed to be the beneficial owner of the securities reported in this Schedule 13G.</w:t>
      </w:r>
    </w:p>
    <w:p>
      <w:pPr>
        <w:spacing w:after="0" w:line="290" w:lineRule="exact"/>
        <w:rPr>
          <w:sz w:val="20"/>
          <w:szCs w:val="20"/>
          <w:color w:val="auto"/>
        </w:rPr>
      </w:pPr>
    </w:p>
    <w:p>
      <w:pPr>
        <w:ind w:left="120" w:right="2559"/>
        <w:spacing w:after="0" w:line="285" w:lineRule="auto"/>
        <w:rPr>
          <w:sz w:val="20"/>
          <w:szCs w:val="20"/>
          <w:color w:val="auto"/>
        </w:rPr>
      </w:pPr>
      <w:r>
        <w:rPr>
          <w:rFonts w:ascii="Courier New" w:cs="Courier New" w:eastAsia="Courier New" w:hAnsi="Courier New"/>
          <w:sz w:val="16"/>
          <w:szCs w:val="16"/>
          <w:color w:val="auto"/>
        </w:rPr>
        <w:t>Beneficial ownership by investment management subsidiaries and other affiliates of FRI is being reported in conformity with the guidelines articulated by the SEC staff in Release No. 34 39538 (January 12, 1998) relating to organizations, such as FRI, where related entities exercise voting and investment powers over the securities being reported independently from each other. The voting and investment powers held by RALP are exercised independently from FRI (RALP's parent holding company) and from all other investment management subsidiaries of FRI (FRI, its affiliates and investment management subsidiaries other than RALP are, collectively, "FRI affiliates"). Furthermore, internal</w:t>
      </w:r>
    </w:p>
    <w:p>
      <w:pPr>
        <w:sectPr>
          <w:pgSz w:w="11900" w:h="16840" w:orient="portrait"/>
          <w:cols w:equalWidth="0" w:num="1">
            <w:col w:w="10139"/>
          </w:cols>
          <w:pgMar w:left="320" w:top="110" w:right="1440" w:bottom="0" w:gutter="0" w:footer="0" w:header="0"/>
        </w:sectPr>
      </w:pPr>
    </w:p>
    <w:bookmarkStart w:id="2" w:name="page3"/>
    <w:bookmarkEnd w:id="2"/>
    <w:p>
      <w:pPr>
        <w:ind w:left="120" w:right="2759"/>
        <w:spacing w:after="0" w:line="293" w:lineRule="auto"/>
        <w:rPr>
          <w:sz w:val="20"/>
          <w:szCs w:val="20"/>
          <w:color w:val="auto"/>
        </w:rPr>
      </w:pPr>
      <w:r>
        <w:rPr>
          <w:rFonts w:ascii="Courier New" w:cs="Courier New" w:eastAsia="Courier New" w:hAnsi="Courier New"/>
          <w:sz w:val="16"/>
          <w:szCs w:val="16"/>
          <w:color w:val="auto"/>
        </w:rPr>
        <w:t>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w:t>
      </w:r>
    </w:p>
    <w:p>
      <w:pPr>
        <w:spacing w:after="0" w:line="71" w:lineRule="exact"/>
        <w:rPr>
          <w:sz w:val="20"/>
          <w:szCs w:val="20"/>
          <w:color w:val="auto"/>
        </w:rPr>
      </w:pPr>
    </w:p>
    <w:p>
      <w:pPr>
        <w:ind w:left="120" w:right="2659"/>
        <w:spacing w:after="0" w:line="248"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w:t>
      </w:r>
    </w:p>
    <w:p>
      <w:pPr>
        <w:spacing w:after="0" w:line="104" w:lineRule="exact"/>
        <w:rPr>
          <w:sz w:val="20"/>
          <w:szCs w:val="20"/>
          <w:color w:val="auto"/>
        </w:rPr>
      </w:pPr>
    </w:p>
    <w:p>
      <w:pPr>
        <w:ind w:left="120" w:right="2559"/>
        <w:spacing w:after="0" w:line="256" w:lineRule="auto"/>
        <w:rPr>
          <w:sz w:val="20"/>
          <w:szCs w:val="20"/>
          <w:color w:val="auto"/>
        </w:rPr>
      </w:pPr>
      <w:r>
        <w:rPr>
          <w:rFonts w:ascii="Courier New" w:cs="Courier New" w:eastAsia="Courier New" w:hAnsi="Courier New"/>
          <w:sz w:val="18"/>
          <w:szCs w:val="18"/>
          <w:color w:val="auto"/>
        </w:rPr>
        <w:t>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p>
      <w:pPr>
        <w:spacing w:after="0" w:line="97" w:lineRule="exact"/>
        <w:rPr>
          <w:sz w:val="20"/>
          <w:szCs w:val="20"/>
          <w:color w:val="auto"/>
        </w:rPr>
      </w:pPr>
    </w:p>
    <w:p>
      <w:pPr>
        <w:ind w:left="1700" w:right="5699" w:hanging="1166"/>
        <w:spacing w:after="0" w:line="476" w:lineRule="auto"/>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2,203,887</w:t>
      </w:r>
    </w:p>
    <w:p>
      <w:pPr>
        <w:spacing w:after="0" w:line="1" w:lineRule="exact"/>
        <w:rPr>
          <w:rFonts w:ascii="Courier New" w:cs="Courier New" w:eastAsia="Courier New" w:hAnsi="Courier New"/>
          <w:sz w:val="18"/>
          <w:szCs w:val="18"/>
          <w:color w:val="auto"/>
        </w:rPr>
      </w:pPr>
    </w:p>
    <w:p>
      <w:pPr>
        <w:ind w:left="1700" w:hanging="1166"/>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5.02%</w:t>
      </w:r>
    </w:p>
    <w:p>
      <w:pPr>
        <w:spacing w:after="0" w:line="201" w:lineRule="exact"/>
        <w:rPr>
          <w:rFonts w:ascii="Courier New" w:cs="Courier New" w:eastAsia="Courier New" w:hAnsi="Courier New"/>
          <w:sz w:val="18"/>
          <w:szCs w:val="18"/>
          <w:color w:val="auto"/>
        </w:rPr>
      </w:pPr>
    </w:p>
    <w:p>
      <w:pPr>
        <w:ind w:left="1700" w:hanging="1166"/>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700" w:right="4239" w:hanging="744"/>
        <w:spacing w:after="0" w:line="476" w:lineRule="auto"/>
        <w:tabs>
          <w:tab w:leader="none" w:pos="170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2,203,887</w:t>
      </w:r>
    </w:p>
    <w:p>
      <w:pPr>
        <w:spacing w:after="0" w:line="1" w:lineRule="exact"/>
        <w:rPr>
          <w:rFonts w:ascii="Courier New" w:cs="Courier New" w:eastAsia="Courier New" w:hAnsi="Courier New"/>
          <w:sz w:val="18"/>
          <w:szCs w:val="18"/>
          <w:color w:val="auto"/>
        </w:rPr>
      </w:pPr>
    </w:p>
    <w:p>
      <w:pPr>
        <w:ind w:left="1700" w:hanging="744"/>
        <w:spacing w:after="0"/>
        <w:tabs>
          <w:tab w:leader="none" w:pos="170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700" w:right="2859" w:hanging="850"/>
        <w:spacing w:after="0" w:line="457"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2,203,887</w:t>
      </w:r>
    </w:p>
    <w:p>
      <w:pPr>
        <w:spacing w:after="0" w:line="1" w:lineRule="exact"/>
        <w:rPr>
          <w:rFonts w:ascii="Courier New" w:cs="Courier New" w:eastAsia="Courier New" w:hAnsi="Courier New"/>
          <w:sz w:val="18"/>
          <w:szCs w:val="18"/>
          <w:color w:val="auto"/>
        </w:rPr>
      </w:pPr>
    </w:p>
    <w:p>
      <w:pPr>
        <w:ind w:left="1700" w:hanging="744"/>
        <w:spacing w:after="0"/>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 w:lineRule="exact"/>
        <w:rPr>
          <w:rFonts w:ascii="Courier New" w:cs="Courier New" w:eastAsia="Courier New" w:hAnsi="Courier New"/>
          <w:sz w:val="18"/>
          <w:szCs w:val="18"/>
          <w:color w:val="auto"/>
        </w:rPr>
      </w:pPr>
    </w:p>
    <w:p>
      <w:pPr>
        <w:ind w:left="44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spacing w:after="0" w:line="169" w:lineRule="exact"/>
        <w:rPr>
          <w:sz w:val="20"/>
          <w:szCs w:val="20"/>
          <w:color w:val="auto"/>
        </w:rPr>
      </w:pPr>
    </w:p>
    <w:p>
      <w:pPr>
        <w:spacing w:after="0"/>
        <w:tabs>
          <w:tab w:leader="none" w:pos="940" w:val="left"/>
          <w:tab w:leader="none" w:pos="66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960" w:right="2239" w:hanging="947"/>
        <w:spacing w:after="0" w:line="402"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919"/>
        <w:spacing w:after="0"/>
        <w:tabs>
          <w:tab w:leader="none" w:pos="3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CUSIP No. 629337106</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13G</w:t>
            </w: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Item 10  Certification.</w:t>
            </w: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11"/>
        </w:trPr>
        <w:tc>
          <w:tcPr>
            <w:tcW w:w="2060" w:type="dxa"/>
            <w:vAlign w:val="bottom"/>
          </w:tcPr>
          <w:p>
            <w:pPr>
              <w:ind w:left="120"/>
              <w:spacing w:after="0"/>
              <w:rPr>
                <w:sz w:val="20"/>
                <w:szCs w:val="20"/>
                <w:color w:val="auto"/>
              </w:rPr>
            </w:pPr>
            <w:r>
              <w:rPr>
                <w:rFonts w:ascii="Courier New" w:cs="Courier New" w:eastAsia="Courier New" w:hAnsi="Courier New"/>
                <w:sz w:val="18"/>
                <w:szCs w:val="18"/>
                <w:color w:val="auto"/>
                <w:w w:val="98"/>
              </w:rPr>
              <w:t>By signing below I</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certify</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of my knowledge</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and belief,</w:t>
            </w:r>
          </w:p>
        </w:tc>
      </w:tr>
      <w:tr>
        <w:trPr>
          <w:trHeight w:val="203"/>
        </w:trPr>
        <w:tc>
          <w:tcPr>
            <w:tcW w:w="2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the securities referred to</w:t>
            </w:r>
          </w:p>
        </w:tc>
        <w:tc>
          <w:tcPr>
            <w:tcW w:w="3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above were acquired  and are held</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in the ordinary</w:t>
            </w:r>
          </w:p>
        </w:tc>
      </w:tr>
      <w:tr>
        <w:trPr>
          <w:trHeight w:val="202"/>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course of business</w:t>
            </w: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and were not acquired and</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are not held for the purpose of</w:t>
            </w: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or with the effect</w:t>
            </w:r>
          </w:p>
        </w:tc>
        <w:tc>
          <w:tcPr>
            <w:tcW w:w="4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of changing or influencing the control of</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issuer of</w:t>
            </w:r>
          </w:p>
        </w:tc>
      </w:tr>
      <w:tr>
        <w:trPr>
          <w:trHeight w:val="202"/>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the securities and</w:t>
            </w: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were not acquired and are</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not held in connection with</w:t>
            </w:r>
          </w:p>
        </w:tc>
      </w:tr>
      <w:tr>
        <w:trPr>
          <w:trHeight w:val="296"/>
        </w:trPr>
        <w:tc>
          <w:tcPr>
            <w:tcW w:w="290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or as a participant in any</w:t>
            </w:r>
          </w:p>
        </w:tc>
        <w:tc>
          <w:tcPr>
            <w:tcW w:w="5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transaction having that purpose or effect.</w:t>
            </w:r>
          </w:p>
        </w:tc>
      </w:tr>
    </w:tbl>
    <w:p>
      <w:pPr>
        <w:sectPr>
          <w:pgSz w:w="11900" w:h="16838" w:orient="portrait"/>
          <w:cols w:equalWidth="0" w:num="1">
            <w:col w:w="10139"/>
          </w:cols>
          <w:pgMar w:left="320" w:top="110" w:right="1440" w:bottom="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31" w:lineRule="exact"/>
        <w:rPr>
          <w:sz w:val="20"/>
          <w:szCs w:val="20"/>
          <w:color w:val="auto"/>
        </w:rPr>
      </w:pPr>
    </w:p>
    <w:p>
      <w:pPr>
        <w:ind w:left="120" w:right="2559"/>
        <w:spacing w:after="0" w:line="309"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5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Daniel A. O'Byrne</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bullet"/>
      <w:start w:val="1"/>
    </w:lvl>
  </w:abstractNum>
  <w:abstractNum w:abstractNumId="1">
    <w:nsid w:val="7545E146"/>
    <w:multiLevelType w:val="hybridMultilevel"/>
    <w:lvl w:ilvl="0">
      <w:lvlJc w:val="left"/>
      <w:lvlText w:val="2"/>
      <w:numFmt w:val="bullet"/>
      <w:start w:val="1"/>
    </w:lvl>
    <w:lvl w:ilvl="1">
      <w:lvlJc w:val="left"/>
      <w:lvlText w:val="(%2)"/>
      <w:numFmt w:val="lowerLetter"/>
      <w:start w:val="1"/>
    </w:lvl>
  </w:abstractNum>
  <w:abstractNum w:abstractNumId="2">
    <w:nsid w:val="515F007C"/>
    <w:multiLevelType w:val="hybridMultilevel"/>
    <w:lvl w:ilvl="0">
      <w:lvlJc w:val="left"/>
      <w:lvlText w:val="3"/>
      <w:numFmt w:val="bullet"/>
      <w:start w:val="1"/>
    </w:lvl>
  </w:abstractNum>
  <w:abstractNum w:abstractNumId="3">
    <w:nsid w:val="5BD062C2"/>
    <w:multiLevelType w:val="hybridMultilevel"/>
    <w:lvl w:ilvl="0">
      <w:lvlJc w:val="left"/>
      <w:lvlText w:val="4"/>
      <w:numFmt w:val="bullet"/>
      <w:start w:val="1"/>
    </w:lvl>
  </w:abstractNum>
  <w:abstractNum w:abstractNumId="4">
    <w:nsid w:val="12200854"/>
    <w:multiLevelType w:val="hybridMultilevel"/>
    <w:lvl w:ilvl="0">
      <w:lvlJc w:val="left"/>
      <w:lvlText w:val="5"/>
      <w:numFmt w:val="bullet"/>
      <w:start w:val="1"/>
    </w:lvl>
  </w:abstractNum>
  <w:abstractNum w:abstractNumId="5">
    <w:nsid w:val="4DB127F8"/>
    <w:multiLevelType w:val="hybridMultilevel"/>
    <w:lvl w:ilvl="0">
      <w:lvlJc w:val="left"/>
      <w:lvlText w:val="6"/>
      <w:numFmt w:val="bullet"/>
      <w:start w:val="1"/>
    </w:lvl>
  </w:abstractNum>
  <w:abstractNum w:abstractNumId="6">
    <w:nsid w:val="216231B"/>
    <w:multiLevelType w:val="hybridMultilevel"/>
    <w:lvl w:ilvl="0">
      <w:lvlJc w:val="left"/>
      <w:lvlText w:val="7"/>
      <w:numFmt w:val="bullet"/>
      <w:start w:val="1"/>
    </w:lvl>
  </w:abstractNum>
  <w:abstractNum w:abstractNumId="7">
    <w:nsid w:val="1F16E9E8"/>
    <w:multiLevelType w:val="hybridMultilevel"/>
    <w:lvl w:ilvl="0">
      <w:lvlJc w:val="left"/>
      <w:lvlText w:val="8"/>
      <w:numFmt w:val="bullet"/>
      <w:start w:val="1"/>
    </w:lvl>
  </w:abstractNum>
  <w:abstractNum w:abstractNumId="8">
    <w:nsid w:val="1190CDE7"/>
    <w:multiLevelType w:val="hybridMultilevel"/>
    <w:lvl w:ilvl="0">
      <w:lvlJc w:val="left"/>
      <w:lvlText w:val="9"/>
      <w:numFmt w:val="bullet"/>
      <w:start w:val="1"/>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2"/>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5"/>
    </w:lvl>
  </w:abstractNum>
  <w:abstractNum w:abstractNumId="13">
    <w:nsid w:val="DED7263"/>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2023-01-24T09:00:04Z</dcterms:created>
  <dcterms:modified xsi:type="dcterms:W3CDTF">2023-01-24T09:00:04Z</dcterms:modified>
</cp:coreProperties>
</file>