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186690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9, 2019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196215</wp:posOffset>
            </wp:positionV>
            <wp:extent cx="146621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2000"/>
          </w:cols>
          <w:pgMar w:left="440" w:top="368" w:right="41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200" w:space="720"/>
            <w:col w:w="212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40"/>
          </w:cols>
          <w:pgMar w:left="440" w:top="368" w:right="419" w:bottom="1440" w:gutter="0" w:footer="0" w:header="0"/>
          <w:type w:val="continuous"/>
        </w:sect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177800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right="2520" w:firstLine="4"/>
        <w:spacing w:after="0" w:line="378"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tbl>
      <w:tblPr>
        <w:tblLayout w:type="fixed"/>
        <w:tblInd w:w="2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00"/>
              <w:spacing w:after="0" w:line="150" w:lineRule="exact"/>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right="3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8, 2019, NN, Inc. (the “Company”) issued a press release announcing the Company’s financial results for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The full text of the press release is furnished as Exhibit 99.1 and is incorporated herein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NN, Inc., dated August 8, 2019</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82359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Charlotte, NC 28277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SECOND QUARTER 2019 RESULTS</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Charlotte, NC, August 8, 2019 – </w:t>
      </w:r>
      <w:r>
        <w:rPr>
          <w:rFonts w:ascii="Arial" w:cs="Arial" w:eastAsia="Arial" w:hAnsi="Arial"/>
          <w:sz w:val="18"/>
          <w:szCs w:val="18"/>
          <w:color w:val="auto"/>
        </w:rPr>
        <w:t>NN, Inc., (NASDAQ: NNBR), a diversified industrial company, today reported its financial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second quarter of 2019 increased $25.3 million, or 12.9% to $221.7 million, compared to $196.3 million for the second quarter of 2018. Growth was driven by $19.5 million from acquisitions and organic volume increases of $7.6 million, which were partially offset by foreign currency, pricing and mix impacts of $1.7 million.</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 GAAP basis, income from operations for the second quarter of 2019 was $8.1 million, compared to operating losses of $0.3 million for the same period in 2018. The second quarter of 2018 included acquisition related costs of $3.4 million, restructuring and integration costs of $1.6 million and inventory step-up costs of $3.4 million related to the Paragon acquisition. The reduction in these costs, along with margin improvement associated with the acquisition and organic growth noted above as well as synergy capture initiatives, was partially offset by increases in depreciation and amortization primarily related to 2018 acquisitions of $6.7 million.</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loss on a GAAP basis for second quarter of 2019 was $6.7 million, compared to net loss on a GAAP basis of $24.5 million in the second quarter of 2018. The improvement was driven by a reduction in interest expense and write-off of debt issuance costs of $2.0 million and $12.9 million, respectively. Other income and expense improved $1.8 million primarily as a result of unfavorable foreign exchange effects associated with intercompany borrowings in 2018. These changes were partially offset by an unfavorable $6.5 million year over year increase in income tax expense.</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 GAAP basis, income from operations for second quarter 2019 in the Life Sciences segment was $9.3 million, compared to income from operations of $2.0 million for the same period in 2018.</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a GAAP basis, income from operations for second quarter 2019 in the Mobile Solutions segment was $4.1 million, compared to income from operations of $7.4 million for the same period in 2018.</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a GAAP basis, income from operations for second quarter 2019 in the Power Solutions segment was $5.7 million, compared to income from operations of $6.0 million for the same period in 2018.</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Adjusted income from operations for the second quarter of 2019 was $27.6 million, compared to $24.8 million for the same period in 2018. Adjusted net income was $10.4 million, or $0.25 per diluted share, compared to $10.5 million, or $0.38 per diluted share, for the same period in 2018. Adjusted income from operations growth was primarily driven by acquisitions, increased organic volume and overall cost reduction initiatives. Additionally, second quarter 2019 earnings per share was impacted by the issuance of 14.4 million shares in the third quarter of 2018.</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Richard Holder, President and Chief Executive Officer, commented, “Our second quarter performance was in line with our expectations as we continue to experience mixed economic dynamics across the portfolio. Looking at our end markets, we continue to see tailwinds within the medical device and aerospace and defense end markets. Our electrical and industrial markets remain stable while we anticipate headwinds within the global vehicle market to persist for the remainder of the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Net sales for the second quarter of 2019 were $91.3 million, compared to $59.2 million in the second quarter of 2018, an increase of 54.4% or $32.2 million. Adjusted income from operations for the quarter was $20.4 million, compared to $12.9 million in the second quarter of 2018.</w:t>
      </w:r>
    </w:p>
    <w:p>
      <w:pPr>
        <w:spacing w:after="0" w:line="12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Mr. Holder commented, “Life Sciences continues to exceed our growth expectations for the year driven by significant outperformance within our orthopedic end market. Additionally, the business is flexing as anticipated, as operating profit is also ahead of our expectations.”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Net sales for the second quarter of 2019 were $79.4 million, compared to $88.1 million in the second quarter of 2018, a decrease of 9.8% or $8.6 million. Adjusted income from operations for the quarter was $5.9 million, compared to $9.1 million in the second quarter of 2018.</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Mr. Holder commented, “The Mobile Solutions team has performed well despite challenges in the global vehicle market. Looking forward to the second half, we expect these end market headwinds to continue and be partially offset by continued cost reductions within the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Net sales for the second quarter of 2019 were $51.4 million, compared to $49.8 million in the second quarter of 2018, an increase of 3.2% or $1.6 million. Adjusted income from operations for the quarter was $10.1 million, compared to $10.8 million in the second quarter of 2018.</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Holder commented, “Our Power Solutions group performed as expected during the second quarter. As anticipated, our customer order patterns returned to normal midway through the second quarter.”</w:t>
      </w:r>
    </w:p>
    <w:p>
      <w:pPr>
        <w:sectPr>
          <w:pgSz w:w="11900" w:h="16838" w:orient="portrait"/>
          <w:cols w:equalWidth="0" w:num="1">
            <w:col w:w="11020"/>
          </w:cols>
          <w:pgMar w:left="440" w:top="270" w:right="4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full set of financial guidance for the second quarter of 2019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0" w:firstLine="4"/>
        <w:spacing w:after="0" w:line="286"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August 9, 2019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1-800-458-4121 or 1-323-794-2093 Conference ID: 4892630. For those who are unavailable to listen to the live broadcast, a replay will be available shortly after the call for 30 days.</w:t>
      </w:r>
    </w:p>
    <w:p>
      <w:pPr>
        <w:spacing w:after="0" w:line="166" w:lineRule="exact"/>
        <w:rPr>
          <w:sz w:val="20"/>
          <w:szCs w:val="20"/>
          <w:color w:val="auto"/>
        </w:rPr>
      </w:pPr>
    </w:p>
    <w:p>
      <w:pPr>
        <w:ind w:right="40" w:firstLine="4"/>
        <w:spacing w:after="0" w:line="302"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Europe, South America and China.</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000"/>
          </w:cols>
          <w:pgMar w:left="440" w:top="274"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324,782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275,084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Restructuring and integration expense,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w w:val="97"/>
              </w:rPr>
              <w:t>Loss before (provision) benefit for income taxes and share of net income from joint venture</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(31,105)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(22,545)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(39,095)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 of net income (loss) from joint venture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(24,511)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(25,297)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(30,494)</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 net of tax</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(10,316)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(15,781)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(10,990)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(10,316)</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(15,093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(40,292</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(36,287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(40,810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share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loss per share</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0980"/>
          </w:cols>
          <w:pgMar w:left="440" w:top="270" w:right="47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$000s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 Inc.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income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Restructuring and integration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transition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Impairments (Goodwill and fixed assets)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57"/>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57"/>
        <w:spacing w:after="0"/>
        <w:rPr>
          <w:sz w:val="20"/>
          <w:szCs w:val="20"/>
          <w:color w:val="auto"/>
        </w:rPr>
      </w:pPr>
      <w:r>
        <w:rPr>
          <w:rFonts w:ascii="Arial" w:cs="Arial" w:eastAsia="Arial" w:hAnsi="Arial"/>
          <w:sz w:val="14"/>
          <w:szCs w:val="14"/>
          <w:b w:val="1"/>
          <w:bCs w:val="1"/>
          <w:color w:val="auto"/>
        </w:rPr>
        <w:t>June 30,</w:t>
      </w:r>
    </w:p>
    <w:p>
      <w:pPr>
        <w:spacing w:after="0" w:line="39" w:lineRule="exact"/>
        <w:rPr>
          <w:sz w:val="20"/>
          <w:szCs w:val="20"/>
          <w:color w:val="auto"/>
        </w:rPr>
      </w:pPr>
    </w:p>
    <w:p>
      <w:pPr>
        <w:ind w:left="203"/>
        <w:spacing w:after="0"/>
        <w:tabs>
          <w:tab w:leader="none" w:pos="1022"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6350</wp:posOffset>
            </wp:positionV>
            <wp:extent cx="699770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ind w:left="283" w:hanging="283"/>
        <w:spacing w:after="0"/>
        <w:tabs>
          <w:tab w:leader="none" w:pos="283" w:val="left"/>
        </w:tabs>
        <w:numPr>
          <w:ilvl w:val="0"/>
          <w:numId w:val="5"/>
        </w:numPr>
        <w:rPr>
          <w:rFonts w:ascii="Arial" w:cs="Arial" w:eastAsia="Arial" w:hAnsi="Arial"/>
          <w:sz w:val="18"/>
          <w:szCs w:val="18"/>
          <w:color w:val="auto"/>
        </w:rPr>
      </w:pPr>
      <w:r>
        <w:rPr>
          <w:rFonts w:ascii="Arial" w:cs="Arial" w:eastAsia="Arial" w:hAnsi="Arial"/>
          <w:sz w:val="18"/>
          <w:szCs w:val="18"/>
          <w:color w:val="auto"/>
        </w:rPr>
        <w:t>8,098  $   (292)</w:t>
      </w:r>
    </w:p>
    <w:p>
      <w:pPr>
        <w:spacing w:after="0" w:line="7" w:lineRule="exact"/>
        <w:rPr>
          <w:rFonts w:ascii="Arial" w:cs="Arial" w:eastAsia="Arial" w:hAnsi="Arial"/>
          <w:sz w:val="18"/>
          <w:szCs w:val="18"/>
          <w:color w:val="auto"/>
        </w:rPr>
      </w:pPr>
    </w:p>
    <w:p>
      <w:pPr>
        <w:ind w:left="423"/>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1,591</w:t>
      </w:r>
    </w:p>
    <w:p>
      <w:pPr>
        <w:spacing w:after="0" w:line="9" w:lineRule="exact"/>
        <w:rPr>
          <w:sz w:val="20"/>
          <w:szCs w:val="20"/>
          <w:color w:val="auto"/>
        </w:rPr>
      </w:pPr>
    </w:p>
    <w:p>
      <w:pPr>
        <w:ind w:left="283"/>
        <w:spacing w:after="0"/>
        <w:tabs>
          <w:tab w:leader="none" w:pos="1022" w:val="left"/>
        </w:tabs>
        <w:rPr>
          <w:sz w:val="20"/>
          <w:szCs w:val="20"/>
          <w:color w:val="auto"/>
        </w:rPr>
      </w:pPr>
      <w:r>
        <w:rPr>
          <w:rFonts w:ascii="Arial" w:cs="Arial" w:eastAsia="Arial" w:hAnsi="Arial"/>
          <w:sz w:val="18"/>
          <w:szCs w:val="18"/>
          <w:color w:val="auto"/>
        </w:rPr>
        <w:t>7,269</w:t>
      </w:r>
      <w:r>
        <w:rPr>
          <w:sz w:val="20"/>
          <w:szCs w:val="20"/>
          <w:color w:val="auto"/>
        </w:rPr>
        <w:tab/>
      </w:r>
      <w:r>
        <w:rPr>
          <w:rFonts w:ascii="Arial" w:cs="Arial" w:eastAsia="Arial" w:hAnsi="Arial"/>
          <w:sz w:val="18"/>
          <w:szCs w:val="18"/>
          <w:color w:val="auto"/>
        </w:rPr>
        <w:t>16,477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-130810</wp:posOffset>
            </wp:positionV>
            <wp:extent cx="699770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3"/>
        <w:spacing w:after="0"/>
        <w:tabs>
          <w:tab w:leader="none" w:pos="1122" w:val="left"/>
        </w:tabs>
        <w:rPr>
          <w:sz w:val="20"/>
          <w:szCs w:val="20"/>
          <w:color w:val="auto"/>
        </w:rPr>
      </w:pPr>
      <w:r>
        <w:rPr>
          <w:rFonts w:ascii="Arial" w:cs="Arial" w:eastAsia="Arial" w:hAnsi="Arial"/>
          <w:sz w:val="18"/>
          <w:szCs w:val="18"/>
          <w:color w:val="auto"/>
        </w:rPr>
        <w:t>11,810</w:t>
      </w:r>
      <w:r>
        <w:rPr>
          <w:sz w:val="20"/>
          <w:szCs w:val="20"/>
          <w:color w:val="auto"/>
        </w:rPr>
        <w:tab/>
      </w:r>
      <w:r>
        <w:rPr>
          <w:rFonts w:ascii="Arial" w:cs="Arial" w:eastAsia="Arial" w:hAnsi="Arial"/>
          <w:sz w:val="18"/>
          <w:szCs w:val="18"/>
          <w:color w:val="auto"/>
        </w:rPr>
        <w:t>6,978</w:t>
      </w:r>
    </w:p>
    <w:p>
      <w:pPr>
        <w:spacing w:after="0" w:line="9" w:lineRule="exact"/>
        <w:rPr>
          <w:sz w:val="20"/>
          <w:szCs w:val="20"/>
          <w:color w:val="auto"/>
        </w:rPr>
      </w:pPr>
    </w:p>
    <w:p>
      <w:pPr>
        <w:ind w:left="423"/>
        <w:spacing w:after="0"/>
        <w:tabs>
          <w:tab w:leader="none" w:pos="1242" w:val="left"/>
        </w:tabs>
        <w:rPr>
          <w:sz w:val="20"/>
          <w:szCs w:val="20"/>
          <w:color w:val="auto"/>
        </w:rPr>
      </w:pPr>
      <w:r>
        <w:rPr>
          <w:rFonts w:ascii="Arial" w:cs="Arial" w:eastAsia="Arial" w:hAnsi="Arial"/>
          <w:sz w:val="18"/>
          <w:szCs w:val="18"/>
          <w:color w:val="auto"/>
        </w:rPr>
        <w:t>400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-130810</wp:posOffset>
            </wp:positionV>
            <wp:extent cx="69977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3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3"/>
        </w:trPr>
        <w:tc>
          <w:tcPr>
            <w:tcW w:w="33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3"/>
          </w:tcPr>
          <w:p>
            <w:pPr>
              <w:jc w:val="right"/>
              <w:ind w:right="330"/>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Power Solutions</w:t>
            </w:r>
          </w:p>
        </w:tc>
        <w:tc>
          <w:tcPr>
            <w:tcW w:w="96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3320" w:type="dxa"/>
            <w:vAlign w:val="bottom"/>
          </w:tcPr>
          <w:p>
            <w:pPr>
              <w:spacing w:after="0" w:line="195" w:lineRule="exact"/>
              <w:rPr>
                <w:sz w:val="20"/>
                <w:szCs w:val="20"/>
                <w:color w:val="auto"/>
              </w:rPr>
            </w:pPr>
            <w:r>
              <w:rPr>
                <w:rFonts w:ascii="Arial" w:cs="Arial" w:eastAsia="Arial" w:hAnsi="Arial"/>
                <w:sz w:val="18"/>
                <w:szCs w:val="18"/>
                <w:color w:val="auto"/>
              </w:rPr>
              <w:t>GAAP income from operations</w:t>
            </w:r>
          </w:p>
        </w:tc>
        <w:tc>
          <w:tcPr>
            <w:tcW w:w="36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$ 5,682</w:t>
            </w:r>
          </w:p>
        </w:tc>
        <w:tc>
          <w:tcPr>
            <w:tcW w:w="16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$ 6,000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6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36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2957" w:space="720"/>
            <w:col w:w="1603" w:space="660"/>
            <w:col w:w="5040"/>
          </w:cols>
          <w:pgMar w:left="440" w:top="270" w:right="4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03"/>
        </w:trPr>
        <w:tc>
          <w:tcPr>
            <w:tcW w:w="4380" w:type="dxa"/>
            <w:vAlign w:val="bottom"/>
            <w:gridSpan w:val="2"/>
          </w:tcPr>
          <w:p>
            <w:pPr>
              <w:spacing w:after="0" w:line="203" w:lineRule="exact"/>
              <w:rPr>
                <w:sz w:val="20"/>
                <w:szCs w:val="20"/>
                <w:color w:val="auto"/>
              </w:rPr>
            </w:pPr>
            <w:r>
              <w:rPr>
                <w:rFonts w:ascii="Arial" w:cs="Arial" w:eastAsia="Arial" w:hAnsi="Arial"/>
                <w:sz w:val="18"/>
                <w:szCs w:val="18"/>
                <w:color w:val="auto"/>
                <w:w w:val="94"/>
              </w:rPr>
              <w:t>Non-GAAP adjusted income from operations (a)  $ 27,577</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$ 24,754</w:t>
            </w:r>
          </w:p>
        </w:tc>
      </w:tr>
      <w:tr>
        <w:trPr>
          <w:trHeight w:val="20"/>
        </w:trPr>
        <w:tc>
          <w:tcPr>
            <w:tcW w:w="3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Arial" w:cs="Arial" w:eastAsia="Arial" w:hAnsi="Arial"/>
                <w:sz w:val="18"/>
                <w:szCs w:val="18"/>
                <w:color w:val="auto"/>
                <w:w w:val="93"/>
              </w:rPr>
              <w:t xml:space="preserve">Non-GAAP adjusted income from operations (a)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10,071</w:t>
            </w: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10,784</w:t>
            </w:r>
          </w:p>
        </w:tc>
      </w:tr>
      <w:tr>
        <w:trPr>
          <w:trHeight w:val="20"/>
        </w:trPr>
        <w:tc>
          <w:tcPr>
            <w:tcW w:w="3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20" w:space="720"/>
            <w:col w:w="5040"/>
          </w:cols>
          <w:pgMar w:left="440" w:top="270" w:right="47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221,666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6"/>
        </w:trPr>
        <w:tc>
          <w:tcPr>
            <w:tcW w:w="3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Mobile Solutions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GAAP income from operations</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4,092</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7,380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w w:val="95"/>
              </w:rPr>
              <w:t>Non-GAAP adjusted income from operations (a)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-1482725</wp:posOffset>
            </wp:positionV>
            <wp:extent cx="699770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-874395</wp:posOffset>
            </wp:positionV>
            <wp:extent cx="699770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-591185</wp:posOffset>
            </wp:positionV>
            <wp:extent cx="699770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699770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GAAP net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$51,393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49,820</w:t>
            </w:r>
          </w:p>
        </w:tc>
        <w:tc>
          <w:tcPr>
            <w:tcW w:w="0" w:type="dxa"/>
            <w:vAlign w:val="bottom"/>
          </w:tcPr>
          <w:p>
            <w:pPr>
              <w:spacing w:after="0"/>
              <w:rPr>
                <w:sz w:val="1"/>
                <w:szCs w:val="1"/>
                <w:color w:val="auto"/>
              </w:rPr>
            </w:pPr>
          </w:p>
        </w:tc>
      </w:tr>
      <w:tr>
        <w:trPr>
          <w:trHeight w:val="342"/>
        </w:trPr>
        <w:tc>
          <w:tcPr>
            <w:tcW w:w="3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2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6"/>
        </w:trPr>
        <w:tc>
          <w:tcPr>
            <w:tcW w:w="3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Life Sciences</w:t>
            </w: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GAAP income from operations</w:t>
            </w:r>
          </w:p>
        </w:tc>
        <w:tc>
          <w:tcPr>
            <w:tcW w:w="2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$ 9,305</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0" w:type="dxa"/>
            <w:vAlign w:val="bottom"/>
          </w:tcPr>
          <w:p>
            <w:pPr>
              <w:spacing w:after="0"/>
              <w:rPr>
                <w:sz w:val="20"/>
                <w:szCs w:val="20"/>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w w:val="95"/>
              </w:rPr>
              <w:t>Non-GAAP adjusted income from operations (a)</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20,417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12,879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660"/>
            <w:col w:w="5040"/>
          </w:cols>
          <w:pgMar w:left="440" w:top="270" w:right="479" w:bottom="1440" w:gutter="0" w:footer="0" w:header="0"/>
          <w:type w:val="continuous"/>
        </w:sectPr>
      </w:pPr>
    </w:p>
    <w:p>
      <w:pPr>
        <w:spacing w:after="0" w:line="15" w:lineRule="exact"/>
        <w:rPr>
          <w:sz w:val="20"/>
          <w:szCs w:val="20"/>
          <w:color w:val="auto"/>
        </w:rPr>
      </w:pPr>
    </w:p>
    <w:p>
      <w:pPr>
        <w:spacing w:after="0"/>
        <w:tabs>
          <w:tab w:leader="none" w:pos="3660" w:val="left"/>
          <w:tab w:leader="none" w:pos="4500" w:val="left"/>
          <w:tab w:leader="none" w:pos="5920" w:val="left"/>
          <w:tab w:leader="none" w:pos="9600" w:val="left"/>
          <w:tab w:leader="none" w:pos="10360" w:val="left"/>
        </w:tabs>
        <w:rPr>
          <w:sz w:val="20"/>
          <w:szCs w:val="20"/>
          <w:color w:val="auto"/>
        </w:rPr>
      </w:pPr>
      <w:r>
        <w:rPr>
          <w:rFonts w:ascii="Arial" w:cs="Arial" w:eastAsia="Arial" w:hAnsi="Arial"/>
          <w:sz w:val="18"/>
          <w:szCs w:val="18"/>
          <w:color w:val="auto"/>
        </w:rPr>
        <w:t>GAAP net sales</w:t>
      </w:r>
      <w:r>
        <w:rPr>
          <w:sz w:val="20"/>
          <w:szCs w:val="20"/>
          <w:color w:val="auto"/>
        </w:rPr>
        <w:tab/>
      </w:r>
      <w:r>
        <w:rPr>
          <w:rFonts w:ascii="Arial" w:cs="Arial" w:eastAsia="Arial" w:hAnsi="Arial"/>
          <w:sz w:val="18"/>
          <w:szCs w:val="18"/>
          <w:color w:val="auto"/>
        </w:rPr>
        <w:t>$ 79,444</w:t>
        <w:tab/>
        <w:t>$ 88,079</w:t>
      </w:r>
      <w:r>
        <w:rPr>
          <w:sz w:val="20"/>
          <w:szCs w:val="20"/>
          <w:color w:val="auto"/>
        </w:rPr>
        <w:tab/>
      </w:r>
      <w:r>
        <w:rPr>
          <w:rFonts w:ascii="Arial" w:cs="Arial" w:eastAsia="Arial" w:hAnsi="Arial"/>
          <w:sz w:val="18"/>
          <w:szCs w:val="18"/>
          <w:color w:val="auto"/>
        </w:rPr>
        <w:t>GAAP net sales</w:t>
      </w:r>
      <w:r>
        <w:rPr>
          <w:sz w:val="20"/>
          <w:szCs w:val="20"/>
          <w:color w:val="auto"/>
        </w:rPr>
        <w:tab/>
      </w:r>
      <w:r>
        <w:rPr>
          <w:rFonts w:ascii="Arial" w:cs="Arial" w:eastAsia="Arial" w:hAnsi="Arial"/>
          <w:sz w:val="18"/>
          <w:szCs w:val="18"/>
          <w:color w:val="auto"/>
        </w:rPr>
        <w:t>$91,332</w:t>
      </w:r>
      <w:r>
        <w:rPr>
          <w:sz w:val="20"/>
          <w:szCs w:val="20"/>
          <w:color w:val="auto"/>
        </w:rPr>
        <w:tab/>
      </w:r>
      <w:r>
        <w:rPr>
          <w:rFonts w:ascii="Arial" w:cs="Arial" w:eastAsia="Arial" w:hAnsi="Arial"/>
          <w:sz w:val="16"/>
          <w:szCs w:val="16"/>
          <w:color w:val="auto"/>
        </w:rPr>
        <w:t>$59,153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37" w:lineRule="exact"/>
        <w:rPr>
          <w:sz w:val="20"/>
          <w:szCs w:val="20"/>
          <w:color w:val="auto"/>
        </w:rPr>
      </w:pPr>
    </w:p>
    <w:p>
      <w:pPr>
        <w:ind w:left="220" w:right="820" w:hanging="216"/>
        <w:spacing w:after="0" w:line="266"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2019 Includes Capacity &amp; Capabilities Dev—$2.5 / Prof Fees—$0.1 / Integration &amp; Transformation—$4.7 / Acq Transaction Costs—$0.0 / Asset Write-Downs/Inventory Step-Up—$0.0</w:t>
      </w:r>
    </w:p>
    <w:p>
      <w:pPr>
        <w:spacing w:after="0" w:line="1" w:lineRule="exact"/>
        <w:rPr>
          <w:rFonts w:ascii="Arial" w:cs="Arial" w:eastAsia="Arial" w:hAnsi="Arial"/>
          <w:sz w:val="16"/>
          <w:szCs w:val="16"/>
          <w:color w:val="auto"/>
        </w:rPr>
      </w:pPr>
    </w:p>
    <w:p>
      <w:pPr>
        <w:ind w:left="220" w:right="860"/>
        <w:spacing w:after="0" w:line="288" w:lineRule="auto"/>
        <w:rPr>
          <w:rFonts w:ascii="Arial" w:cs="Arial" w:eastAsia="Arial" w:hAnsi="Arial"/>
          <w:sz w:val="16"/>
          <w:szCs w:val="16"/>
          <w:color w:val="auto"/>
        </w:rPr>
      </w:pPr>
      <w:r>
        <w:rPr>
          <w:rFonts w:ascii="Arial" w:cs="Arial" w:eastAsia="Arial" w:hAnsi="Arial"/>
          <w:sz w:val="16"/>
          <w:szCs w:val="16"/>
          <w:color w:val="auto"/>
        </w:rPr>
        <w:t>2018 Includes Capacity &amp; Capabilities Dev—$1.7 / Prof Fees—$3.0 / Integration &amp; Transformation—$4.9/ Acq Transaction Costs—$3.5 / Asset Write-Downs/Inventory Step-Up—$3.4</w:t>
      </w:r>
    </w:p>
    <w:p>
      <w:pPr>
        <w:sectPr>
          <w:pgSz w:w="11900" w:h="16838" w:orient="portrait"/>
          <w:cols w:equalWidth="0" w:num="1">
            <w:col w:w="10980"/>
          </w:cols>
          <w:pgMar w:left="440" w:top="270" w:right="4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 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(Loss) per Diluted Share to Non-GAAP Adjusted Net Income (Loss) per Diluted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7,269</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12,972</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Tax effect of adjustments reflected above (b)</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8"/>
                <w:szCs w:val="18"/>
                <w:color w:val="auto"/>
              </w:rPr>
              <w:t>(3,839)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Non-GAAP adjusted net income (loss) (c)</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Amounts per share, diluted</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Tax effect of adjustments reflected above (b)</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Non-GAAP adjusted net income (loss) per diluted share (c)</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42,028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27,696</w:t>
            </w:r>
          </w:p>
        </w:tc>
        <w:tc>
          <w:tcPr>
            <w:tcW w:w="0" w:type="dxa"/>
            <w:vAlign w:val="bottom"/>
          </w:tcPr>
          <w:p>
            <w:pPr>
              <w:spacing w:after="0"/>
              <w:rPr>
                <w:sz w:val="1"/>
                <w:szCs w:val="1"/>
                <w:color w:val="auto"/>
              </w:rPr>
            </w:pPr>
          </w:p>
        </w:tc>
      </w:tr>
    </w:tbl>
    <w:p>
      <w:pPr>
        <w:sectPr>
          <w:pgSz w:w="11900" w:h="16838" w:orient="portrait"/>
          <w:cols w:equalWidth="0" w:num="1">
            <w:col w:w="9260"/>
          </w:cols>
          <w:pgMar w:left="1320" w:top="270" w:right="1319" w:bottom="1440" w:gutter="0" w:footer="0" w:header="0"/>
        </w:sectPr>
      </w:pPr>
    </w:p>
    <w:bookmarkStart w:id="9" w:name="page10"/>
    <w:bookmarkEnd w:id="9"/>
    <w:p>
      <w:pPr>
        <w:spacing w:after="0" w:line="227"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provides useful information in assessing our underlying business trends and facilitates comparison of our long-term performance over given periods.</w:t>
      </w:r>
    </w:p>
    <w:p>
      <w:pPr>
        <w:spacing w:after="0" w:line="183"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2" w:lineRule="exact"/>
        <w:rPr>
          <w:sz w:val="20"/>
          <w:szCs w:val="20"/>
          <w:color w:val="auto"/>
        </w:rPr>
      </w:pPr>
    </w:p>
    <w:p>
      <w:pPr>
        <w:ind w:right="40" w:firstLine="4"/>
        <w:spacing w:after="0" w:line="251" w:lineRule="auto"/>
        <w:tabs>
          <w:tab w:leader="none" w:pos="196"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77" w:lineRule="exact"/>
        <w:rPr>
          <w:rFonts w:ascii="Arial" w:cs="Arial" w:eastAsia="Arial" w:hAnsi="Arial"/>
          <w:sz w:val="13"/>
          <w:szCs w:val="13"/>
          <w:color w:val="auto"/>
        </w:rPr>
      </w:pPr>
    </w:p>
    <w:p>
      <w:pPr>
        <w:ind w:right="20" w:firstLine="4"/>
        <w:spacing w:after="0" w:line="238"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82" w:lineRule="exact"/>
        <w:rPr>
          <w:rFonts w:ascii="Arial" w:cs="Arial" w:eastAsia="Arial" w:hAnsi="Arial"/>
          <w:sz w:val="14"/>
          <w:szCs w:val="14"/>
          <w:color w:val="auto"/>
        </w:rPr>
      </w:pPr>
    </w:p>
    <w:p>
      <w:pPr>
        <w:ind w:right="20" w:firstLine="4"/>
        <w:spacing w:after="0" w:line="247" w:lineRule="auto"/>
        <w:tabs>
          <w:tab w:leader="none" w:pos="196"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upperLetter"/>
      <w:start w:val="40"/>
    </w:lvl>
  </w:abstractNum>
  <w:abstractNum w:abstractNumId="3">
    <w:nsid w:val="3D1B58BA"/>
    <w:multiLevelType w:val="hybridMultilevel"/>
    <w:lvl w:ilvl="0">
      <w:lvlJc w:val="left"/>
      <w:lvlText w:val="%1"/>
      <w:numFmt w:val="upperLetter"/>
      <w:start w:val="40"/>
    </w:lvl>
  </w:abstractNum>
  <w:abstractNum w:abstractNumId="4">
    <w:nsid w:val="507ED7AB"/>
    <w:multiLevelType w:val="hybridMultilevel"/>
    <w:lvl w:ilvl="0">
      <w:lvlJc w:val="left"/>
      <w:lvlText w:val="$"/>
      <w:numFmt w:val="bullet"/>
      <w:start w:val="1"/>
    </w:lvl>
    <w:lvl w:ilvl="1">
      <w:lvlJc w:val="left"/>
      <w:lvlText w:val="\emdash "/>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2019-11-30T05:23:15Z</dcterms:created>
  <dcterms:modified xsi:type="dcterms:W3CDTF">2019-11-30T05:23:15Z</dcterms:modified>
</cp:coreProperties>
</file>