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5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6"/>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60" w:hanging="456"/>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60" w:hanging="456"/>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6"/>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6"/>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NN, INC.</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0" w:lineRule="exact"/>
        <w:rPr>
          <w:sz w:val="24"/>
          <w:szCs w:val="24"/>
          <w:color w:val="auto"/>
        </w:rPr>
      </w:pPr>
    </w:p>
    <w:p>
      <w:pPr>
        <w:spacing w:after="0" w:line="223"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0" w:hanging="456"/>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00" w:hanging="437"/>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2" w:lineRule="exact"/>
        <w:rPr>
          <w:rFonts w:ascii="Arial" w:cs="Arial" w:eastAsia="Arial" w:hAnsi="Arial"/>
          <w:sz w:val="18"/>
          <w:szCs w:val="18"/>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60" w:right="160" w:hanging="456"/>
        <w:spacing w:after="0" w:line="332" w:lineRule="auto"/>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572770</wp:posOffset>
            </wp:positionH>
            <wp:positionV relativeFrom="paragraph">
              <wp:posOffset>-3838575</wp:posOffset>
            </wp:positionV>
            <wp:extent cx="6431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-3418840</wp:posOffset>
            </wp:positionV>
            <wp:extent cx="6431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-2861310</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-2440940</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-2012315</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-562610</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-142875</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276860</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ectPr>
          <w:pgSz w:w="11900" w:h="16838" w:orient="portrait"/>
          <w:cols w:equalWidth="0" w:num="1">
            <w:col w:w="10880"/>
          </w:cols>
          <w:pgMar w:left="440" w:top="463" w:right="579" w:bottom="67" w:gutter="0" w:footer="0" w:header="0"/>
        </w:sectPr>
      </w:pPr>
    </w:p>
    <w:bookmarkStart w:id="1" w:name="page2"/>
    <w:bookmarkEnd w:id="1"/>
    <w:p>
      <w:pPr>
        <w:ind w:left="437" w:hanging="437"/>
        <w:spacing w:after="0"/>
        <w:tabs>
          <w:tab w:leader="none" w:pos="437"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291465</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437515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462915</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556"/>
          </w:cols>
          <w:pgMar w:left="903" w:top="131"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706120</wp:posOffset>
            </wp:positionH>
            <wp:positionV relativeFrom="page">
              <wp:posOffset>1872615</wp:posOffset>
            </wp:positionV>
            <wp:extent cx="840740" cy="814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84074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9"/>
          <w:szCs w:val="9"/>
          <w:i w:val="1"/>
          <w:iCs w:val="1"/>
          <w:color w:val="auto"/>
        </w:rPr>
        <w:t>NN, INC.</w:t>
      </w:r>
    </w:p>
    <w:p>
      <w:pPr>
        <w:ind w:left="20"/>
        <w:spacing w:after="0"/>
        <w:rPr>
          <w:sz w:val="20"/>
          <w:szCs w:val="20"/>
          <w:color w:val="auto"/>
        </w:rPr>
      </w:pPr>
      <w:r>
        <w:rPr>
          <w:rFonts w:ascii="Arial" w:cs="Arial" w:eastAsia="Arial" w:hAnsi="Arial"/>
          <w:sz w:val="8"/>
          <w:szCs w:val="8"/>
          <w:i w:val="1"/>
          <w:iCs w:val="1"/>
          <w:color w:val="auto"/>
        </w:rPr>
        <w:t>6210 Ardrey Kell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-23495</wp:posOffset>
            </wp:positionV>
            <wp:extent cx="137160" cy="1097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 cy="1097915"/>
                    </a:xfrm>
                    <a:prstGeom prst="rect">
                      <a:avLst/>
                    </a:prstGeom>
                    <a:noFill/>
                  </pic:spPr>
                </pic:pic>
              </a:graphicData>
            </a:graphic>
          </wp:anchor>
        </w:drawing>
      </w:r>
    </w:p>
    <w:p>
      <w:pPr>
        <w:spacing w:after="0"/>
        <w:rPr>
          <w:sz w:val="20"/>
          <w:szCs w:val="20"/>
          <w:color w:val="auto"/>
        </w:rPr>
      </w:pPr>
      <w:r>
        <w:rPr>
          <w:rFonts w:ascii="Arial" w:cs="Arial" w:eastAsia="Arial" w:hAnsi="Arial"/>
          <w:sz w:val="9"/>
          <w:szCs w:val="9"/>
          <w:i w:val="1"/>
          <w:iCs w:val="1"/>
          <w:color w:val="auto"/>
        </w:rPr>
        <w:t>Charlotte, NC 28277</w:t>
      </w:r>
    </w:p>
    <w:p>
      <w:pPr>
        <w:spacing w:after="0" w:line="20" w:lineRule="exact"/>
        <w:rPr>
          <w:sz w:val="20"/>
          <w:szCs w:val="20"/>
          <w:color w:val="auto"/>
        </w:rPr>
      </w:pPr>
      <w:r>
        <w:rPr>
          <w:sz w:val="20"/>
          <w:szCs w:val="20"/>
          <w:color w:val="auto"/>
        </w:rPr>
        <w:br w:type="column"/>
      </w:r>
    </w:p>
    <w:p>
      <w:pPr>
        <w:jc w:val="center"/>
        <w:ind w:right="1980"/>
        <w:spacing w:after="0"/>
        <w:rPr>
          <w:sz w:val="20"/>
          <w:szCs w:val="20"/>
          <w:color w:val="auto"/>
        </w:rPr>
      </w:pPr>
      <w:r>
        <w:rPr>
          <w:rFonts w:ascii="Arial" w:cs="Arial" w:eastAsia="Arial" w:hAnsi="Arial"/>
          <w:sz w:val="31"/>
          <w:szCs w:val="31"/>
          <w:b w:val="1"/>
          <w:bCs w:val="1"/>
          <w:color w:val="auto"/>
        </w:rPr>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-296545</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2" w:lineRule="exact"/>
        <w:rPr>
          <w:sz w:val="20"/>
          <w:szCs w:val="20"/>
          <w:color w:val="auto"/>
        </w:rPr>
      </w:pPr>
    </w:p>
    <w:p>
      <w:pPr>
        <w:jc w:val="center"/>
        <w:ind w:right="198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5" w:lineRule="exact"/>
        <w:rPr>
          <w:sz w:val="20"/>
          <w:szCs w:val="20"/>
          <w:color w:val="auto"/>
        </w:rPr>
      </w:pPr>
    </w:p>
    <w:p>
      <w:pPr>
        <w:jc w:val="center"/>
        <w:ind w:right="1980"/>
        <w:spacing w:after="0"/>
        <w:rPr>
          <w:sz w:val="20"/>
          <w:szCs w:val="20"/>
          <w:color w:val="auto"/>
        </w:rPr>
      </w:pPr>
      <w:r>
        <w:rPr>
          <w:rFonts w:ascii="Arial" w:cs="Arial" w:eastAsia="Arial" w:hAnsi="Arial"/>
          <w:sz w:val="22"/>
          <w:szCs w:val="22"/>
          <w:b w:val="1"/>
          <w:bCs w:val="1"/>
          <w:color w:val="auto"/>
        </w:rPr>
        <w:t>Stockholder Meeting to Be Held on May 16, 2019</w:t>
      </w:r>
    </w:p>
    <w:p>
      <w:pPr>
        <w:spacing w:after="0" w:line="220" w:lineRule="exact"/>
        <w:rPr>
          <w:sz w:val="20"/>
          <w:szCs w:val="20"/>
          <w:color w:val="auto"/>
        </w:rPr>
      </w:pPr>
    </w:p>
    <w:tbl>
      <w:tblPr>
        <w:tblLayout w:type="fixed"/>
        <w:tblInd w:w="820" w:type="dxa"/>
        <w:tblCellMar>
          <w:top w:w="0" w:type="dxa"/>
          <w:left w:w="0" w:type="dxa"/>
          <w:bottom w:w="0" w:type="dxa"/>
          <w:right w:w="0" w:type="dxa"/>
        </w:tblCellMar>
      </w:tblPr>
      <w:tr>
        <w:trPr>
          <w:trHeight w:val="54"/>
        </w:trPr>
        <w:tc>
          <w:tcPr>
            <w:tcW w:w="320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900" w:type="dxa"/>
            <w:vAlign w:val="bottom"/>
            <w:tcBorders>
              <w:top w:val="single" w:sz="8" w:color="auto"/>
            </w:tcBorders>
            <w:gridSpan w:val="2"/>
            <w:vMerge w:val="restart"/>
          </w:tcPr>
          <w:p>
            <w:pPr>
              <w:spacing w:after="0"/>
              <w:rPr>
                <w:sz w:val="20"/>
                <w:szCs w:val="20"/>
                <w:color w:val="auto"/>
              </w:rPr>
            </w:pPr>
            <w:r>
              <w:rPr>
                <w:rFonts w:ascii="Arial" w:cs="Arial" w:eastAsia="Arial" w:hAnsi="Arial"/>
                <w:sz w:val="20"/>
                <w:szCs w:val="20"/>
                <w:b w:val="1"/>
                <w:bCs w:val="1"/>
                <w:color w:val="auto"/>
                <w:w w:val="98"/>
              </w:rPr>
              <w:t>Meeting Information</w:t>
            </w:r>
          </w:p>
        </w:tc>
        <w:tc>
          <w:tcPr>
            <w:tcW w:w="1560" w:type="dxa"/>
            <w:vAlign w:val="bottom"/>
            <w:tcBorders>
              <w:top w:val="single" w:sz="8" w:color="auto"/>
            </w:tcBorders>
            <w:gridSpan w:val="2"/>
            <w:vMerge w:val="restart"/>
          </w:tcPr>
          <w:p>
            <w:pPr>
              <w:spacing w:after="0"/>
              <w:rPr>
                <w:sz w:val="4"/>
                <w:szCs w:val="4"/>
                <w:color w:val="auto"/>
              </w:rPr>
            </w:pPr>
          </w:p>
        </w:tc>
        <w:tc>
          <w:tcPr>
            <w:tcW w:w="20" w:type="dxa"/>
            <w:vAlign w:val="bottom"/>
            <w:tcBorders>
              <w:top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200" w:type="dxa"/>
            <w:vAlign w:val="bottom"/>
          </w:tcPr>
          <w:p>
            <w:pPr>
              <w:spacing w:after="0"/>
              <w:rPr>
                <w:sz w:val="19"/>
                <w:szCs w:val="19"/>
                <w:color w:val="auto"/>
              </w:rPr>
            </w:pPr>
          </w:p>
        </w:tc>
        <w:tc>
          <w:tcPr>
            <w:tcW w:w="140" w:type="dxa"/>
            <w:vAlign w:val="bottom"/>
            <w:tcBorders>
              <w:bottom w:val="single" w:sz="8" w:color="CCCCCC"/>
              <w:right w:val="single" w:sz="8" w:color="auto"/>
            </w:tcBorders>
            <w:shd w:val="clear" w:color="auto" w:fill="CCCCCC"/>
          </w:tcPr>
          <w:p>
            <w:pPr>
              <w:spacing w:after="0"/>
              <w:rPr>
                <w:sz w:val="19"/>
                <w:szCs w:val="19"/>
                <w:color w:val="auto"/>
              </w:rPr>
            </w:pPr>
          </w:p>
        </w:tc>
        <w:tc>
          <w:tcPr>
            <w:tcW w:w="1440" w:type="dxa"/>
            <w:vAlign w:val="bottom"/>
          </w:tcPr>
          <w:p>
            <w:pPr>
              <w:spacing w:after="0"/>
              <w:rPr>
                <w:sz w:val="19"/>
                <w:szCs w:val="19"/>
                <w:color w:val="auto"/>
              </w:rPr>
            </w:pPr>
          </w:p>
        </w:tc>
        <w:tc>
          <w:tcPr>
            <w:tcW w:w="1900" w:type="dxa"/>
            <w:vAlign w:val="bottom"/>
            <w:tcBorders>
              <w:bottom w:val="single" w:sz="8" w:color="auto"/>
            </w:tcBorders>
            <w:gridSpan w:val="2"/>
            <w:vMerge w:val="continue"/>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NN, INC.</w:t>
            </w:r>
          </w:p>
        </w:tc>
        <w:tc>
          <w:tcPr>
            <w:tcW w:w="140" w:type="dxa"/>
            <w:vAlign w:val="bottom"/>
            <w:tcBorders>
              <w:right w:val="single" w:sz="8" w:color="auto"/>
            </w:tcBorders>
            <w:shd w:val="clear" w:color="auto" w:fill="CCCCCC"/>
          </w:tcPr>
          <w:p>
            <w:pPr>
              <w:spacing w:after="0"/>
              <w:rPr>
                <w:sz w:val="24"/>
                <w:szCs w:val="24"/>
                <w:color w:val="auto"/>
              </w:rPr>
            </w:pPr>
          </w:p>
        </w:tc>
        <w:tc>
          <w:tcPr>
            <w:tcW w:w="4900" w:type="dxa"/>
            <w:vAlign w:val="bottom"/>
            <w:gridSpan w:val="5"/>
          </w:tcPr>
          <w:p>
            <w:pPr>
              <w:ind w:left="80"/>
              <w:spacing w:after="0"/>
              <w:rPr>
                <w:sz w:val="20"/>
                <w:szCs w:val="20"/>
                <w:color w:val="auto"/>
              </w:rPr>
            </w:pPr>
            <w:r>
              <w:rPr>
                <w:rFonts w:ascii="Arial" w:cs="Arial" w:eastAsia="Arial" w:hAnsi="Arial"/>
                <w:sz w:val="16"/>
                <w:szCs w:val="16"/>
                <w:b w:val="1"/>
                <w:bCs w:val="1"/>
                <w:color w:val="auto"/>
              </w:rPr>
              <w:t xml:space="preserve">Meeting Type: </w:t>
            </w:r>
            <w:r>
              <w:rPr>
                <w:rFonts w:ascii="Arial" w:cs="Arial" w:eastAsia="Arial" w:hAnsi="Arial"/>
                <w:sz w:val="16"/>
                <w:szCs w:val="16"/>
                <w:color w:val="auto"/>
              </w:rPr>
              <w:t>Annual Meeting</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200" w:type="dxa"/>
            <w:vAlign w:val="bottom"/>
          </w:tcPr>
          <w:p>
            <w:pPr>
              <w:spacing w:after="0"/>
              <w:rPr>
                <w:sz w:val="19"/>
                <w:szCs w:val="19"/>
                <w:color w:val="auto"/>
              </w:rPr>
            </w:pPr>
          </w:p>
        </w:tc>
        <w:tc>
          <w:tcPr>
            <w:tcW w:w="140" w:type="dxa"/>
            <w:vAlign w:val="bottom"/>
            <w:tcBorders>
              <w:right w:val="single" w:sz="8" w:color="auto"/>
            </w:tcBorders>
            <w:shd w:val="clear" w:color="auto" w:fill="CCCCCC"/>
          </w:tcPr>
          <w:p>
            <w:pPr>
              <w:spacing w:after="0"/>
              <w:rPr>
                <w:sz w:val="19"/>
                <w:szCs w:val="19"/>
                <w:color w:val="auto"/>
              </w:rPr>
            </w:pPr>
          </w:p>
        </w:tc>
        <w:tc>
          <w:tcPr>
            <w:tcW w:w="4900" w:type="dxa"/>
            <w:vAlign w:val="bottom"/>
            <w:gridSpan w:val="5"/>
          </w:tcPr>
          <w:p>
            <w:pPr>
              <w:ind w:left="80"/>
              <w:spacing w:after="0"/>
              <w:rPr>
                <w:sz w:val="20"/>
                <w:szCs w:val="20"/>
                <w:color w:val="auto"/>
              </w:rPr>
            </w:pPr>
            <w:r>
              <w:rPr>
                <w:rFonts w:ascii="Arial" w:cs="Arial" w:eastAsia="Arial" w:hAnsi="Arial"/>
                <w:sz w:val="16"/>
                <w:szCs w:val="16"/>
                <w:b w:val="1"/>
                <w:bCs w:val="1"/>
                <w:color w:val="auto"/>
              </w:rPr>
              <w:t xml:space="preserve">For holders as of: </w:t>
            </w:r>
            <w:r>
              <w:rPr>
                <w:rFonts w:ascii="Arial" w:cs="Arial" w:eastAsia="Arial" w:hAnsi="Arial"/>
                <w:sz w:val="16"/>
                <w:szCs w:val="16"/>
                <w:color w:val="auto"/>
              </w:rPr>
              <w:t>March 19, 2019</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140" w:type="dxa"/>
            <w:vAlign w:val="bottom"/>
            <w:tcBorders>
              <w:right w:val="single" w:sz="8" w:color="auto"/>
            </w:tcBorders>
            <w:shd w:val="clear" w:color="auto" w:fill="CCCCCC"/>
          </w:tcPr>
          <w:p>
            <w:pPr>
              <w:spacing w:after="0"/>
              <w:rPr>
                <w:sz w:val="21"/>
                <w:szCs w:val="21"/>
                <w:color w:val="auto"/>
              </w:rPr>
            </w:pPr>
          </w:p>
        </w:tc>
        <w:tc>
          <w:tcPr>
            <w:tcW w:w="2080" w:type="dxa"/>
            <w:vAlign w:val="bottom"/>
            <w:gridSpan w:val="2"/>
          </w:tcPr>
          <w:p>
            <w:pPr>
              <w:ind w:left="80"/>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May 16, 2019</w:t>
            </w:r>
          </w:p>
        </w:tc>
        <w:tc>
          <w:tcPr>
            <w:tcW w:w="2820" w:type="dxa"/>
            <w:vAlign w:val="bottom"/>
            <w:gridSpan w:val="3"/>
          </w:tcPr>
          <w:p>
            <w:pPr>
              <w:ind w:left="100"/>
              <w:spacing w:after="0"/>
              <w:rPr>
                <w:sz w:val="20"/>
                <w:szCs w:val="20"/>
                <w:color w:val="auto"/>
              </w:rPr>
            </w:pPr>
            <w:r>
              <w:rPr>
                <w:rFonts w:ascii="Arial" w:cs="Arial" w:eastAsia="Arial" w:hAnsi="Arial"/>
                <w:sz w:val="16"/>
                <w:szCs w:val="16"/>
                <w:b w:val="1"/>
                <w:bCs w:val="1"/>
                <w:color w:val="auto"/>
              </w:rPr>
              <w:t xml:space="preserve">Time: </w:t>
            </w:r>
            <w:r>
              <w:rPr>
                <w:rFonts w:ascii="Arial" w:cs="Arial" w:eastAsia="Arial" w:hAnsi="Arial"/>
                <w:sz w:val="16"/>
                <w:szCs w:val="16"/>
                <w:color w:val="auto"/>
              </w:rPr>
              <w:t>10:00 AM EDT</w:t>
            </w: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200" w:type="dxa"/>
            <w:vAlign w:val="bottom"/>
          </w:tcPr>
          <w:p>
            <w:pPr>
              <w:spacing w:after="0"/>
              <w:rPr>
                <w:sz w:val="19"/>
                <w:szCs w:val="19"/>
                <w:color w:val="auto"/>
              </w:rPr>
            </w:pPr>
          </w:p>
        </w:tc>
        <w:tc>
          <w:tcPr>
            <w:tcW w:w="140" w:type="dxa"/>
            <w:vAlign w:val="bottom"/>
            <w:tcBorders>
              <w:right w:val="single" w:sz="8" w:color="auto"/>
            </w:tcBorders>
            <w:shd w:val="clear" w:color="auto" w:fill="CCCCCC"/>
          </w:tcPr>
          <w:p>
            <w:pPr>
              <w:spacing w:after="0"/>
              <w:rPr>
                <w:sz w:val="19"/>
                <w:szCs w:val="19"/>
                <w:color w:val="auto"/>
              </w:rPr>
            </w:pPr>
          </w:p>
        </w:tc>
        <w:tc>
          <w:tcPr>
            <w:tcW w:w="4900" w:type="dxa"/>
            <w:vAlign w:val="bottom"/>
            <w:gridSpan w:val="5"/>
          </w:tcPr>
          <w:p>
            <w:pPr>
              <w:ind w:left="80"/>
              <w:spacing w:after="0"/>
              <w:rPr>
                <w:sz w:val="20"/>
                <w:szCs w:val="20"/>
                <w:color w:val="auto"/>
              </w:rPr>
            </w:pPr>
            <w:r>
              <w:rPr>
                <w:rFonts w:ascii="Arial" w:cs="Arial" w:eastAsia="Arial" w:hAnsi="Arial"/>
                <w:sz w:val="14"/>
                <w:szCs w:val="14"/>
                <w:b w:val="1"/>
                <w:bCs w:val="1"/>
                <w:color w:val="auto"/>
              </w:rPr>
              <w:t xml:space="preserve">Location:  </w:t>
            </w:r>
            <w:r>
              <w:rPr>
                <w:rFonts w:ascii="Arial" w:cs="Arial" w:eastAsia="Arial" w:hAnsi="Arial"/>
                <w:sz w:val="14"/>
                <w:szCs w:val="14"/>
                <w:color w:val="auto"/>
              </w:rPr>
              <w:t>Hilton Garden Inn Charlotte Waverly</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140" w:type="dxa"/>
            <w:vAlign w:val="bottom"/>
            <w:tcBorders>
              <w:right w:val="single" w:sz="8" w:color="auto"/>
            </w:tcBorders>
            <w:shd w:val="clear" w:color="auto" w:fill="CCCCCC"/>
          </w:tcPr>
          <w:p>
            <w:pPr>
              <w:spacing w:after="0"/>
              <w:rPr>
                <w:sz w:val="17"/>
                <w:szCs w:val="17"/>
                <w:color w:val="auto"/>
              </w:rPr>
            </w:pPr>
          </w:p>
        </w:tc>
        <w:tc>
          <w:tcPr>
            <w:tcW w:w="4900" w:type="dxa"/>
            <w:vAlign w:val="bottom"/>
            <w:gridSpan w:val="5"/>
          </w:tcPr>
          <w:p>
            <w:pPr>
              <w:ind w:left="900"/>
              <w:spacing w:after="0"/>
              <w:rPr>
                <w:sz w:val="20"/>
                <w:szCs w:val="20"/>
                <w:color w:val="auto"/>
              </w:rPr>
            </w:pPr>
            <w:r>
              <w:rPr>
                <w:rFonts w:ascii="Arial" w:cs="Arial" w:eastAsia="Arial" w:hAnsi="Arial"/>
                <w:sz w:val="14"/>
                <w:szCs w:val="14"/>
                <w:color w:val="auto"/>
              </w:rPr>
              <w:t>7415 Waverly Walk Avenue</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140" w:type="dxa"/>
            <w:vAlign w:val="bottom"/>
            <w:tcBorders>
              <w:right w:val="single" w:sz="8" w:color="auto"/>
            </w:tcBorders>
            <w:shd w:val="clear" w:color="auto" w:fill="CCCCCC"/>
          </w:tcPr>
          <w:p>
            <w:pPr>
              <w:spacing w:after="0"/>
              <w:rPr>
                <w:sz w:val="17"/>
                <w:szCs w:val="17"/>
                <w:color w:val="auto"/>
              </w:rPr>
            </w:pPr>
          </w:p>
        </w:tc>
        <w:tc>
          <w:tcPr>
            <w:tcW w:w="4900" w:type="dxa"/>
            <w:vAlign w:val="bottom"/>
            <w:gridSpan w:val="5"/>
          </w:tcPr>
          <w:p>
            <w:pPr>
              <w:ind w:left="900"/>
              <w:spacing w:after="0"/>
              <w:rPr>
                <w:sz w:val="20"/>
                <w:szCs w:val="20"/>
                <w:color w:val="auto"/>
              </w:rPr>
            </w:pPr>
            <w:r>
              <w:rPr>
                <w:rFonts w:ascii="Arial" w:cs="Arial" w:eastAsia="Arial" w:hAnsi="Arial"/>
                <w:sz w:val="14"/>
                <w:szCs w:val="14"/>
                <w:color w:val="auto"/>
              </w:rPr>
              <w:t>Charlotte, North Carolina 28227</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98"/>
        </w:trPr>
        <w:tc>
          <w:tcPr>
            <w:tcW w:w="3200" w:type="dxa"/>
            <w:vAlign w:val="bottom"/>
          </w:tcPr>
          <w:p>
            <w:pPr>
              <w:spacing w:after="0"/>
              <w:rPr>
                <w:sz w:val="24"/>
                <w:szCs w:val="24"/>
                <w:color w:val="auto"/>
              </w:rPr>
            </w:pPr>
          </w:p>
        </w:tc>
        <w:tc>
          <w:tcPr>
            <w:tcW w:w="140" w:type="dxa"/>
            <w:vAlign w:val="bottom"/>
            <w:tcBorders>
              <w:bottom w:val="single" w:sz="8" w:color="CCCCCC"/>
              <w:right w:val="single" w:sz="8" w:color="auto"/>
            </w:tcBorders>
            <w:shd w:val="clear" w:color="auto" w:fill="CCCCCC"/>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200" w:type="dxa"/>
            <w:vAlign w:val="bottom"/>
          </w:tcPr>
          <w:p>
            <w:pPr>
              <w:spacing w:after="0"/>
              <w:rPr>
                <w:sz w:val="5"/>
                <w:szCs w:val="5"/>
                <w:color w:val="auto"/>
              </w:rPr>
            </w:pPr>
          </w:p>
        </w:tc>
        <w:tc>
          <w:tcPr>
            <w:tcW w:w="140" w:type="dxa"/>
            <w:vAlign w:val="bottom"/>
            <w:tcBorders>
              <w:right w:val="single" w:sz="8" w:color="CCCCCC"/>
            </w:tcBorders>
            <w:shd w:val="clear" w:color="auto" w:fill="CCCCCC"/>
          </w:tcPr>
          <w:p>
            <w:pPr>
              <w:spacing w:after="0"/>
              <w:rPr>
                <w:sz w:val="5"/>
                <w:szCs w:val="5"/>
                <w:color w:val="auto"/>
              </w:rPr>
            </w:pPr>
          </w:p>
        </w:tc>
        <w:tc>
          <w:tcPr>
            <w:tcW w:w="1440" w:type="dxa"/>
            <w:vAlign w:val="bottom"/>
            <w:shd w:val="clear" w:color="auto" w:fill="CCCCCC"/>
          </w:tcPr>
          <w:p>
            <w:pPr>
              <w:spacing w:after="0"/>
              <w:rPr>
                <w:sz w:val="5"/>
                <w:szCs w:val="5"/>
                <w:color w:val="auto"/>
              </w:rPr>
            </w:pPr>
          </w:p>
        </w:tc>
        <w:tc>
          <w:tcPr>
            <w:tcW w:w="640" w:type="dxa"/>
            <w:vAlign w:val="bottom"/>
            <w:shd w:val="clear" w:color="auto" w:fill="CCCCCC"/>
          </w:tcPr>
          <w:p>
            <w:pPr>
              <w:spacing w:after="0"/>
              <w:rPr>
                <w:sz w:val="5"/>
                <w:szCs w:val="5"/>
                <w:color w:val="auto"/>
              </w:rPr>
            </w:pPr>
          </w:p>
        </w:tc>
        <w:tc>
          <w:tcPr>
            <w:tcW w:w="1260" w:type="dxa"/>
            <w:vAlign w:val="bottom"/>
            <w:shd w:val="clear" w:color="auto" w:fill="CCCCCC"/>
          </w:tcPr>
          <w:p>
            <w:pPr>
              <w:spacing w:after="0"/>
              <w:rPr>
                <w:sz w:val="5"/>
                <w:szCs w:val="5"/>
                <w:color w:val="auto"/>
              </w:rPr>
            </w:pPr>
          </w:p>
        </w:tc>
        <w:tc>
          <w:tcPr>
            <w:tcW w:w="1340" w:type="dxa"/>
            <w:vAlign w:val="bottom"/>
            <w:shd w:val="clear" w:color="auto" w:fill="CCCCCC"/>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3200" w:type="dxa"/>
            <w:vAlign w:val="bottom"/>
          </w:tcPr>
          <w:p>
            <w:pPr>
              <w:spacing w:after="0"/>
              <w:rPr>
                <w:sz w:val="24"/>
                <w:szCs w:val="24"/>
                <w:color w:val="auto"/>
              </w:rPr>
            </w:pPr>
          </w:p>
        </w:tc>
        <w:tc>
          <w:tcPr>
            <w:tcW w:w="5040" w:type="dxa"/>
            <w:vAlign w:val="bottom"/>
            <w:gridSpan w:val="6"/>
          </w:tcPr>
          <w:p>
            <w:pPr>
              <w:ind w:left="100"/>
              <w:spacing w:after="0"/>
              <w:rPr>
                <w:sz w:val="20"/>
                <w:szCs w:val="20"/>
                <w:color w:val="auto"/>
              </w:rPr>
            </w:pPr>
            <w:r>
              <w:rPr>
                <w:rFonts w:ascii="Arial" w:cs="Arial" w:eastAsia="Arial" w:hAnsi="Arial"/>
                <w:sz w:val="16"/>
                <w:szCs w:val="16"/>
                <w:color w:val="auto"/>
              </w:rPr>
              <w:t>You are receiving this communication because you hold shares in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2220" w:type="dxa"/>
            <w:vAlign w:val="bottom"/>
            <w:gridSpan w:val="3"/>
          </w:tcPr>
          <w:p>
            <w:pPr>
              <w:ind w:left="100"/>
              <w:spacing w:after="0"/>
              <w:rPr>
                <w:sz w:val="20"/>
                <w:szCs w:val="20"/>
                <w:color w:val="auto"/>
              </w:rPr>
            </w:pPr>
            <w:r>
              <w:rPr>
                <w:rFonts w:ascii="Arial" w:cs="Arial" w:eastAsia="Arial" w:hAnsi="Arial"/>
                <w:sz w:val="16"/>
                <w:szCs w:val="16"/>
                <w:color w:val="auto"/>
              </w:rPr>
              <w:t>the above named company.</w:t>
            </w:r>
          </w:p>
        </w:tc>
        <w:tc>
          <w:tcPr>
            <w:tcW w:w="1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3200" w:type="dxa"/>
            <w:vAlign w:val="bottom"/>
          </w:tcPr>
          <w:p>
            <w:pPr>
              <w:spacing w:after="0"/>
              <w:rPr>
                <w:sz w:val="24"/>
                <w:szCs w:val="24"/>
                <w:color w:val="auto"/>
              </w:rPr>
            </w:pPr>
          </w:p>
        </w:tc>
        <w:tc>
          <w:tcPr>
            <w:tcW w:w="5040" w:type="dxa"/>
            <w:vAlign w:val="bottom"/>
            <w:gridSpan w:val="6"/>
          </w:tcPr>
          <w:p>
            <w:pPr>
              <w:ind w:left="100"/>
              <w:spacing w:after="0"/>
              <w:rPr>
                <w:sz w:val="20"/>
                <w:szCs w:val="20"/>
                <w:color w:val="auto"/>
              </w:rPr>
            </w:pPr>
            <w:r>
              <w:rPr>
                <w:rFonts w:ascii="Arial" w:cs="Arial" w:eastAsia="Arial" w:hAnsi="Arial"/>
                <w:sz w:val="16"/>
                <w:szCs w:val="16"/>
                <w:color w:val="auto"/>
              </w:rPr>
              <w:t>This is not a ballot. You cannot use this notice to vote these shares.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5040" w:type="dxa"/>
            <w:vAlign w:val="bottom"/>
            <w:gridSpan w:val="6"/>
          </w:tcPr>
          <w:p>
            <w:pPr>
              <w:ind w:left="100"/>
              <w:spacing w:after="0"/>
              <w:rPr>
                <w:sz w:val="20"/>
                <w:szCs w:val="20"/>
                <w:color w:val="auto"/>
              </w:rPr>
            </w:pPr>
            <w:r>
              <w:rPr>
                <w:rFonts w:ascii="Arial" w:cs="Arial" w:eastAsia="Arial" w:hAnsi="Arial"/>
                <w:sz w:val="16"/>
                <w:szCs w:val="16"/>
                <w:color w:val="auto"/>
              </w:rPr>
              <w:t>This  communication  presents  only  an  overview  of  the  more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5040" w:type="dxa"/>
            <w:vAlign w:val="bottom"/>
            <w:gridSpan w:val="6"/>
          </w:tcPr>
          <w:p>
            <w:pPr>
              <w:ind w:left="100"/>
              <w:spacing w:after="0" w:line="173" w:lineRule="exact"/>
              <w:rPr>
                <w:sz w:val="20"/>
                <w:szCs w:val="20"/>
                <w:color w:val="auto"/>
              </w:rPr>
            </w:pPr>
            <w:r>
              <w:rPr>
                <w:rFonts w:ascii="Arial" w:cs="Arial" w:eastAsia="Arial" w:hAnsi="Arial"/>
                <w:sz w:val="16"/>
                <w:szCs w:val="16"/>
                <w:color w:val="auto"/>
              </w:rPr>
              <w:t>complete proxy materials that are available to you on the Internet.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200" w:type="dxa"/>
            <w:vAlign w:val="bottom"/>
          </w:tcPr>
          <w:p>
            <w:pPr>
              <w:spacing w:after="0"/>
              <w:rPr>
                <w:sz w:val="17"/>
                <w:szCs w:val="17"/>
                <w:color w:val="auto"/>
              </w:rPr>
            </w:pPr>
          </w:p>
        </w:tc>
        <w:tc>
          <w:tcPr>
            <w:tcW w:w="5040" w:type="dxa"/>
            <w:vAlign w:val="bottom"/>
            <w:gridSpan w:val="6"/>
          </w:tcPr>
          <w:p>
            <w:pPr>
              <w:ind w:left="100"/>
              <w:spacing w:after="0"/>
              <w:rPr>
                <w:sz w:val="20"/>
                <w:szCs w:val="20"/>
                <w:color w:val="auto"/>
              </w:rPr>
            </w:pPr>
            <w:r>
              <w:rPr>
                <w:rFonts w:ascii="Arial" w:cs="Arial" w:eastAsia="Arial" w:hAnsi="Arial"/>
                <w:sz w:val="16"/>
                <w:szCs w:val="16"/>
                <w:color w:val="auto"/>
              </w:rPr>
              <w:t xml:space="preserve">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5040" w:type="dxa"/>
            <w:vAlign w:val="bottom"/>
            <w:gridSpan w:val="6"/>
          </w:tcPr>
          <w:p>
            <w:pPr>
              <w:ind w:left="100"/>
              <w:spacing w:after="0"/>
              <w:rPr>
                <w:sz w:val="20"/>
                <w:szCs w:val="20"/>
                <w:color w:val="auto"/>
              </w:rPr>
            </w:pPr>
            <w:r>
              <w:rPr>
                <w:rFonts w:ascii="Arial" w:cs="Arial" w:eastAsia="Arial" w:hAnsi="Arial"/>
                <w:sz w:val="16"/>
                <w:szCs w:val="16"/>
                <w:color w:val="auto"/>
              </w:rPr>
              <w:t>easily request a paper copy (see reverse side).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3200" w:type="dxa"/>
            <w:vAlign w:val="bottom"/>
          </w:tcPr>
          <w:p>
            <w:pPr>
              <w:spacing w:after="0"/>
              <w:rPr>
                <w:sz w:val="24"/>
                <w:szCs w:val="24"/>
                <w:color w:val="auto"/>
              </w:rPr>
            </w:pPr>
          </w:p>
        </w:tc>
        <w:tc>
          <w:tcPr>
            <w:tcW w:w="5040" w:type="dxa"/>
            <w:vAlign w:val="bottom"/>
            <w:gridSpan w:val="6"/>
          </w:tcPr>
          <w:p>
            <w:pPr>
              <w:ind w:left="100"/>
              <w:spacing w:after="0"/>
              <w:rPr>
                <w:sz w:val="20"/>
                <w:szCs w:val="20"/>
                <w:color w:val="auto"/>
              </w:rPr>
            </w:pPr>
            <w:r>
              <w:rPr>
                <w:rFonts w:ascii="Arial" w:cs="Arial" w:eastAsia="Arial" w:hAnsi="Arial"/>
                <w:sz w:val="16"/>
                <w:szCs w:val="16"/>
                <w:color w:val="auto"/>
              </w:rPr>
              <w:t>We encourage you to access and review all of the important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5040" w:type="dxa"/>
            <w:vAlign w:val="bottom"/>
            <w:gridSpan w:val="6"/>
          </w:tcPr>
          <w:p>
            <w:pPr>
              <w:ind w:left="100"/>
              <w:spacing w:after="0"/>
              <w:rPr>
                <w:sz w:val="20"/>
                <w:szCs w:val="20"/>
                <w:color w:val="auto"/>
              </w:rPr>
            </w:pPr>
            <w:r>
              <w:rPr>
                <w:rFonts w:ascii="Arial" w:cs="Arial" w:eastAsia="Arial" w:hAnsi="Arial"/>
                <w:sz w:val="16"/>
                <w:szCs w:val="16"/>
                <w:color w:val="auto"/>
              </w:rPr>
              <w:t>information contained in the proxy materials before voting.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900" w:type="dxa"/>
            <w:vAlign w:val="bottom"/>
            <w:gridSpan w:val="2"/>
          </w:tcPr>
          <w:p>
            <w:pPr>
              <w:spacing w:after="0"/>
              <w:rPr>
                <w:sz w:val="11"/>
                <w:szCs w:val="11"/>
                <w:color w:val="auto"/>
              </w:rPr>
            </w:pPr>
          </w:p>
        </w:tc>
        <w:tc>
          <w:tcPr>
            <w:tcW w:w="15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900" w:type="dxa"/>
            <w:vAlign w:val="bottom"/>
            <w:gridSpan w:val="5"/>
            <w:shd w:val="clear" w:color="auto" w:fill="000000"/>
          </w:tcPr>
          <w:p>
            <w:pPr>
              <w:ind w:left="80"/>
              <w:spacing w:after="0" w:line="188" w:lineRule="exact"/>
              <w:rPr>
                <w:sz w:val="20"/>
                <w:szCs w:val="20"/>
                <w:color w:val="auto"/>
              </w:rPr>
            </w:pPr>
            <w:r>
              <w:rPr>
                <w:rFonts w:ascii="Arial" w:cs="Arial" w:eastAsia="Arial" w:hAnsi="Arial"/>
                <w:sz w:val="20"/>
                <w:szCs w:val="20"/>
                <w:b w:val="1"/>
                <w:bCs w:val="1"/>
                <w:color w:val="FFFFFF"/>
              </w:rPr>
              <w:t>See the reverse side of this notice to obtain proxy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2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4900" w:type="dxa"/>
            <w:vAlign w:val="bottom"/>
            <w:gridSpan w:val="5"/>
            <w:shd w:val="clear" w:color="auto" w:fill="000000"/>
          </w:tcPr>
          <w:p>
            <w:pPr>
              <w:ind w:left="80"/>
              <w:spacing w:after="0"/>
              <w:rPr>
                <w:sz w:val="20"/>
                <w:szCs w:val="20"/>
                <w:color w:val="auto"/>
              </w:rPr>
            </w:pPr>
            <w:r>
              <w:rPr>
                <w:rFonts w:ascii="Arial" w:cs="Arial" w:eastAsia="Arial" w:hAnsi="Arial"/>
                <w:sz w:val="20"/>
                <w:szCs w:val="20"/>
                <w:b w:val="1"/>
                <w:bCs w:val="1"/>
                <w:color w:val="FFFFFF"/>
              </w:rPr>
              <w:t>materials and voting instructions.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440" w:type="dxa"/>
            <w:vAlign w:val="bottom"/>
            <w:shd w:val="clear" w:color="auto" w:fill="000000"/>
          </w:tcPr>
          <w:p>
            <w:pPr>
              <w:spacing w:after="0"/>
              <w:rPr>
                <w:sz w:val="3"/>
                <w:szCs w:val="3"/>
                <w:color w:val="auto"/>
              </w:rPr>
            </w:pPr>
          </w:p>
        </w:tc>
        <w:tc>
          <w:tcPr>
            <w:tcW w:w="640" w:type="dxa"/>
            <w:vAlign w:val="bottom"/>
            <w:shd w:val="clear" w:color="auto" w:fill="000000"/>
          </w:tcPr>
          <w:p>
            <w:pPr>
              <w:spacing w:after="0"/>
              <w:rPr>
                <w:sz w:val="3"/>
                <w:szCs w:val="3"/>
                <w:color w:val="auto"/>
              </w:rPr>
            </w:pPr>
          </w:p>
        </w:tc>
        <w:tc>
          <w:tcPr>
            <w:tcW w:w="1260" w:type="dxa"/>
            <w:vAlign w:val="bottom"/>
            <w:shd w:val="clear" w:color="auto" w:fill="000000"/>
          </w:tcPr>
          <w:p>
            <w:pPr>
              <w:spacing w:after="0"/>
              <w:rPr>
                <w:sz w:val="3"/>
                <w:szCs w:val="3"/>
                <w:color w:val="auto"/>
              </w:rPr>
            </w:pPr>
          </w:p>
        </w:tc>
        <w:tc>
          <w:tcPr>
            <w:tcW w:w="1340" w:type="dxa"/>
            <w:vAlign w:val="bottom"/>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920" w:space="280"/>
            <w:col w:w="9060"/>
          </w:cols>
          <w:pgMar w:left="1220" w:top="251" w:right="419" w:bottom="1440" w:gutter="0" w:footer="0" w:header="0"/>
        </w:sectPr>
      </w:pPr>
    </w:p>
    <w:bookmarkStart w:id="3" w:name="page4"/>
    <w:bookmarkEnd w:id="3"/>
    <w:p>
      <w:pPr>
        <w:ind w:left="31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72"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40640</wp:posOffset>
            </wp:positionV>
            <wp:extent cx="7006590" cy="2504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6590" cy="2504440"/>
                    </a:xfrm>
                    <a:prstGeom prst="rect">
                      <a:avLst/>
                    </a:prstGeom>
                    <a:noFill/>
                  </pic:spPr>
                </pic:pic>
              </a:graphicData>
            </a:graphic>
          </wp:anchor>
        </w:drawing>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72" w:lineRule="exact"/>
        <w:rPr>
          <w:sz w:val="20"/>
          <w:szCs w:val="20"/>
          <w:color w:val="auto"/>
        </w:rPr>
      </w:pPr>
    </w:p>
    <w:p>
      <w:pPr>
        <w:ind w:left="20"/>
        <w:spacing w:after="0"/>
        <w:tabs>
          <w:tab w:leader="none" w:pos="2720" w:val="left"/>
        </w:tabs>
        <w:rPr>
          <w:sz w:val="20"/>
          <w:szCs w:val="20"/>
          <w:color w:val="auto"/>
        </w:rPr>
      </w:pPr>
      <w:r>
        <w:rPr>
          <w:rFonts w:ascii="Arial" w:cs="Arial" w:eastAsia="Arial" w:hAnsi="Arial"/>
          <w:sz w:val="18"/>
          <w:szCs w:val="18"/>
          <w:color w:val="auto"/>
        </w:rPr>
        <w:t>1. Notice &amp; Proxy Statement</w:t>
      </w:r>
      <w:r>
        <w:rPr>
          <w:sz w:val="20"/>
          <w:szCs w:val="20"/>
          <w:color w:val="auto"/>
        </w:rPr>
        <w:tab/>
      </w:r>
      <w:r>
        <w:rPr>
          <w:rFonts w:ascii="Arial" w:cs="Arial" w:eastAsia="Arial" w:hAnsi="Arial"/>
          <w:sz w:val="18"/>
          <w:szCs w:val="18"/>
          <w:color w:val="auto"/>
        </w:rPr>
        <w:t>2. Form 10-K</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How to View Online: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406525" cy="19748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6525" cy="197485"/>
                    </a:xfrm>
                    <a:prstGeom prst="rect">
                      <a:avLst/>
                    </a:prstGeom>
                    <a:noFill/>
                    <a:ln>
                      <a:noFill/>
                    </a:ln>
                  </pic:spPr>
                </pic:pic>
              </a:graphicData>
            </a:graphic>
          </wp:inline>
        </w:drawing>
      </w:r>
      <w:r>
        <w:rPr>
          <w:rFonts w:ascii="Arial" w:cs="Arial" w:eastAsia="Arial" w:hAnsi="Arial"/>
          <w:sz w:val="18"/>
          <w:szCs w:val="18"/>
          <w:color w:val="auto"/>
        </w:rPr>
        <w:t xml:space="preserve"> (located on the following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and visit: </w:t>
      </w:r>
      <w:r>
        <w:rPr>
          <w:rFonts w:ascii="Arial" w:cs="Arial" w:eastAsia="Arial" w:hAnsi="Arial"/>
          <w:sz w:val="18"/>
          <w:szCs w:val="18"/>
          <w:i w:val="1"/>
          <w:iCs w:val="1"/>
          <w:color w:val="auto"/>
        </w:rPr>
        <w:t>www.proxyvote.com.</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tbl>
      <w:tblPr>
        <w:tblLayout w:type="fixed"/>
        <w:tblInd w:w="1560" w:type="dxa"/>
        <w:tblCellMar>
          <w:top w:w="0" w:type="dxa"/>
          <w:left w:w="0" w:type="dxa"/>
          <w:bottom w:w="0" w:type="dxa"/>
          <w:right w:w="0" w:type="dxa"/>
        </w:tblCellMar>
      </w:tblPr>
      <w:tr>
        <w:trPr>
          <w:trHeight w:val="206"/>
        </w:trPr>
        <w:tc>
          <w:tcPr>
            <w:tcW w:w="200" w:type="dxa"/>
            <w:vAlign w:val="bottom"/>
          </w:tcPr>
          <w:p>
            <w:pPr>
              <w:jc w:val="right"/>
              <w:spacing w:after="0" w:line="206" w:lineRule="exact"/>
              <w:rPr>
                <w:sz w:val="20"/>
                <w:szCs w:val="20"/>
                <w:color w:val="auto"/>
              </w:rPr>
            </w:pPr>
            <w:r>
              <w:rPr>
                <w:rFonts w:ascii="Arial" w:cs="Arial" w:eastAsia="Arial" w:hAnsi="Arial"/>
                <w:sz w:val="18"/>
                <w:szCs w:val="18"/>
                <w:color w:val="auto"/>
                <w:w w:val="87"/>
              </w:rPr>
              <w:t>1)</w:t>
            </w:r>
          </w:p>
        </w:tc>
        <w:tc>
          <w:tcPr>
            <w:tcW w:w="1580" w:type="dxa"/>
            <w:vAlign w:val="bottom"/>
          </w:tcPr>
          <w:p>
            <w:pPr>
              <w:ind w:left="20"/>
              <w:spacing w:after="0" w:line="206" w:lineRule="exact"/>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540" w:type="dxa"/>
            <w:vAlign w:val="bottom"/>
          </w:tcPr>
          <w:p>
            <w:pPr>
              <w:ind w:left="120"/>
              <w:spacing w:after="0" w:line="206" w:lineRule="exact"/>
              <w:rPr>
                <w:sz w:val="20"/>
                <w:szCs w:val="20"/>
                <w:color w:val="auto"/>
              </w:rPr>
            </w:pPr>
            <w:r>
              <w:rPr>
                <w:rFonts w:ascii="Arial" w:cs="Arial" w:eastAsia="Arial" w:hAnsi="Arial"/>
                <w:sz w:val="18"/>
                <w:szCs w:val="18"/>
                <w:color w:val="auto"/>
              </w:rPr>
              <w:t>www.proxyvote.com</w:t>
            </w:r>
          </w:p>
        </w:tc>
      </w:tr>
      <w:tr>
        <w:trPr>
          <w:trHeight w:val="203"/>
        </w:trPr>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87"/>
              </w:rPr>
              <w:t>2)</w:t>
            </w:r>
          </w:p>
        </w:tc>
        <w:tc>
          <w:tcPr>
            <w:tcW w:w="158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540" w:type="dxa"/>
            <w:vAlign w:val="bottom"/>
          </w:tcPr>
          <w:p>
            <w:pPr>
              <w:ind w:left="120"/>
              <w:spacing w:after="0" w:line="202" w:lineRule="exact"/>
              <w:rPr>
                <w:sz w:val="20"/>
                <w:szCs w:val="20"/>
                <w:color w:val="auto"/>
              </w:rPr>
            </w:pPr>
            <w:r>
              <w:rPr>
                <w:rFonts w:ascii="Arial" w:cs="Arial" w:eastAsia="Arial" w:hAnsi="Arial"/>
                <w:sz w:val="18"/>
                <w:szCs w:val="18"/>
                <w:color w:val="auto"/>
              </w:rPr>
              <w:t>1-800-579-1639</w:t>
            </w:r>
          </w:p>
        </w:tc>
      </w:tr>
      <w:tr>
        <w:trPr>
          <w:trHeight w:val="235"/>
        </w:trPr>
        <w:tc>
          <w:tcPr>
            <w:tcW w:w="200" w:type="dxa"/>
            <w:vAlign w:val="bottom"/>
          </w:tcPr>
          <w:p>
            <w:pPr>
              <w:jc w:val="right"/>
              <w:spacing w:after="0"/>
              <w:rPr>
                <w:sz w:val="20"/>
                <w:szCs w:val="20"/>
                <w:color w:val="auto"/>
              </w:rPr>
            </w:pPr>
            <w:r>
              <w:rPr>
                <w:rFonts w:ascii="Arial" w:cs="Arial" w:eastAsia="Arial" w:hAnsi="Arial"/>
                <w:sz w:val="18"/>
                <w:szCs w:val="18"/>
                <w:color w:val="auto"/>
                <w:w w:val="87"/>
              </w:rPr>
              <w:t>3)</w:t>
            </w:r>
          </w:p>
        </w:tc>
        <w:tc>
          <w:tcPr>
            <w:tcW w:w="1580" w:type="dxa"/>
            <w:vAlign w:val="bottom"/>
          </w:tcPr>
          <w:p>
            <w:pPr>
              <w:ind w:left="2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540" w:type="dxa"/>
            <w:vAlign w:val="bottom"/>
          </w:tcPr>
          <w:p>
            <w:pPr>
              <w:ind w:left="140"/>
              <w:spacing w:after="0"/>
              <w:rPr>
                <w:sz w:val="20"/>
                <w:szCs w:val="20"/>
                <w:color w:val="auto"/>
              </w:rPr>
            </w:pPr>
            <w:r>
              <w:rPr>
                <w:rFonts w:ascii="Arial" w:cs="Arial" w:eastAsia="Arial" w:hAnsi="Arial"/>
                <w:sz w:val="18"/>
                <w:szCs w:val="18"/>
                <w:color w:val="auto"/>
                <w:w w:val="99"/>
              </w:rPr>
              <w:t>sendmaterial@proxyvote.com</w:t>
            </w:r>
          </w:p>
        </w:tc>
      </w:tr>
    </w:tbl>
    <w:p>
      <w:pPr>
        <w:spacing w:after="0" w:line="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w:t>
        <w:tab/>
        <w:t>If requesting materials by e-mail, please send a blank e-mail with the information that is printed in the box marked by the</w:t>
      </w:r>
    </w:p>
    <w:p>
      <w:pPr>
        <w:spacing w:after="0"/>
        <w:rPr>
          <w:sz w:val="20"/>
          <w:szCs w:val="20"/>
          <w:color w:val="auto"/>
        </w:rPr>
      </w:pPr>
      <w:r>
        <w:rPr>
          <w:rFonts w:ascii="Arial" w:cs="Arial" w:eastAsia="Arial" w:hAnsi="Arial"/>
          <w:sz w:val="18"/>
          <w:szCs w:val="18"/>
          <w:color w:val="auto"/>
        </w:rPr>
        <w:t xml:space="preserve">arrow </w:t>
      </w:r>
      <w:r>
        <w:rPr>
          <w:sz w:val="1"/>
          <w:szCs w:val="1"/>
          <w:color w:val="auto"/>
        </w:rPr>
        <w:drawing>
          <wp:inline distT="0" distB="0" distL="0" distR="0">
            <wp:extent cx="1406525" cy="19748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06525" cy="19748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w:t>
      </w:r>
    </w:p>
    <w:p>
      <w:pPr>
        <w:spacing w:after="0"/>
        <w:rPr>
          <w:sz w:val="20"/>
          <w:szCs w:val="20"/>
          <w:color w:val="auto"/>
        </w:rPr>
      </w:pPr>
      <w:r>
        <w:rPr>
          <w:rFonts w:ascii="Arial" w:cs="Arial" w:eastAsia="Arial" w:hAnsi="Arial"/>
          <w:sz w:val="18"/>
          <w:szCs w:val="18"/>
          <w:color w:val="auto"/>
        </w:rPr>
        <w:t>Please make the request as instructed above on or before May 02, 2019 to facilitate timely delivery.</w:t>
      </w:r>
    </w:p>
    <w:p>
      <w:pPr>
        <w:spacing w:after="0" w:line="200" w:lineRule="exact"/>
        <w:rPr>
          <w:sz w:val="20"/>
          <w:szCs w:val="20"/>
          <w:color w:val="auto"/>
        </w:rPr>
      </w:pPr>
    </w:p>
    <w:p>
      <w:pPr>
        <w:spacing w:after="0" w:line="241" w:lineRule="exact"/>
        <w:rPr>
          <w:sz w:val="20"/>
          <w:szCs w:val="20"/>
          <w:color w:val="auto"/>
        </w:rPr>
      </w:pPr>
    </w:p>
    <w:p>
      <w:pPr>
        <w:jc w:val="center"/>
        <w:ind w:right="80"/>
        <w:spacing w:after="0"/>
        <w:rPr>
          <w:sz w:val="20"/>
          <w:szCs w:val="20"/>
          <w:color w:val="auto"/>
        </w:rPr>
      </w:pPr>
      <w:r>
        <w:rPr>
          <w:rFonts w:ascii="Arial" w:cs="Arial" w:eastAsia="Arial" w:hAnsi="Arial"/>
          <w:sz w:val="32"/>
          <w:szCs w:val="32"/>
          <w:b w:val="1"/>
          <w:bCs w:val="1"/>
          <w:color w:val="auto"/>
        </w:rPr>
        <w:t>— How To Vote —</w:t>
      </w:r>
    </w:p>
    <w:p>
      <w:pPr>
        <w:spacing w:after="0" w:line="72"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-69850</wp:posOffset>
            </wp:positionV>
            <wp:extent cx="7006590" cy="16033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6590" cy="1603375"/>
                    </a:xfrm>
                    <a:prstGeom prst="rect">
                      <a:avLst/>
                    </a:prstGeom>
                    <a:noFill/>
                  </pic:spPr>
                </pic:pic>
              </a:graphicData>
            </a:graphic>
          </wp:anchor>
        </w:drawing>
      </w:r>
    </w:p>
    <w:p>
      <w:pPr>
        <w:spacing w:after="0" w:line="237" w:lineRule="exact"/>
        <w:rPr>
          <w:sz w:val="20"/>
          <w:szCs w:val="20"/>
          <w:color w:val="auto"/>
        </w:rPr>
      </w:pPr>
    </w:p>
    <w:p>
      <w:pPr>
        <w:jc w:val="both"/>
        <w:ind w:left="100"/>
        <w:spacing w:after="0" w:line="253"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stockholder meetings have attendance requirements including, but not limited to, the possession of</w:t>
      </w:r>
      <w:r>
        <w:rPr>
          <w:rFonts w:ascii="Arial" w:cs="Arial" w:eastAsia="Arial" w:hAnsi="Arial"/>
          <w:sz w:val="18"/>
          <w:szCs w:val="18"/>
          <w:b w:val="1"/>
          <w:bCs w:val="1"/>
          <w:color w:val="auto"/>
        </w:rPr>
        <w:t xml:space="preserve"> </w:t>
      </w:r>
      <w:r>
        <w:rPr>
          <w:rFonts w:ascii="Arial" w:cs="Arial" w:eastAsia="Arial" w:hAnsi="Arial"/>
          <w:sz w:val="18"/>
          <w:szCs w:val="18"/>
          <w:color w:val="auto"/>
        </w:rPr>
        <w:t>an attendance ticket issued by the entity holding the meeting. Please check the meeting materials for any special requirements for meeting attendance. At the meeting, you will need to request a ballot to vote these shares.</w:t>
      </w:r>
    </w:p>
    <w:p>
      <w:pPr>
        <w:spacing w:after="0" w:line="7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by the arrow </w:t>
      </w:r>
      <w:r>
        <w:rPr>
          <w:sz w:val="1"/>
          <w:szCs w:val="1"/>
          <w:color w:val="auto"/>
        </w:rPr>
        <w:drawing>
          <wp:inline distT="0" distB="0" distL="0" distR="0">
            <wp:extent cx="1406525" cy="19748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06525" cy="197485"/>
                    </a:xfrm>
                    <a:prstGeom prst="rect">
                      <a:avLst/>
                    </a:prstGeom>
                    <a:noFill/>
                    <a:ln>
                      <a:noFill/>
                    </a:ln>
                  </pic:spPr>
                </pic:pic>
              </a:graphicData>
            </a:graphic>
          </wp:inline>
        </w:drawing>
      </w:r>
      <w:r>
        <w:rPr>
          <w:rFonts w:ascii="Arial" w:cs="Arial" w:eastAsia="Arial" w:hAnsi="Arial"/>
          <w:sz w:val="18"/>
          <w:szCs w:val="18"/>
          <w:color w:val="auto"/>
        </w:rPr>
        <w:t xml:space="preserve"> available and follow the instructions.</w:t>
      </w:r>
    </w:p>
    <w:p>
      <w:pPr>
        <w:spacing w:after="0" w:line="10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040"/>
          </w:cols>
          <w:pgMar w:left="1200" w:top="247" w:right="659" w:bottom="1440" w:gutter="0" w:footer="0" w:header="0"/>
        </w:sectPr>
      </w:pPr>
    </w:p>
    <w:bookmarkStart w:id="4" w:name="page5"/>
    <w:bookmarkEnd w:id="4"/>
    <w:p>
      <w:pPr>
        <w:ind w:left="1082"/>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474980</wp:posOffset>
            </wp:positionH>
            <wp:positionV relativeFrom="page">
              <wp:posOffset>183515</wp:posOffset>
            </wp:positionV>
            <wp:extent cx="210947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09470" cy="171450"/>
                    </a:xfrm>
                    <a:prstGeom prst="rect">
                      <a:avLst/>
                    </a:prstGeom>
                    <a:noFill/>
                  </pic:spPr>
                </pic:pic>
              </a:graphicData>
            </a:graphic>
          </wp:anchor>
        </w:drawing>
        <w:t>Voting items</w:t>
      </w:r>
    </w:p>
    <w:p>
      <w:pPr>
        <w:spacing w:after="0" w:line="127"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The Board of Directors recommends you vote</w:t>
      </w:r>
    </w:p>
    <w:p>
      <w:pPr>
        <w:spacing w:after="0" w:line="2"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FOR the following:</w:t>
      </w:r>
    </w:p>
    <w:p>
      <w:pPr>
        <w:spacing w:after="0" w:line="175" w:lineRule="exact"/>
        <w:rPr>
          <w:sz w:val="20"/>
          <w:szCs w:val="20"/>
          <w:color w:val="auto"/>
        </w:rPr>
      </w:pPr>
    </w:p>
    <w:p>
      <w:pPr>
        <w:ind w:left="262" w:hanging="262"/>
        <w:spacing w:after="0"/>
        <w:tabs>
          <w:tab w:leader="none" w:pos="262" w:val="left"/>
        </w:tabs>
        <w:numPr>
          <w:ilvl w:val="0"/>
          <w:numId w:val="7"/>
        </w:numPr>
        <w:rPr>
          <w:rFonts w:ascii="Arial" w:cs="Arial" w:eastAsia="Arial" w:hAnsi="Arial"/>
          <w:sz w:val="13"/>
          <w:szCs w:val="13"/>
          <w:b w:val="1"/>
          <w:bCs w:val="1"/>
          <w:color w:val="auto"/>
        </w:rPr>
      </w:pPr>
      <w:r>
        <w:rPr>
          <w:rFonts w:ascii="Arial" w:cs="Arial" w:eastAsia="Arial" w:hAnsi="Arial"/>
          <w:sz w:val="13"/>
          <w:szCs w:val="13"/>
          <w:color w:val="auto"/>
        </w:rPr>
        <w:t>Election of Directors</w:t>
      </w:r>
    </w:p>
    <w:p>
      <w:pPr>
        <w:spacing w:after="0" w:line="105" w:lineRule="exact"/>
        <w:rPr>
          <w:sz w:val="20"/>
          <w:szCs w:val="20"/>
          <w:color w:val="auto"/>
        </w:rPr>
      </w:pPr>
    </w:p>
    <w:p>
      <w:pPr>
        <w:ind w:left="262"/>
        <w:spacing w:after="0"/>
        <w:rPr>
          <w:sz w:val="20"/>
          <w:szCs w:val="20"/>
          <w:color w:val="auto"/>
        </w:rPr>
      </w:pPr>
      <w:r>
        <w:rPr>
          <w:rFonts w:ascii="Arial" w:cs="Arial" w:eastAsia="Arial" w:hAnsi="Arial"/>
          <w:sz w:val="13"/>
          <w:szCs w:val="13"/>
          <w:b w:val="1"/>
          <w:bCs w:val="1"/>
          <w:color w:val="auto"/>
        </w:rPr>
        <w:t>Nominees</w:t>
      </w:r>
    </w:p>
    <w:p>
      <w:pPr>
        <w:spacing w:after="0" w:line="123" w:lineRule="exact"/>
        <w:rPr>
          <w:sz w:val="20"/>
          <w:szCs w:val="20"/>
          <w:color w:val="auto"/>
        </w:rPr>
      </w:pPr>
    </w:p>
    <w:p>
      <w:pPr>
        <w:ind w:left="2"/>
        <w:spacing w:after="0"/>
        <w:tabs>
          <w:tab w:leader="none" w:pos="1882" w:val="left"/>
          <w:tab w:leader="none" w:pos="2162" w:val="left"/>
        </w:tabs>
        <w:rPr>
          <w:sz w:val="20"/>
          <w:szCs w:val="20"/>
          <w:color w:val="auto"/>
        </w:rPr>
      </w:pPr>
      <w:r>
        <w:rPr>
          <w:rFonts w:ascii="Arial" w:cs="Arial" w:eastAsia="Arial" w:hAnsi="Arial"/>
          <w:sz w:val="13"/>
          <w:szCs w:val="13"/>
          <w:color w:val="auto"/>
        </w:rPr>
        <w:t>01. David K. Floyd</w:t>
      </w:r>
      <w:r>
        <w:rPr>
          <w:sz w:val="20"/>
          <w:szCs w:val="20"/>
          <w:color w:val="auto"/>
        </w:rPr>
        <w:tab/>
      </w:r>
      <w:r>
        <w:rPr>
          <w:rFonts w:ascii="Arial" w:cs="Arial" w:eastAsia="Arial" w:hAnsi="Arial"/>
          <w:sz w:val="13"/>
          <w:szCs w:val="13"/>
          <w:color w:val="auto"/>
        </w:rPr>
        <w:t>02.</w:t>
      </w:r>
      <w:r>
        <w:rPr>
          <w:sz w:val="20"/>
          <w:szCs w:val="20"/>
          <w:color w:val="auto"/>
        </w:rPr>
        <w:tab/>
      </w:r>
      <w:r>
        <w:rPr>
          <w:rFonts w:ascii="Arial" w:cs="Arial" w:eastAsia="Arial" w:hAnsi="Arial"/>
          <w:sz w:val="12"/>
          <w:szCs w:val="12"/>
          <w:color w:val="auto"/>
        </w:rPr>
        <w:t>Janice E. Stipp</w:t>
      </w:r>
    </w:p>
    <w:p>
      <w:pPr>
        <w:spacing w:after="0" w:line="200" w:lineRule="exact"/>
        <w:rPr>
          <w:sz w:val="20"/>
          <w:szCs w:val="20"/>
          <w:color w:val="auto"/>
        </w:rPr>
      </w:pPr>
    </w:p>
    <w:p>
      <w:pPr>
        <w:spacing w:after="0" w:line="202"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The Board of Directors recommends you vote FOR proposals 2, 3, 4, 5 and 6.</w:t>
      </w:r>
    </w:p>
    <w:p>
      <w:pPr>
        <w:spacing w:after="0" w:line="110" w:lineRule="exact"/>
        <w:rPr>
          <w:sz w:val="20"/>
          <w:szCs w:val="20"/>
          <w:color w:val="auto"/>
        </w:rPr>
      </w:pPr>
    </w:p>
    <w:p>
      <w:pPr>
        <w:ind w:left="242" w:hanging="242"/>
        <w:spacing w:after="0"/>
        <w:tabs>
          <w:tab w:leader="none" w:pos="242" w:val="left"/>
        </w:tabs>
        <w:numPr>
          <w:ilvl w:val="0"/>
          <w:numId w:val="8"/>
        </w:numPr>
        <w:rPr>
          <w:rFonts w:ascii="Arial" w:cs="Arial" w:eastAsia="Arial" w:hAnsi="Arial"/>
          <w:sz w:val="13"/>
          <w:szCs w:val="13"/>
          <w:b w:val="1"/>
          <w:bCs w:val="1"/>
          <w:color w:val="auto"/>
        </w:rPr>
      </w:pPr>
      <w:r>
        <w:rPr>
          <w:rFonts w:ascii="Arial" w:cs="Arial" w:eastAsia="Arial" w:hAnsi="Arial"/>
          <w:sz w:val="13"/>
          <w:szCs w:val="13"/>
          <w:color w:val="auto"/>
        </w:rPr>
        <w:t>Amendment to the Certificate of Incorporation to declassify the Board of Directors.</w:t>
      </w:r>
    </w:p>
    <w:p>
      <w:pPr>
        <w:spacing w:after="0" w:line="93" w:lineRule="exact"/>
        <w:rPr>
          <w:rFonts w:ascii="Arial" w:cs="Arial" w:eastAsia="Arial" w:hAnsi="Arial"/>
          <w:sz w:val="13"/>
          <w:szCs w:val="13"/>
          <w:b w:val="1"/>
          <w:bCs w:val="1"/>
          <w:color w:val="auto"/>
        </w:rPr>
      </w:pPr>
    </w:p>
    <w:p>
      <w:pPr>
        <w:ind w:left="262" w:right="3219" w:hanging="262"/>
        <w:spacing w:after="0" w:line="230" w:lineRule="auto"/>
        <w:tabs>
          <w:tab w:leader="none" w:pos="245" w:val="left"/>
        </w:tabs>
        <w:numPr>
          <w:ilvl w:val="0"/>
          <w:numId w:val="8"/>
        </w:numPr>
        <w:rPr>
          <w:rFonts w:ascii="Arial" w:cs="Arial" w:eastAsia="Arial" w:hAnsi="Arial"/>
          <w:sz w:val="13"/>
          <w:szCs w:val="13"/>
          <w:b w:val="1"/>
          <w:bCs w:val="1"/>
          <w:color w:val="auto"/>
        </w:rPr>
      </w:pPr>
      <w:r>
        <w:rPr>
          <w:rFonts w:ascii="Arial" w:cs="Arial" w:eastAsia="Arial" w:hAnsi="Arial"/>
          <w:sz w:val="13"/>
          <w:szCs w:val="13"/>
          <w:color w:val="auto"/>
        </w:rPr>
        <w:t>Amendment to the Certificate of Incorporation to increase the number of authorized shares of common stock, $.01 par value per share, from 45,000,000 to 90,000,000.</w:t>
      </w:r>
    </w:p>
    <w:p>
      <w:pPr>
        <w:spacing w:after="0" w:line="105" w:lineRule="exact"/>
        <w:rPr>
          <w:rFonts w:ascii="Arial" w:cs="Arial" w:eastAsia="Arial" w:hAnsi="Arial"/>
          <w:sz w:val="13"/>
          <w:szCs w:val="13"/>
          <w:b w:val="1"/>
          <w:bCs w:val="1"/>
          <w:color w:val="auto"/>
        </w:rPr>
      </w:pPr>
    </w:p>
    <w:p>
      <w:pPr>
        <w:ind w:left="242" w:hanging="242"/>
        <w:spacing w:after="0"/>
        <w:tabs>
          <w:tab w:leader="none" w:pos="242" w:val="left"/>
        </w:tabs>
        <w:numPr>
          <w:ilvl w:val="0"/>
          <w:numId w:val="8"/>
        </w:numPr>
        <w:rPr>
          <w:rFonts w:ascii="Arial" w:cs="Arial" w:eastAsia="Arial" w:hAnsi="Arial"/>
          <w:sz w:val="13"/>
          <w:szCs w:val="13"/>
          <w:b w:val="1"/>
          <w:bCs w:val="1"/>
          <w:color w:val="auto"/>
        </w:rPr>
      </w:pPr>
      <w:r>
        <w:rPr>
          <w:rFonts w:ascii="Arial" w:cs="Arial" w:eastAsia="Arial" w:hAnsi="Arial"/>
          <w:sz w:val="13"/>
          <w:szCs w:val="13"/>
          <w:color w:val="auto"/>
        </w:rPr>
        <w:t>Approval of the 2019 Omnibus Incentive Plan.</w:t>
      </w:r>
    </w:p>
    <w:p>
      <w:pPr>
        <w:spacing w:after="0" w:line="93" w:lineRule="exact"/>
        <w:rPr>
          <w:rFonts w:ascii="Arial" w:cs="Arial" w:eastAsia="Arial" w:hAnsi="Arial"/>
          <w:sz w:val="13"/>
          <w:szCs w:val="13"/>
          <w:b w:val="1"/>
          <w:bCs w:val="1"/>
          <w:color w:val="auto"/>
        </w:rPr>
      </w:pPr>
    </w:p>
    <w:p>
      <w:pPr>
        <w:ind w:left="242" w:hanging="242"/>
        <w:spacing w:after="0"/>
        <w:tabs>
          <w:tab w:leader="none" w:pos="242" w:val="left"/>
        </w:tabs>
        <w:numPr>
          <w:ilvl w:val="0"/>
          <w:numId w:val="8"/>
        </w:numPr>
        <w:rPr>
          <w:rFonts w:ascii="Arial" w:cs="Arial" w:eastAsia="Arial" w:hAnsi="Arial"/>
          <w:sz w:val="13"/>
          <w:szCs w:val="13"/>
          <w:b w:val="1"/>
          <w:bCs w:val="1"/>
          <w:color w:val="auto"/>
        </w:rPr>
      </w:pPr>
      <w:r>
        <w:rPr>
          <w:rFonts w:ascii="Arial" w:cs="Arial" w:eastAsia="Arial" w:hAnsi="Arial"/>
          <w:sz w:val="13"/>
          <w:szCs w:val="13"/>
          <w:color w:val="auto"/>
        </w:rPr>
        <w:t>Advisory (non-binding) vote to approve the compensation of the named executive officers of NN, Inc.</w:t>
      </w:r>
    </w:p>
    <w:p>
      <w:pPr>
        <w:spacing w:after="0" w:line="93" w:lineRule="exact"/>
        <w:rPr>
          <w:rFonts w:ascii="Arial" w:cs="Arial" w:eastAsia="Arial" w:hAnsi="Arial"/>
          <w:sz w:val="13"/>
          <w:szCs w:val="13"/>
          <w:b w:val="1"/>
          <w:bCs w:val="1"/>
          <w:color w:val="auto"/>
        </w:rPr>
      </w:pPr>
    </w:p>
    <w:p>
      <w:pPr>
        <w:ind w:left="262" w:right="3139" w:hanging="262"/>
        <w:spacing w:after="0" w:line="230" w:lineRule="auto"/>
        <w:tabs>
          <w:tab w:leader="none" w:pos="245" w:val="left"/>
        </w:tabs>
        <w:numPr>
          <w:ilvl w:val="0"/>
          <w:numId w:val="8"/>
        </w:numPr>
        <w:rPr>
          <w:rFonts w:ascii="Arial" w:cs="Arial" w:eastAsia="Arial" w:hAnsi="Arial"/>
          <w:sz w:val="13"/>
          <w:szCs w:val="13"/>
          <w:b w:val="1"/>
          <w:bCs w:val="1"/>
          <w:color w:val="auto"/>
        </w:rPr>
      </w:pPr>
      <w:r>
        <w:rPr>
          <w:rFonts w:ascii="Arial" w:cs="Arial" w:eastAsia="Arial" w:hAnsi="Arial"/>
          <w:sz w:val="13"/>
          <w:szCs w:val="13"/>
          <w:color w:val="auto"/>
        </w:rPr>
        <w:t>Advisory vote to ratify the selection of PRICEWATERHOUSECOOPERS LLP as registered independent public accounting firm.</w:t>
      </w:r>
    </w:p>
    <w:p>
      <w:pPr>
        <w:spacing w:after="0" w:line="197" w:lineRule="exact"/>
        <w:rPr>
          <w:sz w:val="20"/>
          <w:szCs w:val="20"/>
          <w:color w:val="auto"/>
        </w:rPr>
      </w:pPr>
    </w:p>
    <w:p>
      <w:pPr>
        <w:ind w:left="2" w:right="3199"/>
        <w:spacing w:after="0" w:line="246"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In their discretion, the proxies are authorized to vote on such other business as may properly come before</w:t>
      </w:r>
      <w:r>
        <w:rPr>
          <w:rFonts w:ascii="Arial" w:cs="Arial" w:eastAsia="Arial" w:hAnsi="Arial"/>
          <w:sz w:val="13"/>
          <w:szCs w:val="13"/>
          <w:b w:val="1"/>
          <w:bCs w:val="1"/>
          <w:color w:val="auto"/>
        </w:rPr>
        <w:t xml:space="preserve"> </w:t>
      </w:r>
      <w:r>
        <w:rPr>
          <w:rFonts w:ascii="Arial" w:cs="Arial" w:eastAsia="Arial" w:hAnsi="Arial"/>
          <w:sz w:val="13"/>
          <w:szCs w:val="13"/>
          <w:color w:val="auto"/>
        </w:rPr>
        <w:t>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76835</wp:posOffset>
            </wp:positionV>
            <wp:extent cx="128905" cy="1080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080770"/>
                    </a:xfrm>
                    <a:prstGeom prst="rect">
                      <a:avLst/>
                    </a:prstGeom>
                    <a:noFill/>
                  </pic:spPr>
                </pic:pic>
              </a:graphicData>
            </a:graphic>
          </wp:anchor>
        </w:drawing>
      </w:r>
    </w:p>
    <w:p>
      <w:pPr>
        <w:sectPr>
          <w:pgSz w:w="11900" w:h="16838" w:orient="portrait"/>
          <w:cols w:equalWidth="0" w:num="1">
            <w:col w:w="9521"/>
          </w:cols>
          <w:pgMar w:left="938" w:top="315" w:right="1440"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492125</wp:posOffset>
            </wp:positionH>
            <wp:positionV relativeFrom="page">
              <wp:posOffset>2258695</wp:posOffset>
            </wp:positionV>
            <wp:extent cx="65779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77965" cy="26035"/>
                    </a:xfrm>
                    <a:prstGeom prst="rect">
                      <a:avLst/>
                    </a:prstGeom>
                    <a:noFill/>
                  </pic:spPr>
                </pic:pic>
              </a:graphicData>
            </a:graphic>
          </wp:anchor>
        </w:drawing>
        <w:drawing>
          <wp:anchor simplePos="0" relativeHeight="251657728" behindDoc="1" locked="0" layoutInCell="0" allowOverlap="1">
            <wp:simplePos x="0" y="0"/>
            <wp:positionH relativeFrom="page">
              <wp:posOffset>492125</wp:posOffset>
            </wp:positionH>
            <wp:positionV relativeFrom="page">
              <wp:posOffset>2327275</wp:posOffset>
            </wp:positionV>
            <wp:extent cx="65779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3373755</wp:posOffset>
            </wp:positionV>
            <wp:extent cx="137160" cy="11061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37160" cy="11061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2)"/>
      <w:numFmt w:val="decimal"/>
      <w:start w:val="1"/>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2019-12-03T15:47:27Z</dcterms:created>
  <dcterms:modified xsi:type="dcterms:W3CDTF">2019-12-03T15:47:27Z</dcterms:modified>
</cp:coreProperties>
</file>