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144145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November 6, 2020 (November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153035</wp:posOffset>
            </wp:positionV>
            <wp:extent cx="1474470" cy="874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74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NN, INC.</w:t>
      </w:r>
    </w:p>
    <w:p>
      <w:pPr>
        <w:spacing w:after="0" w:line="3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5"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91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1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8304" w:space="720"/>
            <w:col w:w="2000"/>
          </w:cols>
          <w:pgMar w:left="436" w:top="368" w:right="43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8204" w:space="720"/>
            <w:col w:w="210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116"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7" w:lineRule="exact"/>
        <w:rPr>
          <w:sz w:val="24"/>
          <w:szCs w:val="24"/>
          <w:color w:val="auto"/>
        </w:rPr>
      </w:pPr>
    </w:p>
    <w:p>
      <w:pPr>
        <w:ind w:left="4" w:right="220"/>
        <w:spacing w:after="0" w:line="270"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3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76" w:lineRule="exact"/>
        <w:rPr>
          <w:rFonts w:ascii="MS PGothic" w:cs="MS PGothic" w:eastAsia="MS PGothic" w:hAnsi="MS PGothic"/>
          <w:sz w:val="18"/>
          <w:szCs w:val="18"/>
          <w:color w:val="auto"/>
        </w:rPr>
      </w:pPr>
    </w:p>
    <w:p>
      <w:pPr>
        <w:ind w:left="4" w:right="2500" w:hanging="4"/>
        <w:spacing w:after="0" w:line="340"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1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Arial" w:cs="Arial" w:eastAsia="Arial" w:hAnsi="Arial"/>
                <w:sz w:val="14"/>
                <w:szCs w:val="14"/>
                <w:b w:val="1"/>
                <w:bCs w:val="1"/>
                <w:color w:val="auto"/>
              </w:rPr>
              <w:t>symbol</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NNBR</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left="4" w:right="560" w:firstLine="440"/>
        <w:spacing w:after="0" w:line="308" w:lineRule="auto"/>
        <w:rPr>
          <w:sz w:val="20"/>
          <w:szCs w:val="20"/>
          <w:color w:val="auto"/>
        </w:rPr>
      </w:pPr>
      <w:r>
        <w:rPr>
          <w:rFonts w:ascii="Arial" w:cs="Arial" w:eastAsia="Arial" w:hAnsi="Arial"/>
          <w:sz w:val="17"/>
          <w:szCs w:val="17"/>
          <w:color w:val="auto"/>
        </w:rPr>
        <w:t>On November 5, 2020, NN, Inc. (the “Company”) issued a press release announcing the Company’s financial results for the quarter ended September 30, 2020. The full text of the press release is furnished as Exhibit 99.1 and is incorporated herein by reference.</w:t>
      </w:r>
    </w:p>
    <w:p>
      <w:pPr>
        <w:spacing w:after="0" w:line="14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Pursuant to the rules and regulations of the U.S. Securities and Exchange Commission (the “SEC”), the information furnished pursuant to Item 2.02 of this Current Report on Form 8-K (including Exhibit 99.1) is deemed to have been furnished and shall not be deemed to be “filed” for purposes of Section 18 of the Securities Exchange Act of 1934, as amended,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3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4"/>
        <w:spacing w:after="0"/>
        <w:tabs>
          <w:tab w:leader="none" w:pos="86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NN, Inc., dated November 5, 2020</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44"/>
          </w:cols>
          <w:pgMar w:left="436" w:top="297"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865505" cy="865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5505" cy="86550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171450</wp:posOffset>
            </wp:positionV>
            <wp:extent cx="1817370"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THIRD QUARTER 2020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Improved Capital Structure Following Sale of Life Sciences Division Positions Company for Long-Term Success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Enhanced Financial Flexibility as a Result of $700M Debt Reduction</w:t>
      </w:r>
    </w:p>
    <w:p>
      <w:pPr>
        <w:spacing w:after="0" w:line="2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Charlotte, N.C., November 5, 2020 – </w:t>
      </w:r>
      <w:r>
        <w:rPr>
          <w:rFonts w:ascii="Arial" w:cs="Arial" w:eastAsia="Arial" w:hAnsi="Arial"/>
          <w:sz w:val="18"/>
          <w:szCs w:val="18"/>
          <w:color w:val="auto"/>
        </w:rPr>
        <w:t>NN, Inc., (NASDAQ: NNBR), a diversified industrial company, today reported its financial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GAAP Results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sales from the Mobile Solutions and Power Solutions segments for the third quarter of 2020 decreased $6.7 million, or 5.6%, to $113.8 million, compared to $120.5 million for the third quarter of 2019, driven by a decline in organic sales volume of $4.3 million, as a result of continued lower demand due to the COVID-19 pandemic within the global automotive, electrical products, and oil and gas end markets, along with unfavorable foreign exchange effects of $2.4 million.</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a GAAP basis, loss from operations from the Mobile Solutions segment, Power Solutions segment, and corporate for the third quarter of 2020 was $1.5 million, compared to loss from operations of $1.8 million for the same period in 2019. In the third quarter of 2020, the loss from operations was primarily driven by the above-referenced sales volume decline, which was partially offset by cost reduction initiatives that resulted in lower personnel and travel costs.</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income on a GAAP basis for the third quarter of 2020 was $22.0 million, compared to net loss on a GAAP basis of $5.9 million in the third quarter of 2019. Income from continuing operations on a GAAP basis for the third quarter of 2020 was $1.6 million, compared to loss from continuing operations on a GAAP basis of $4.8 million in the third quarter of 2019.</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On a GAAP basis, income from operations for third quarter 2020 in the Mobile Solutions segment was $5.0 million, compared to income from operations of $3.4 million for the same period in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a GAAP basis, income from operations for third quarter 2020 in the Power Solutions segment was $1.1 million, compared to income from operations of $3.4 million for the same period in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Adjusted income from operations from the Mobile Solutions segment, Power Solutions segment, and corporate for the third quarter of 2020</w:t>
      </w:r>
    </w:p>
    <w:p>
      <w:pPr>
        <w:spacing w:after="0" w:line="3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was $4.9 million, compared to $7.2 million for the same period in 2019. Adjusted EBITDA for the third quarter of 2020 was $14.7 million, or 12.9% of sales, versus $15.9 million, or 13.2% of sales, for the same period in 2019. Adjusted net income was $2.9 million, or $0.07 per diluted share, compared to adjusted net income of $3.2 million, or $0.08 per diluted share, for the same period in 2019.</w:t>
      </w:r>
    </w:p>
    <w:p>
      <w:pPr>
        <w:spacing w:after="0" w:line="1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Warren Veltman, President and Chief Executive Officer, said, “With the sale of Life Sciences complete, NN has begun a new chapter as a financially strengthened organization with two focused, highly complementary segments. Our improved capital structure should enhance NN’s ability to capitalize on the powerful synergies of our Mobile Solutions and Power Solutions businesses to drive margin improvements, continue delivering consistent cash flow and generate long-term shareholder value.”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Veltman continued, “We are encouraged by the stronger sequential growth we saw across our Mobile Solutions and Power Solutions businesses in the third quarter, driven by improved customer demand across our end markets, even amidst ongoing challenges related to the pandemic. Going forward, we remain intensely focused on streamlining our cost structure to best align with the current environment. This includes maintaining a strong discipline related to capital expenditures and continuing to manage our debt levels.”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Solutions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Net sales for the third quarter of 2020 were $70.4 million, compared to $73.1 million in the third quarter of 2019, a decrease of 3.7% or $2.7 million. The decrease in sales was driven by negative effects from foreign exchange movements, as well as lingering challenges from the COVID-19 pandemic. Adjusted income from operations for the third quarter of 2020 was $6.3 million, compared to $5.1 million of adjusted operating income in the third quarter of 2019. Despite lower sales, adjusted operating income increased as a result of prior year product launches maturing and becoming more profitable. Further, certain of the fixed cost reduction actions initiated in the first half of 2020 in response to the decline in sales volume caused by the COVID-19 pandemic remained in place during the quarter, improving fixed cost leverage for the quarter.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Net sales for the third quarter of 2020 were $43.4 million, compared to $47.4 million in the third quarter of 2019, a decrease of $4.0 million or 8.5%. The decline in sales was driven by lower customer demand across the segment’s end markets, resulting from the COVID-19 pandemic. Adjusted income from operations for the quarter was $5.4 million, compared to $8.5 million in the third quarter of 2019. The reduction in adjusted operating income was due to lost variable margin on the sales volume decline, which was partially offset by fixed cost reduction actions taken in response to the decline in sales volume. Additionally, commodity prices on precious metals, particularly gold and silver, dramatically increased during the current period, driving up materials costs and decreasing profitability margin of certain products.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Conference Call</w:t>
      </w:r>
    </w:p>
    <w:p>
      <w:pPr>
        <w:spacing w:after="0" w:line="121" w:lineRule="exact"/>
        <w:rPr>
          <w:sz w:val="20"/>
          <w:szCs w:val="20"/>
          <w:color w:val="auto"/>
        </w:rPr>
      </w:pPr>
    </w:p>
    <w:p>
      <w:pPr>
        <w:ind w:left="4" w:right="220" w:hanging="4"/>
        <w:spacing w:after="0" w:line="311" w:lineRule="auto"/>
        <w:tabs>
          <w:tab w:leader="none" w:pos="30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will discuss its results during its quarterly investor conference call on November 6, 2020 at 9:00 a.m. ET. The call and supplemental presentation may be accessed via NN’s website, </w:t>
      </w:r>
      <w:r>
        <w:rPr>
          <w:rFonts w:ascii="Arial" w:cs="Arial" w:eastAsia="Arial" w:hAnsi="Arial"/>
          <w:sz w:val="16"/>
          <w:szCs w:val="16"/>
          <w:u w:val="single" w:color="auto"/>
          <w:color w:val="auto"/>
        </w:rPr>
        <w:t>www.nninc.com</w:t>
      </w:r>
      <w:r>
        <w:rPr>
          <w:rFonts w:ascii="Arial" w:cs="Arial" w:eastAsia="Arial" w:hAnsi="Arial"/>
          <w:sz w:val="16"/>
          <w:szCs w:val="16"/>
          <w:color w:val="auto"/>
        </w:rPr>
        <w:t>. The conference call can also be accessed by dialing 1-888-204-4368 or 1-323-994-2093, Conference ID: 3591787. For those who are unavailable to listen to the live broadcast, a replay will be available shortly after the call for 30 days.</w:t>
      </w:r>
    </w:p>
    <w:p>
      <w:pPr>
        <w:spacing w:after="0" w:line="149" w:lineRule="exact"/>
        <w:rPr>
          <w:sz w:val="20"/>
          <w:szCs w:val="20"/>
          <w:color w:val="auto"/>
        </w:rPr>
      </w:pPr>
    </w:p>
    <w:p>
      <w:pPr>
        <w:ind w:left="4" w:hanging="4"/>
        <w:spacing w:after="0" w:line="257" w:lineRule="auto"/>
        <w:tabs>
          <w:tab w:leader="none" w:pos="30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discloses in this press release the non-GAAP financial measures of adjusted income from operations, adjusted EBITDA, adjusted net income (loss), and adjusted net income per diluted share. Each of adjusted income from operations, adjusted EBITDA, adjusted net income (loss), and adjusted net income per diluted share provides supplementary information about the impacts of restructuring and integration expense, acquisition and transition expenses, foreign exchange impacts on inter-company loans, amortization of intangibles and deferred financing costs, and other non-operating impacts on our business.</w:t>
      </w:r>
    </w:p>
    <w:p>
      <w:pPr>
        <w:spacing w:after="0" w:line="188" w:lineRule="exact"/>
        <w:rPr>
          <w:sz w:val="20"/>
          <w:szCs w:val="20"/>
          <w:color w:val="auto"/>
        </w:rPr>
      </w:pPr>
    </w:p>
    <w:p>
      <w:pPr>
        <w:jc w:val="both"/>
        <w:ind w:left="4" w:right="220"/>
        <w:spacing w:after="0" w:line="263" w:lineRule="auto"/>
        <w:rPr>
          <w:sz w:val="20"/>
          <w:szCs w:val="20"/>
          <w:color w:val="auto"/>
        </w:rPr>
      </w:pPr>
      <w:r>
        <w:rPr>
          <w:rFonts w:ascii="Arial" w:cs="Arial" w:eastAsia="Arial" w:hAnsi="Arial"/>
          <w:sz w:val="18"/>
          <w:szCs w:val="18"/>
          <w:color w:val="auto"/>
        </w:rPr>
        <w:t>The financial tables found later in this press release include a reconciliation of adjusted income from operations, adjusted operating margin, adjusted EBITDA, adjusted EBITDA margin, adjusted net income (loss), adjusted net income (loss) per diluted share to the U.S. GAAP financial measures of income from operations, net income (loss), and net income (loss) per diluted share.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About NN, Inc.</w:t>
      </w:r>
    </w:p>
    <w:p>
      <w:pPr>
        <w:spacing w:after="0" w:line="121"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30 facilities in North America, Europe, South America, and China.</w:t>
      </w:r>
    </w:p>
    <w:p>
      <w:pPr>
        <w:spacing w:after="0" w:line="184"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91"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and when filed, the Company’s Quarterly Report on Form 10-Q for the three months ended September 30, 2020. Except as required by law, we undertake no obligation to update or revise any forward-looking statements we make in our press releases, whether as a result of new information, future events or otherwise.</w:t>
      </w:r>
    </w:p>
    <w:p>
      <w:pPr>
        <w:spacing w:after="0" w:line="188" w:lineRule="exact"/>
        <w:rPr>
          <w:sz w:val="20"/>
          <w:szCs w:val="20"/>
          <w:color w:val="auto"/>
        </w:rPr>
      </w:pPr>
    </w:p>
    <w:p>
      <w:pPr>
        <w:jc w:val="center"/>
        <w:ind w:right="-83"/>
        <w:spacing w:after="0"/>
        <w:rPr>
          <w:sz w:val="20"/>
          <w:szCs w:val="20"/>
          <w:color w:val="auto"/>
        </w:rPr>
      </w:pPr>
      <w:r>
        <w:rPr>
          <w:rFonts w:ascii="Arial" w:cs="Arial" w:eastAsia="Arial" w:hAnsi="Arial"/>
          <w:sz w:val="18"/>
          <w:szCs w:val="18"/>
          <w:i w:val="1"/>
          <w:iCs w:val="1"/>
          <w:color w:val="auto"/>
        </w:rPr>
        <w:t>Financial Tables Follow</w:t>
      </w:r>
    </w:p>
    <w:p>
      <w:pPr>
        <w:spacing w:after="0" w:line="15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0" w:right="5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281"/>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24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3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501"/>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66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113,761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120,459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308,506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Cost of sales (exclusive of depreciation and amortization shown separately below)</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90,076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96,654</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w w:val="95"/>
              </w:rPr>
              <w:t>249,612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300,666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15,493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44,178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52,994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11,435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11,284</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34,119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33,552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92,942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(116,483)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17,036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20"/>
                <w:szCs w:val="20"/>
                <w:color w:val="auto"/>
              </w:rPr>
            </w:pPr>
            <w:r>
              <w:rPr>
                <w:rFonts w:ascii="Arial" w:cs="Arial" w:eastAsia="Arial" w:hAnsi="Arial"/>
                <w:sz w:val="18"/>
                <w:szCs w:val="18"/>
                <w:color w:val="auto"/>
                <w:w w:val="92"/>
              </w:rPr>
              <w:t>Loss from continuing operations before benefit (provision) for income taxes and share of net income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from joint venture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(8,211)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(6,249)</w:t>
            </w:r>
          </w:p>
        </w:tc>
        <w:tc>
          <w:tcPr>
            <w:tcW w:w="100" w:type="dxa"/>
            <w:vAlign w:val="bottom"/>
          </w:tcPr>
          <w:p>
            <w:pPr>
              <w:spacing w:after="0"/>
              <w:rPr>
                <w:sz w:val="20"/>
                <w:szCs w:val="20"/>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w w:val="88"/>
              </w:rPr>
              <w:t>(133,730)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(17,457)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7,935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Share of net income from joint venture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(124,003)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(20,806)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w w:val="88"/>
              </w:rPr>
              <w:t>(123,966)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2"/>
              </w:rPr>
              <w:t>(11,850)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(247,969)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(32,656)</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(11,178)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(6,636)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(11,354)</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net of tax</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(12,443)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(11,999)</w:t>
            </w:r>
          </w:p>
        </w:tc>
        <w:tc>
          <w:tcPr>
            <w:tcW w:w="0" w:type="dxa"/>
            <w:vAlign w:val="bottom"/>
          </w:tcPr>
          <w:p>
            <w:pPr>
              <w:spacing w:after="0"/>
              <w:rPr>
                <w:sz w:val="1"/>
                <w:szCs w:val="1"/>
                <w:color w:val="auto"/>
              </w:rPr>
            </w:pPr>
          </w:p>
        </w:tc>
      </w:tr>
      <w:tr>
        <w:trPr>
          <w:trHeight w:val="216"/>
        </w:trPr>
        <w:tc>
          <w:tcPr>
            <w:tcW w:w="7360" w:type="dxa"/>
            <w:vAlign w:val="bottom"/>
          </w:tcPr>
          <w:p>
            <w:pPr>
              <w:ind w:left="720"/>
              <w:spacing w:after="0"/>
              <w:rPr>
                <w:sz w:val="20"/>
                <w:szCs w:val="20"/>
                <w:color w:val="auto"/>
              </w:rPr>
            </w:pPr>
            <w:r>
              <w:rPr>
                <w:rFonts w:ascii="Arial" w:cs="Arial" w:eastAsia="Arial" w:hAnsi="Arial"/>
                <w:sz w:val="18"/>
                <w:szCs w:val="18"/>
                <w:color w:val="auto"/>
              </w:rPr>
              <w:t>Reclassification adjustment for losses included in net income (loss), net of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6,838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(12,121)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(12,241)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(23,115)</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(17,976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(260,210</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(55,771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Income (loss) from continuing operations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(3.16)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income (loss)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(6.10)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42,202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42,038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42,170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b w:val="1"/>
                <w:bCs w:val="1"/>
                <w:color w:val="auto"/>
              </w:rPr>
              <w:t>Diluted net income (loss) per common share:</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Income (loss) from discontinued operations per common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0.49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1"/>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
              <w:spacing w:after="0"/>
              <w:rPr>
                <w:sz w:val="20"/>
                <w:szCs w:val="20"/>
                <w:color w:val="auto"/>
              </w:rPr>
            </w:pPr>
            <w:r>
              <w:rPr>
                <w:rFonts w:ascii="Arial" w:cs="Arial" w:eastAsia="Arial" w:hAnsi="Arial"/>
                <w:sz w:val="18"/>
                <w:szCs w:val="18"/>
                <w:color w:val="auto"/>
              </w:rPr>
              <w:t>(2.94)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5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6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56,131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17,911</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87,411</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83,240</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63,718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67,078</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13,640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assets held for sale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630,900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117,000</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11,778</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302,980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225,514</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255,977</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45,452</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94,779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106,652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117,413</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24,147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Non-current assets held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695,054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1,316,209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1,541,984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40,973</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Accrued salaries, wages and benefits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19,159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15,584</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713,350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19,106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Current liabilities held for sale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120,832</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41,546</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25,113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17,300</w:t>
            </w:r>
          </w:p>
        </w:tc>
        <w:tc>
          <w:tcPr>
            <w:tcW w:w="0" w:type="dxa"/>
            <w:vAlign w:val="bottom"/>
          </w:tcPr>
          <w:p>
            <w:pPr>
              <w:spacing w:after="0"/>
              <w:rPr>
                <w:sz w:val="1"/>
                <w:szCs w:val="1"/>
                <w:color w:val="auto"/>
              </w:rPr>
            </w:pPr>
          </w:p>
        </w:tc>
      </w:tr>
      <w:tr>
        <w:trPr>
          <w:trHeight w:val="223"/>
        </w:trPr>
        <w:tc>
          <w:tcPr>
            <w:tcW w:w="886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927,159</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24,461</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Non-current income tax payable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117,482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757,250</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56,111</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48,575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held for sale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84,199</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40,457</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1,128,016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1,095,695</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Series B convertible preferred stock - $0.01 par value per share, 100 shares authorized, 100 shares issued and outstanding</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December 31, 2019, and September 30, 2020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101,846</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93,012</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Common stock - $0.01 par value per share, 90,000 shares authorized, 42,313 and 42,739 shares issued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at December 31, 2019, and September 30, 2020,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495,967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501,615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88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(353,252)</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(105,283)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(44,554)</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86,347</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preferred stock, and stockholders’ equity</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1,316,209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1,541,984</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5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92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16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(247,969)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$(32,656)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Depreciation and amortization of continuing operations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34,119</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33,552</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 of discontinued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35,731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35,418</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4,981</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impairment of continuing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92,942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Goodwill impairment of discontinued operations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146,757</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 and write-off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1,532</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Share of net income from joint venture, net of cash dividends received</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(1,792)</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expense from issuance of share-based awards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(61,889)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(11,024)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(9,929)</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4,149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9280" w:type="dxa"/>
            <w:vAlign w:val="bottom"/>
          </w:tcPr>
          <w:p>
            <w:pPr>
              <w:ind w:left="720"/>
              <w:spacing w:after="0"/>
              <w:rPr>
                <w:sz w:val="20"/>
                <w:szCs w:val="20"/>
                <w:color w:val="auto"/>
              </w:rPr>
            </w:pPr>
            <w:r>
              <w:rPr>
                <w:rFonts w:ascii="Arial" w:cs="Arial" w:eastAsia="Arial" w:hAnsi="Arial"/>
                <w:sz w:val="18"/>
                <w:szCs w:val="18"/>
                <w:color w:val="auto"/>
              </w:rPr>
              <w:t>Income taxes receivable and payable, net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(10,753)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16,295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11,871</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(20,518)</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(40,720)</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liquidation of short-term investment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3,153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(17,365)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(30,997)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Cash paid for debt issuance costs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(661)</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long-term debt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64,716</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52,144</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(26,634)</w:t>
            </w:r>
          </w:p>
        </w:tc>
        <w:tc>
          <w:tcPr>
            <w:tcW w:w="0" w:type="dxa"/>
            <w:vAlign w:val="bottom"/>
          </w:tcPr>
          <w:p>
            <w:pPr>
              <w:spacing w:after="0"/>
              <w:rPr>
                <w:sz w:val="1"/>
                <w:szCs w:val="1"/>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Proceeds from (repayments of) short-term debt, net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(849)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23"/>
        </w:trPr>
        <w:tc>
          <w:tcPr>
            <w:tcW w:w="928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flows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40,414</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6,421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31,703</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17,988</w:t>
            </w: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546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Reconciliation of GAAP Income from Operations to Non-GAAP Adjusted Income from Operations</w:t>
      </w:r>
    </w:p>
    <w:p>
      <w:pPr>
        <w:sectPr>
          <w:pgSz w:w="11900" w:h="16838" w:orient="portrait"/>
          <w:cols w:equalWidth="0" w:num="1">
            <w:col w:w="11024"/>
          </w:cols>
          <w:pgMar w:left="436" w:top="270" w:right="439" w:bottom="1440" w:gutter="0" w:footer="0" w:header="0"/>
        </w:sectPr>
      </w:pPr>
    </w:p>
    <w:p>
      <w:pPr>
        <w:spacing w:after="0" w:line="31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9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3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NN, Inc. Consolidated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2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2,762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5,429</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3,618</w:t>
            </w:r>
          </w:p>
        </w:tc>
      </w:tr>
      <w:tr>
        <w:trPr>
          <w:trHeight w:val="209"/>
        </w:trPr>
        <w:tc>
          <w:tcPr>
            <w:tcW w:w="322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4,893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7,235</w:t>
            </w:r>
          </w:p>
        </w:tc>
      </w:tr>
      <w:tr>
        <w:trPr>
          <w:trHeight w:val="20"/>
        </w:trPr>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 margin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GAAP 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113,761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120,459</w:t>
            </w:r>
          </w:p>
        </w:tc>
      </w:tr>
      <w:tr>
        <w:trPr>
          <w:trHeight w:val="327"/>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100" w:type="dxa"/>
            <w:vAlign w:val="bottom"/>
          </w:tcPr>
          <w:p>
            <w:pPr>
              <w:spacing w:after="0"/>
              <w:rPr>
                <w:sz w:val="12"/>
                <w:szCs w:val="12"/>
                <w:color w:val="auto"/>
              </w:rPr>
            </w:pPr>
          </w:p>
        </w:tc>
        <w:tc>
          <w:tcPr>
            <w:tcW w:w="19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3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Power Solutions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2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1,515</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2,430</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2,748</w:t>
            </w:r>
          </w:p>
        </w:tc>
      </w:tr>
      <w:tr>
        <w:trPr>
          <w:trHeight w:val="209"/>
        </w:trPr>
        <w:tc>
          <w:tcPr>
            <w:tcW w:w="3220" w:type="dxa"/>
            <w:vAlign w:val="bottom"/>
          </w:tcPr>
          <w:p>
            <w:pPr>
              <w:spacing w:after="0"/>
              <w:rPr>
                <w:sz w:val="20"/>
                <w:szCs w:val="20"/>
                <w:color w:val="auto"/>
              </w:rPr>
            </w:pPr>
            <w:r>
              <w:rPr>
                <w:rFonts w:ascii="Arial" w:cs="Arial" w:eastAsia="Arial" w:hAnsi="Arial"/>
                <w:sz w:val="18"/>
                <w:szCs w:val="18"/>
                <w:color w:val="auto"/>
              </w:rPr>
              <w:t>Non-GAAP adjusted income from</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220" w:type="dxa"/>
            <w:vAlign w:val="bottom"/>
          </w:tcPr>
          <w:p>
            <w:pPr>
              <w:ind w:left="180"/>
              <w:spacing w:after="0"/>
              <w:rPr>
                <w:sz w:val="20"/>
                <w:szCs w:val="20"/>
                <w:color w:val="auto"/>
              </w:rPr>
            </w:pPr>
            <w:r>
              <w:rPr>
                <w:rFonts w:ascii="Arial" w:cs="Arial" w:eastAsia="Arial" w:hAnsi="Arial"/>
                <w:sz w:val="18"/>
                <w:szCs w:val="18"/>
                <w:color w:val="auto"/>
              </w:rPr>
              <w:t>operations (a)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5,407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8,530</w:t>
            </w:r>
          </w:p>
        </w:tc>
      </w:tr>
      <w:tr>
        <w:trPr>
          <w:trHeight w:val="20"/>
        </w:trPr>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Non-GAAP adjusted operating margin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GAAP 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43,415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47,430</w:t>
            </w:r>
          </w:p>
        </w:tc>
      </w:tr>
    </w:tbl>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Mobile Solutions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 (loss)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shd w:val="clear" w:color="auto" w:fill="CCEEFF"/>
          </w:tcPr>
          <w:p>
            <w:pPr>
              <w:spacing w:after="0"/>
              <w:rPr>
                <w:sz w:val="18"/>
                <w:szCs w:val="18"/>
                <w:color w:val="auto"/>
              </w:rPr>
            </w:pPr>
          </w:p>
        </w:tc>
      </w:tr>
      <w:tr>
        <w:trPr>
          <w:trHeight w:val="209"/>
        </w:trPr>
        <w:tc>
          <w:tcPr>
            <w:tcW w:w="3260" w:type="dxa"/>
            <w:vAlign w:val="bottom"/>
            <w:gridSpan w:val="2"/>
          </w:tcPr>
          <w:p>
            <w:pPr>
              <w:spacing w:after="0"/>
              <w:rPr>
                <w:sz w:val="20"/>
                <w:szCs w:val="20"/>
                <w:color w:val="auto"/>
              </w:rPr>
            </w:pPr>
            <w:r>
              <w:rPr>
                <w:rFonts w:ascii="Arial" w:cs="Arial" w:eastAsia="Arial" w:hAnsi="Arial"/>
                <w:sz w:val="18"/>
                <w:szCs w:val="18"/>
                <w:color w:val="auto"/>
              </w:rPr>
              <w:t>Non-GAAP adjusted income from</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operations (a)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6,300</w:t>
            </w:r>
          </w:p>
        </w:tc>
        <w:tc>
          <w:tcPr>
            <w:tcW w:w="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5,067</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Share of net income from joint venture</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shd w:val="clear" w:color="auto" w:fill="CCEEFF"/>
          </w:tcPr>
          <w:p>
            <w:pPr>
              <w:spacing w:after="0"/>
              <w:rPr>
                <w:sz w:val="18"/>
                <w:szCs w:val="18"/>
                <w:color w:val="auto"/>
              </w:rPr>
            </w:pPr>
          </w:p>
        </w:tc>
      </w:tr>
      <w:tr>
        <w:trPr>
          <w:trHeight w:val="209"/>
        </w:trPr>
        <w:tc>
          <w:tcPr>
            <w:tcW w:w="3260" w:type="dxa"/>
            <w:vAlign w:val="bottom"/>
            <w:gridSpan w:val="2"/>
          </w:tcPr>
          <w:p>
            <w:pPr>
              <w:spacing w:after="0"/>
              <w:rPr>
                <w:sz w:val="20"/>
                <w:szCs w:val="20"/>
                <w:color w:val="auto"/>
              </w:rPr>
            </w:pPr>
            <w:r>
              <w:rPr>
                <w:rFonts w:ascii="Arial" w:cs="Arial" w:eastAsia="Arial" w:hAnsi="Arial"/>
                <w:sz w:val="18"/>
                <w:szCs w:val="18"/>
                <w:color w:val="auto"/>
              </w:rPr>
              <w:t>Non-GAAP adjusted income from</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operations with JV</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2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w w:val="97"/>
              </w:rPr>
              <w:t>Non-GAAP adjusted operating margin (1)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GAAP net sales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70,371</w:t>
            </w:r>
          </w:p>
        </w:tc>
        <w:tc>
          <w:tcPr>
            <w:tcW w:w="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73,071</w:t>
            </w:r>
          </w:p>
        </w:tc>
        <w:tc>
          <w:tcPr>
            <w:tcW w:w="220" w:type="dxa"/>
            <w:vAlign w:val="bottom"/>
          </w:tcPr>
          <w:p>
            <w:pPr>
              <w:spacing w:after="0"/>
              <w:rPr>
                <w:sz w:val="20"/>
                <w:szCs w:val="20"/>
                <w:color w:val="auto"/>
              </w:rPr>
            </w:pPr>
          </w:p>
        </w:tc>
      </w:tr>
      <w:tr>
        <w:trPr>
          <w:trHeight w:val="32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$000s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Elimination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top w:val="single" w:sz="8" w:color="CCEEFF"/>
            </w:tcBorders>
            <w:shd w:val="clear" w:color="auto" w:fill="CCEEFF"/>
          </w:tcPr>
          <w:p>
            <w:pPr>
              <w:spacing w:after="0"/>
              <w:rPr>
                <w:sz w:val="18"/>
                <w:szCs w:val="18"/>
                <w:color w:val="auto"/>
              </w:rPr>
            </w:pPr>
          </w:p>
        </w:tc>
      </w:tr>
    </w:tbl>
    <w:p>
      <w:pPr>
        <w:spacing w:after="0" w:line="1321" w:lineRule="exact"/>
        <w:rPr>
          <w:sz w:val="20"/>
          <w:szCs w:val="20"/>
          <w:color w:val="auto"/>
        </w:rPr>
      </w:pPr>
    </w:p>
    <w:p>
      <w:pPr>
        <w:sectPr>
          <w:pgSz w:w="11900" w:h="16838" w:orient="portrait"/>
          <w:cols w:equalWidth="0" w:num="2">
            <w:col w:w="5284" w:space="340"/>
            <w:col w:w="5400"/>
          </w:cols>
          <w:pgMar w:left="436" w:top="270" w:right="439" w:bottom="1440" w:gutter="0" w:footer="0" w:header="0"/>
          <w:type w:val="continuous"/>
        </w:sectPr>
      </w:pPr>
    </w:p>
    <w:p>
      <w:pPr>
        <w:spacing w:after="0" w:line="163"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GAAP net sales</w:t>
      </w:r>
    </w:p>
    <w:p>
      <w:pPr>
        <w:spacing w:after="0" w:line="23" w:lineRule="exact"/>
        <w:rPr>
          <w:sz w:val="20"/>
          <w:szCs w:val="20"/>
          <w:color w:val="auto"/>
        </w:rPr>
      </w:pPr>
    </w:p>
    <w:p>
      <w:pPr>
        <w:ind w:left="424" w:right="200" w:hanging="424"/>
        <w:spacing w:after="0" w:line="25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2020 Includes Capacity &amp; Capabilities Dev - $0.6 / Prof Fees - $0.3 / Integration &amp; Transformation - $1.9 / Acq Transaction Costs - $0.0 / Asset Write-Downs/Inventory Step-Up - $0.0</w:t>
      </w:r>
    </w:p>
    <w:p>
      <w:pPr>
        <w:ind w:left="424" w:right="20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2019 Includes Capacity &amp; Capabilities Dev - $1.4 / Prof Fees - $0.5 / Integration &amp; Transformation - $3.2 / Acq Transaction Costs - $0.0 / Asset Write-Downs/Inventory Step-Up - $0.3</w:t>
      </w:r>
    </w:p>
    <w:p>
      <w:pPr>
        <w:spacing w:after="0" w:line="118"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4"/>
          </w:cols>
          <w:pgMar w:left="436" w:top="270" w:right="4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EBITDA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6"/>
          </w:tcPr>
          <w:p>
            <w:pPr>
              <w:jc w:val="right"/>
              <w:ind w:right="72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8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$000s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(8,715)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Write-off of unamortized debt issuance cost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preferred stock tax withholding</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11,435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11,284</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transition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Non-cash stock compensation</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Non-cash foreign exchange (gain) loss on inter-company loans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(20,330)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EBITDA (b)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20"/>
        </w:trPr>
        <w:tc>
          <w:tcPr>
            <w:tcW w:w="8940" w:type="dxa"/>
            <w:vAlign w:val="bottom"/>
            <w:vMerge w:val="restart"/>
          </w:tcPr>
          <w:p>
            <w:pPr>
              <w:spacing w:after="0"/>
              <w:rPr>
                <w:sz w:val="20"/>
                <w:szCs w:val="20"/>
                <w:color w:val="auto"/>
              </w:rPr>
            </w:pPr>
            <w:r>
              <w:rPr>
                <w:rFonts w:ascii="Arial" w:cs="Arial" w:eastAsia="Arial" w:hAnsi="Arial"/>
                <w:sz w:val="18"/>
                <w:szCs w:val="18"/>
                <w:color w:val="auto"/>
              </w:rPr>
              <w:t>Non-GAAP adjusted EBITDA margin (2)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GAAP 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113,761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120,459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w:t>
        <w:tab/>
        <w:t>Non-GAAP adjusted EBITDA margin = Non-GAAP adjusted EBITDA / GAAP net sales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Reconciliation of Net Income (Loss) to Non-GAAP Adjusted Net Income (Loss) and Net Income (Loss)</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 Diluted Share to Non-GAAP Adjusted Net Income (Loss) per Diluted Share</w:t>
      </w:r>
    </w:p>
    <w:p>
      <w:pPr>
        <w:sectPr>
          <w:pgSz w:w="11900" w:h="16838" w:orient="portrait"/>
          <w:cols w:equalWidth="0" w:num="1">
            <w:col w:w="10960"/>
          </w:cols>
          <w:pgMar w:left="440" w:top="270" w:right="49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(gain) loss on inter-company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change in fair value of preferred stock tax withholding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effect of adjustments reflected above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Non-GAAP discrete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loss from discontinued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Amounts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GAAP net income (loss) per diluted share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Pre-tax acquisition and transition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Pre-tax foreign exchange (gain) loss on inter-company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write-off of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Pre-tax change in fair value of preferred stock tax withholding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Pre-tax amortization of intangibles and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effect of adjustments reflected above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Non-GAAP discrete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(Income) loss from discontinued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cumulative dividends and deemed dividends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Non-GAAP adjusted net income (loss) per diluted share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951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outstanding, diluted</w:t>
      </w:r>
    </w:p>
    <w:p>
      <w:pPr>
        <w:spacing w:after="0" w:line="158" w:lineRule="exact"/>
        <w:rPr>
          <w:sz w:val="20"/>
          <w:szCs w:val="20"/>
          <w:color w:val="auto"/>
        </w:rPr>
      </w:pPr>
    </w:p>
    <w:p>
      <w:pPr>
        <w:jc w:val="right"/>
        <w:ind w:right="30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Three Months Ended</w:t>
      </w:r>
    </w:p>
    <w:p>
      <w:pPr>
        <w:jc w:val="center"/>
        <w:ind w:right="-99"/>
        <w:spacing w:after="0" w:line="226" w:lineRule="auto"/>
        <w:rPr>
          <w:sz w:val="20"/>
          <w:szCs w:val="20"/>
          <w:color w:val="auto"/>
        </w:rPr>
      </w:pPr>
      <w:r>
        <w:rPr>
          <w:rFonts w:ascii="Arial" w:cs="Arial" w:eastAsia="Arial" w:hAnsi="Arial"/>
          <w:sz w:val="14"/>
          <w:szCs w:val="14"/>
          <w:b w:val="1"/>
          <w:bCs w:val="1"/>
          <w:color w:val="auto"/>
        </w:rPr>
        <w:t>September 30,</w:t>
      </w:r>
    </w:p>
    <w:p>
      <w:pPr>
        <w:ind w:left="340"/>
        <w:spacing w:after="0"/>
        <w:tabs>
          <w:tab w:leader="none" w:pos="11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9" w:lineRule="exact"/>
        <w:rPr>
          <w:sz w:val="20"/>
          <w:szCs w:val="20"/>
          <w:color w:val="auto"/>
        </w:rPr>
      </w:pPr>
    </w:p>
    <w:p>
      <w:pPr>
        <w:ind w:left="320" w:hanging="161"/>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21,970   $(5,855)</w:t>
      </w:r>
    </w:p>
    <w:p>
      <w:pPr>
        <w:spacing w:after="0" w:line="19" w:lineRule="exact"/>
        <w:rPr>
          <w:rFonts w:ascii="Arial" w:cs="Arial" w:eastAsia="Arial" w:hAnsi="Arial"/>
          <w:sz w:val="17"/>
          <w:szCs w:val="17"/>
          <w:color w:val="auto"/>
        </w:rPr>
      </w:pPr>
    </w:p>
    <w:p>
      <w:pPr>
        <w:ind w:left="420"/>
        <w:spacing w:after="0"/>
        <w:rPr>
          <w:rFonts w:ascii="Arial" w:cs="Arial" w:eastAsia="Arial" w:hAnsi="Arial"/>
          <w:sz w:val="17"/>
          <w:szCs w:val="17"/>
          <w:color w:val="auto"/>
        </w:rPr>
      </w:pPr>
      <w:r>
        <w:rPr>
          <w:rFonts w:ascii="Arial" w:cs="Arial" w:eastAsia="Arial" w:hAnsi="Arial"/>
          <w:sz w:val="18"/>
          <w:szCs w:val="18"/>
          <w:color w:val="auto"/>
        </w:rPr>
        <w:t>2,762</w:t>
      </w:r>
      <w:r>
        <w:rPr>
          <w:rFonts w:ascii="Arial" w:cs="Arial" w:eastAsia="Arial" w:hAnsi="Arial"/>
          <w:sz w:val="15"/>
          <w:szCs w:val="15"/>
          <w:color w:val="auto"/>
        </w:rPr>
        <w:t>5,429</w:t>
      </w:r>
    </w:p>
    <w:p>
      <w:pPr>
        <w:spacing w:after="0" w:line="9" w:lineRule="exact"/>
        <w:rPr>
          <w:rFonts w:ascii="Arial" w:cs="Arial" w:eastAsia="Arial" w:hAnsi="Arial"/>
          <w:sz w:val="17"/>
          <w:szCs w:val="17"/>
          <w:color w:val="auto"/>
        </w:rPr>
      </w:pPr>
    </w:p>
    <w:p>
      <w:pPr>
        <w:ind w:left="1340" w:hanging="849"/>
        <w:spacing w:after="0"/>
        <w:tabs>
          <w:tab w:leader="none" w:pos="1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668</w:t>
      </w:r>
    </w:p>
    <w:p>
      <w:pPr>
        <w:spacing w:after="0" w:line="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144—</w:t>
      </w:r>
    </w:p>
    <w:p>
      <w:pPr>
        <w:spacing w:after="0" w:line="9" w:lineRule="exact"/>
        <w:rPr>
          <w:sz w:val="20"/>
          <w:szCs w:val="20"/>
          <w:color w:val="auto"/>
        </w:rPr>
      </w:pPr>
    </w:p>
    <w:p>
      <w:pPr>
        <w:ind w:left="1340" w:hanging="759"/>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4,007</w:t>
      </w:r>
      <w:r>
        <w:rPr>
          <w:rFonts w:ascii="Arial" w:cs="Arial" w:eastAsia="Arial" w:hAnsi="Arial"/>
          <w:sz w:val="15"/>
          <w:szCs w:val="15"/>
          <w:color w:val="auto"/>
        </w:rPr>
        <w:t>3,990</w:t>
      </w:r>
    </w:p>
    <w:p>
      <w:pPr>
        <w:spacing w:after="0" w:line="9" w:lineRule="exact"/>
        <w:rPr>
          <w:sz w:val="20"/>
          <w:szCs w:val="20"/>
          <w:color w:val="auto"/>
        </w:rPr>
      </w:pPr>
    </w:p>
    <w:p>
      <w:pPr>
        <w:ind w:left="360"/>
        <w:spacing w:after="0"/>
        <w:tabs>
          <w:tab w:leader="none" w:pos="1120" w:val="left"/>
        </w:tabs>
        <w:rPr>
          <w:sz w:val="20"/>
          <w:szCs w:val="20"/>
          <w:color w:val="auto"/>
        </w:rPr>
      </w:pPr>
      <w:r>
        <w:rPr>
          <w:rFonts w:ascii="Arial" w:cs="Arial" w:eastAsia="Arial" w:hAnsi="Arial"/>
          <w:sz w:val="16"/>
          <w:szCs w:val="16"/>
          <w:color w:val="auto"/>
        </w:rPr>
        <w:t>(1,308)</w:t>
      </w:r>
      <w:r>
        <w:rPr>
          <w:sz w:val="20"/>
          <w:szCs w:val="20"/>
          <w:color w:val="auto"/>
        </w:rPr>
        <w:tab/>
      </w:r>
      <w:r>
        <w:rPr>
          <w:rFonts w:ascii="Arial" w:cs="Arial" w:eastAsia="Arial" w:hAnsi="Arial"/>
          <w:sz w:val="16"/>
          <w:szCs w:val="16"/>
          <w:color w:val="auto"/>
        </w:rPr>
        <w:t>(2,007)</w:t>
      </w:r>
    </w:p>
    <w:p>
      <w:pPr>
        <w:spacing w:after="0" w:line="32"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color w:val="auto"/>
        </w:rPr>
        <w:t>(3,685)</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60"/>
        <w:spacing w:after="0"/>
        <w:tabs>
          <w:tab w:leader="none" w:pos="1180" w:val="left"/>
        </w:tabs>
        <w:rPr>
          <w:sz w:val="20"/>
          <w:szCs w:val="20"/>
          <w:color w:val="auto"/>
        </w:rPr>
      </w:pPr>
      <w:r>
        <w:rPr>
          <w:rFonts w:ascii="Arial" w:cs="Arial" w:eastAsia="Arial" w:hAnsi="Arial"/>
          <w:sz w:val="18"/>
          <w:szCs w:val="18"/>
          <w:color w:val="auto"/>
        </w:rPr>
        <w:t>(20,330)</w:t>
      </w:r>
      <w:r>
        <w:rPr>
          <w:sz w:val="20"/>
          <w:szCs w:val="20"/>
          <w:color w:val="auto"/>
        </w:rPr>
        <w:tab/>
      </w: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5715</wp:posOffset>
            </wp:positionV>
            <wp:extent cx="917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 w:lineRule="exact"/>
        <w:rPr>
          <w:sz w:val="20"/>
          <w:szCs w:val="20"/>
          <w:color w:val="auto"/>
        </w:rPr>
      </w:pPr>
    </w:p>
    <w:p>
      <w:pPr>
        <w:ind w:left="160"/>
        <w:spacing w:after="0"/>
        <w:tabs>
          <w:tab w:leader="none" w:pos="400" w:val="left"/>
          <w:tab w:leader="none" w:pos="1020" w:val="left"/>
        </w:tabs>
        <w:rPr>
          <w:sz w:val="20"/>
          <w:szCs w:val="20"/>
          <w:color w:val="auto"/>
        </w:rPr>
      </w:pPr>
      <w:r>
        <w:rPr>
          <w:rFonts w:ascii="Arial" w:cs="Arial" w:eastAsia="Arial" w:hAnsi="Arial"/>
          <w:sz w:val="18"/>
          <w:szCs w:val="18"/>
          <w:u w:val="single" w:color="auto"/>
          <w:color w:val="auto"/>
        </w:rPr>
        <w:t>$</w:t>
        <w:tab/>
        <w:t>2,858</w:t>
      </w:r>
      <w:r>
        <w:rPr>
          <w:sz w:val="20"/>
          <w:szCs w:val="20"/>
          <w:color w:val="auto"/>
        </w:rPr>
        <w:tab/>
      </w:r>
      <w:r>
        <w:rPr>
          <w:rFonts w:ascii="Arial" w:cs="Arial" w:eastAsia="Arial" w:hAnsi="Arial"/>
          <w:sz w:val="16"/>
          <w:szCs w:val="16"/>
          <w:u w:val="single" w:color="auto"/>
          <w:color w:val="auto"/>
        </w:rPr>
        <w:t>$ 3,243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31750</wp:posOffset>
            </wp:positionV>
            <wp:extent cx="9175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jc w:val="center"/>
        <w:ind w:right="60"/>
        <w:spacing w:after="0" w:line="226" w:lineRule="auto"/>
        <w:rPr>
          <w:sz w:val="20"/>
          <w:szCs w:val="20"/>
          <w:color w:val="auto"/>
        </w:rPr>
      </w:pPr>
      <w:r>
        <w:rPr>
          <w:rFonts w:ascii="Arial" w:cs="Arial" w:eastAsia="Arial" w:hAnsi="Arial"/>
          <w:sz w:val="14"/>
          <w:szCs w:val="14"/>
          <w:b w:val="1"/>
          <w:bCs w:val="1"/>
          <w:color w:val="auto"/>
        </w:rPr>
        <w:t>September 30,</w:t>
      </w:r>
    </w:p>
    <w:p>
      <w:pPr>
        <w:ind w:left="160"/>
        <w:spacing w:after="0" w:line="231" w:lineRule="auto"/>
        <w:tabs>
          <w:tab w:leader="none" w:pos="1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0.45</w:t>
            </w:r>
          </w:p>
        </w:tc>
        <w:tc>
          <w:tcPr>
            <w:tcW w:w="380" w:type="dxa"/>
            <w:vAlign w:val="bottom"/>
          </w:tcPr>
          <w:p>
            <w:pPr>
              <w:spacing w:after="0"/>
              <w:rPr>
                <w:sz w:val="15"/>
                <w:szCs w:val="15"/>
                <w:color w:val="auto"/>
              </w:rPr>
            </w:pPr>
          </w:p>
        </w:tc>
        <w:tc>
          <w:tcPr>
            <w:tcW w:w="10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(0.14)</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0.07</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42,202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42,038</w:t>
            </w:r>
          </w:p>
        </w:tc>
        <w:tc>
          <w:tcPr>
            <w:tcW w:w="60" w:type="dxa"/>
            <w:vAlign w:val="bottom"/>
          </w:tcPr>
          <w:p>
            <w:pPr>
              <w:spacing w:after="0"/>
              <w:rPr>
                <w:sz w:val="18"/>
                <w:szCs w:val="18"/>
                <w:color w:val="auto"/>
              </w:rPr>
            </w:pPr>
          </w:p>
        </w:tc>
      </w:tr>
    </w:tbl>
    <w:p>
      <w:pPr>
        <w:sectPr>
          <w:pgSz w:w="11900" w:h="16838" w:orient="portrait"/>
          <w:cols w:equalWidth="0" w:num="2">
            <w:col w:w="8580" w:space="720"/>
            <w:col w:w="1660"/>
          </w:cols>
          <w:pgMar w:left="440" w:top="270" w:right="499" w:bottom="1440" w:gutter="0" w:footer="0" w:header="0"/>
          <w:type w:val="continuous"/>
        </w:sectPr>
      </w:pPr>
    </w:p>
    <w:bookmarkStart w:id="12" w:name="page13"/>
    <w:bookmarkEnd w:id="12"/>
    <w:p>
      <w:pPr>
        <w:ind w:left="4"/>
        <w:spacing w:after="0" w:line="287"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discloses in this presentation the non-GAAP financial measures of adjusted income from operations, adjusted EBITDA, adjusted net income (loss), adjusted net income per diluted share, free cash flow and net debt. Each of these non-GAAP financial measures provides supplementary information about the impacts of acquisition, divestiture and integration related expenses, foreign-exchange impacts on inter-company loans, reorganizational and impairment charges. Over the past five years, we have completed seven acquisitions, two of which were transformative for the Company, and sold two of our businesses. The costs we incurred in completing such acquisitions, including the amortization of intangibles and deferred financing costs, and these divestitures have been excluded from these measures because their size and inconsistent frequency are unrelated to our commercial performance during the period, and which we believe are not indicative of our ongoing operating costs. We exclude the impact of currency translation from these measures because foreign exchange rates are not under management’s control and are subject to volatility. Other non-operating charges are excluded as the charges are not indicative of our ongoing operating cost. We believe the presentation of adjusted income from operations, adjusted EBITDA, adjusted net income (loss), adjusted net income per diluted share, free cash flow and net debt provides useful information in assessing our underlying business trends and facilitates comparison of our long-term performance over given periods.</w:t>
      </w:r>
    </w:p>
    <w:p>
      <w:pPr>
        <w:spacing w:after="0" w:line="172"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i w:val="1"/>
          <w:iCs w:val="1"/>
          <w:color w:val="auto"/>
        </w:rPr>
        <w:t>The non-GAAP financial measures provided herein may not provide information that is directly comparable to that provided by other companies in the Company’s industry, as other companies may calculate such financial results differently. The Company’s non-GAAP financial measures are not measurements of financial performance under GAAP and should not be considered as alternatives to actual income growth derived from income amounts presented in accordance with GAAP. The Company does not consider these non-GAAP financial measures to be a substitute for, or superior to, the information provided by GAAP financial results.</w:t>
      </w:r>
    </w:p>
    <w:p>
      <w:pPr>
        <w:spacing w:after="0" w:line="80" w:lineRule="exact"/>
        <w:rPr>
          <w:sz w:val="20"/>
          <w:szCs w:val="20"/>
          <w:color w:val="auto"/>
        </w:rPr>
      </w:pPr>
    </w:p>
    <w:p>
      <w:pPr>
        <w:ind w:left="4" w:hanging="4"/>
        <w:spacing w:after="0" w:line="254" w:lineRule="auto"/>
        <w:tabs>
          <w:tab w:leader="none" w:pos="259"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Non-GAAP adjusted income from operations represents GAAP income from operations, adjusted to exclude the effects of restructuring and integration expense; non-operational charges related to acquisition and transition expense, intangible amortization costs for fair value step-up in values related to acquisitions, non-cash impairment charges,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pacing w:after="0" w:line="86" w:lineRule="exact"/>
        <w:rPr>
          <w:rFonts w:ascii="Arial" w:cs="Arial" w:eastAsia="Arial" w:hAnsi="Arial"/>
          <w:sz w:val="18"/>
          <w:szCs w:val="18"/>
          <w:i w:val="1"/>
          <w:iCs w:val="1"/>
          <w:color w:val="auto"/>
        </w:rPr>
      </w:pPr>
    </w:p>
    <w:p>
      <w:pPr>
        <w:ind w:left="4" w:right="140" w:hanging="4"/>
        <w:spacing w:after="0" w:line="272" w:lineRule="auto"/>
        <w:tabs>
          <w:tab w:leader="none" w:pos="259"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EBITDA represents GAAP net income (loss), adjusted to include income taxes, interest expense, Interest rate swaps and write-offs, depreciation and amortization, charges related to acquisition and transition costs, non-cash stock compensation expense, foreign exchange gain (loss) on inter-company loans, restructuring and integration expense, income from discontinued operations, and non-cash impairment charges, to the extent applicable.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69" w:lineRule="exact"/>
        <w:rPr>
          <w:rFonts w:ascii="Arial" w:cs="Arial" w:eastAsia="Arial" w:hAnsi="Arial"/>
          <w:sz w:val="17"/>
          <w:szCs w:val="17"/>
          <w:i w:val="1"/>
          <w:iCs w:val="1"/>
          <w:color w:val="auto"/>
        </w:rPr>
      </w:pPr>
    </w:p>
    <w:p>
      <w:pPr>
        <w:ind w:left="4" w:right="300" w:hanging="4"/>
        <w:spacing w:after="0" w:line="286" w:lineRule="auto"/>
        <w:tabs>
          <w:tab w:leader="none" w:pos="249"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This line item reflects the aggregate tax effect of all nontax adjustments reflected in the respective table. NN, Inc. estimates the tax effect of the adjustment items identified in the reconciliation schedule above by applying the applicable statutory rates by tax jurisdiction unless the nature of the item and/or the tax jurisdiction in which the item has been recorded requires application of a specific tax rate or tax treatment.</w:t>
      </w:r>
    </w:p>
    <w:p>
      <w:pPr>
        <w:spacing w:after="0" w:line="57" w:lineRule="exact"/>
        <w:rPr>
          <w:rFonts w:ascii="Arial" w:cs="Arial" w:eastAsia="Arial" w:hAnsi="Arial"/>
          <w:sz w:val="17"/>
          <w:szCs w:val="17"/>
          <w:i w:val="1"/>
          <w:iCs w:val="1"/>
          <w:color w:val="auto"/>
        </w:rPr>
      </w:pPr>
    </w:p>
    <w:p>
      <w:pPr>
        <w:ind w:left="4" w:hanging="4"/>
        <w:spacing w:after="0" w:line="270" w:lineRule="auto"/>
        <w:tabs>
          <w:tab w:leader="none" w:pos="259"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Non-GAAP adjusted net income (loss) represents GAAP net income (loss) adjusted to exclude the tax-affected effects of restructuring and integration charges (related to plant closures and other charges incurred to implement our strategic goals that do not necessarily represent a major strategic shift in operations), charges related to acquisition and transition costs, amortization of intangibles costs for fair value step-up in values related to acquisitions and amortization of deferred financing costs, foreign exchange gain (loss) on inter-company loans, estimated interest expense on cash held from divestiture, non-cash impairment charges, the impact of enactment of the Tax Cut and Jobs Act and income from discontinued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(loss) from segment operations is not a measure of financial performance under GAAP and should not be considered as a measure of liquidity or as an alternative to GAAP income (loss) from continuing operations.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1"/>
      <w:numFmt w:val="upperLetter"/>
      <w:start w:val="40"/>
    </w:lvl>
  </w:abstractNum>
  <w:abstractNum w:abstractNumId="3">
    <w:nsid w:val="2EB141F2"/>
    <w:multiLevelType w:val="hybridMultilevel"/>
    <w:lvl w:ilvl="0">
      <w:lvlJc w:val="left"/>
      <w:lvlText w:val="%1"/>
      <w:numFmt w:val="upperLetter"/>
      <w:start w:val="40"/>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2)"/>
      <w:numFmt w:val="decimal"/>
      <w:start w:val="630"/>
    </w:lvl>
  </w:abstractNum>
  <w:abstractNum w:abstractNumId="7">
    <w:nsid w:val="515F007C"/>
    <w:multiLevelType w:val="hybridMultilevel"/>
    <w:lvl w:ilvl="0">
      <w:lvlJc w:val="left"/>
      <w:lvlText w:val="(%1)"/>
      <w:numFmt w:val="decimal"/>
      <w:start w:val="7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2020-11-06T05:42:59Z</dcterms:created>
  <dcterms:modified xsi:type="dcterms:W3CDTF">2020-11-06T05:42:59Z</dcterms:modified>
</cp:coreProperties>
</file>