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Date of Report (Date of earliest event reported): May 23, 2018 (May 18,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444500</wp:posOffset>
            </wp:positionV>
            <wp:extent cx="805815" cy="7975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7975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NN,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33"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207 Mockingbird Lane</w:t>
      </w:r>
    </w:p>
    <w:p>
      <w:pPr>
        <w:spacing w:after="0" w:line="39" w:lineRule="exact"/>
        <w:rPr>
          <w:sz w:val="24"/>
          <w:szCs w:val="24"/>
          <w:color w:val="auto"/>
        </w:rPr>
      </w:pPr>
    </w:p>
    <w:p>
      <w:pPr>
        <w:ind w:left="2120"/>
        <w:spacing w:after="0"/>
        <w:rPr>
          <w:sz w:val="20"/>
          <w:szCs w:val="20"/>
          <w:color w:val="auto"/>
        </w:rPr>
      </w:pPr>
      <w:r>
        <w:rPr>
          <w:rFonts w:ascii="Arial" w:cs="Arial" w:eastAsia="Arial" w:hAnsi="Arial"/>
          <w:sz w:val="15"/>
          <w:szCs w:val="15"/>
          <w:b w:val="1"/>
          <w:bCs w:val="1"/>
          <w:color w:val="auto"/>
        </w:rPr>
        <w:t>Johnson City, Tennessee</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jc w:val="center"/>
        <w:ind w:right="3460"/>
        <w:spacing w:after="0"/>
        <w:rPr>
          <w:sz w:val="20"/>
          <w:szCs w:val="20"/>
          <w:color w:val="auto"/>
        </w:rPr>
      </w:pPr>
      <w:r>
        <w:rPr>
          <w:rFonts w:ascii="Arial" w:cs="Arial" w:eastAsia="Arial" w:hAnsi="Arial"/>
          <w:sz w:val="16"/>
          <w:szCs w:val="16"/>
          <w:b w:val="1"/>
          <w:bCs w:val="1"/>
          <w:color w:val="auto"/>
        </w:rPr>
        <w:t>37604</w:t>
      </w:r>
    </w:p>
    <w:p>
      <w:pPr>
        <w:spacing w:after="0" w:line="50" w:lineRule="exact"/>
        <w:rPr>
          <w:sz w:val="24"/>
          <w:szCs w:val="24"/>
          <w:color w:val="auto"/>
        </w:rPr>
      </w:pPr>
    </w:p>
    <w:p>
      <w:pPr>
        <w:sectPr>
          <w:pgSz w:w="11900" w:h="16838" w:orient="portrait"/>
          <w:cols w:equalWidth="0" w:num="2">
            <w:col w:w="6720" w:space="720"/>
            <w:col w:w="3920"/>
          </w:cols>
          <w:pgMar w:left="240" w:top="368" w:right="299" w:bottom="1440" w:gutter="0" w:footer="0" w:header="0"/>
          <w:type w:val="continuous"/>
        </w:sectPr>
      </w:pPr>
    </w:p>
    <w:p>
      <w:pPr>
        <w:ind w:left="18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360"/>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6620" w:space="720"/>
            <w:col w:w="4020"/>
          </w:cols>
          <w:pgMar w:left="240" w:top="368"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(423) 434-8300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90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2018 annual meeting of the stockholders (the “Annual Meeting”) of NN, Inc. (the “Corporation”) was held on May 18, 2018. At the Annual Meeting, the following proposals were considered:</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three Class II directors to serve for a term of three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advisory (non-binding) vote to approve the compensation of the Corporation’s named executive officers;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advisory vote to ratify the selection of PricewaterhouseCoopers LLP as the Corporation’s registered independent public accounting firm for the fiscal year ending in December 31, 2018.</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final voting results for each proposal are described below. For beneficial owners holding the Corporation’s common stock at a bank or brokerage institution, a “broker non-vote” occurred if the owner failed to give voting instructions, and the bank or broker was otherwise restricted from voting on the owner’s behalf.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Class II directors were elected. The results of the election were as follows: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3320" w:type="dxa"/>
            <w:vAlign w:val="bottom"/>
          </w:tcPr>
          <w:p>
            <w:pPr>
              <w:jc w:val="right"/>
              <w:ind w:right="454"/>
              <w:spacing w:after="0"/>
              <w:rPr>
                <w:sz w:val="20"/>
                <w:szCs w:val="20"/>
                <w:color w:val="auto"/>
              </w:rPr>
            </w:pPr>
            <w:r>
              <w:rPr>
                <w:rFonts w:ascii="Arial" w:cs="Arial" w:eastAsia="Arial" w:hAnsi="Arial"/>
                <w:sz w:val="14"/>
                <w:szCs w:val="14"/>
                <w:b w:val="1"/>
                <w:bCs w:val="1"/>
                <w:color w:val="auto"/>
              </w:rPr>
              <w:t>For</w:t>
            </w:r>
          </w:p>
        </w:tc>
        <w:tc>
          <w:tcPr>
            <w:tcW w:w="960" w:type="dxa"/>
            <w:vAlign w:val="bottom"/>
          </w:tcPr>
          <w:p>
            <w:pPr>
              <w:jc w:val="right"/>
              <w:ind w:right="174"/>
              <w:spacing w:after="0"/>
              <w:rPr>
                <w:sz w:val="20"/>
                <w:szCs w:val="20"/>
                <w:color w:val="auto"/>
              </w:rPr>
            </w:pPr>
            <w:r>
              <w:rPr>
                <w:rFonts w:ascii="Arial" w:cs="Arial" w:eastAsia="Arial" w:hAnsi="Arial"/>
                <w:sz w:val="14"/>
                <w:szCs w:val="14"/>
                <w:b w:val="1"/>
                <w:bCs w:val="1"/>
                <w:color w:val="auto"/>
              </w:rPr>
              <w:t>Against</w:t>
            </w:r>
          </w:p>
        </w:tc>
        <w:tc>
          <w:tcPr>
            <w:tcW w:w="1200" w:type="dxa"/>
            <w:vAlign w:val="bottom"/>
          </w:tcPr>
          <w:p>
            <w:pPr>
              <w:jc w:val="right"/>
              <w:ind w:right="254"/>
              <w:spacing w:after="0"/>
              <w:rPr>
                <w:sz w:val="20"/>
                <w:szCs w:val="20"/>
                <w:color w:val="auto"/>
              </w:rPr>
            </w:pPr>
            <w:r>
              <w:rPr>
                <w:rFonts w:ascii="Arial" w:cs="Arial" w:eastAsia="Arial" w:hAnsi="Arial"/>
                <w:sz w:val="14"/>
                <w:szCs w:val="14"/>
                <w:b w:val="1"/>
                <w:bCs w:val="1"/>
                <w:color w:val="auto"/>
              </w:rPr>
              <w:t>Withheld</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Broker Non-Votes</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Robert E. Brunner</w:t>
            </w:r>
          </w:p>
        </w:tc>
        <w:tc>
          <w:tcPr>
            <w:tcW w:w="3320" w:type="dxa"/>
            <w:vAlign w:val="bottom"/>
          </w:tcPr>
          <w:p>
            <w:pPr>
              <w:jc w:val="right"/>
              <w:ind w:right="134"/>
              <w:spacing w:after="0"/>
              <w:rPr>
                <w:sz w:val="20"/>
                <w:szCs w:val="20"/>
                <w:color w:val="auto"/>
              </w:rPr>
            </w:pPr>
            <w:r>
              <w:rPr>
                <w:rFonts w:ascii="Arial" w:cs="Arial" w:eastAsia="Arial" w:hAnsi="Arial"/>
                <w:sz w:val="18"/>
                <w:szCs w:val="18"/>
                <w:color w:val="auto"/>
              </w:rPr>
              <w:t>24,214,064</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676,307</w:t>
            </w:r>
          </w:p>
        </w:tc>
        <w:tc>
          <w:tcPr>
            <w:tcW w:w="1320" w:type="dxa"/>
            <w:vAlign w:val="bottom"/>
          </w:tcPr>
          <w:p>
            <w:pPr>
              <w:jc w:val="right"/>
              <w:spacing w:after="0"/>
              <w:rPr>
                <w:sz w:val="20"/>
                <w:szCs w:val="20"/>
                <w:color w:val="auto"/>
              </w:rPr>
            </w:pPr>
            <w:r>
              <w:rPr>
                <w:rFonts w:ascii="Arial" w:cs="Arial" w:eastAsia="Arial" w:hAnsi="Arial"/>
                <w:sz w:val="18"/>
                <w:szCs w:val="18"/>
                <w:color w:val="auto"/>
              </w:rPr>
              <w:t>1,929,650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Richard D. Holder</w:t>
            </w:r>
          </w:p>
        </w:tc>
        <w:tc>
          <w:tcPr>
            <w:tcW w:w="3320" w:type="dxa"/>
            <w:vAlign w:val="bottom"/>
          </w:tcPr>
          <w:p>
            <w:pPr>
              <w:jc w:val="right"/>
              <w:ind w:right="134"/>
              <w:spacing w:after="0"/>
              <w:rPr>
                <w:sz w:val="20"/>
                <w:szCs w:val="20"/>
                <w:color w:val="auto"/>
              </w:rPr>
            </w:pPr>
            <w:r>
              <w:rPr>
                <w:rFonts w:ascii="Arial" w:cs="Arial" w:eastAsia="Arial" w:hAnsi="Arial"/>
                <w:sz w:val="18"/>
                <w:szCs w:val="18"/>
                <w:color w:val="auto"/>
              </w:rPr>
              <w:t>24,220,567</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669,804</w:t>
            </w:r>
          </w:p>
        </w:tc>
        <w:tc>
          <w:tcPr>
            <w:tcW w:w="1320" w:type="dxa"/>
            <w:vAlign w:val="bottom"/>
          </w:tcPr>
          <w:p>
            <w:pPr>
              <w:jc w:val="right"/>
              <w:spacing w:after="0"/>
              <w:rPr>
                <w:sz w:val="20"/>
                <w:szCs w:val="20"/>
                <w:color w:val="auto"/>
              </w:rPr>
            </w:pPr>
            <w:r>
              <w:rPr>
                <w:rFonts w:ascii="Arial" w:cs="Arial" w:eastAsia="Arial" w:hAnsi="Arial"/>
                <w:sz w:val="18"/>
                <w:szCs w:val="18"/>
                <w:color w:val="auto"/>
              </w:rPr>
              <w:t>1,929,650</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David L. Pugh</w:t>
            </w:r>
          </w:p>
        </w:tc>
        <w:tc>
          <w:tcPr>
            <w:tcW w:w="3320" w:type="dxa"/>
            <w:vAlign w:val="bottom"/>
          </w:tcPr>
          <w:p>
            <w:pPr>
              <w:jc w:val="right"/>
              <w:ind w:right="134"/>
              <w:spacing w:after="0"/>
              <w:rPr>
                <w:sz w:val="20"/>
                <w:szCs w:val="20"/>
                <w:color w:val="auto"/>
              </w:rPr>
            </w:pPr>
            <w:r>
              <w:rPr>
                <w:rFonts w:ascii="Arial" w:cs="Arial" w:eastAsia="Arial" w:hAnsi="Arial"/>
                <w:sz w:val="18"/>
                <w:szCs w:val="18"/>
                <w:color w:val="auto"/>
              </w:rPr>
              <w:t>22,607,735</w:t>
            </w:r>
          </w:p>
        </w:tc>
        <w:tc>
          <w:tcPr>
            <w:tcW w:w="960" w:type="dxa"/>
            <w:vAlign w:val="bottom"/>
          </w:tcPr>
          <w:p>
            <w:pPr>
              <w:jc w:val="right"/>
              <w:ind w:right="174"/>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2,282,636</w:t>
            </w:r>
          </w:p>
        </w:tc>
        <w:tc>
          <w:tcPr>
            <w:tcW w:w="1320" w:type="dxa"/>
            <w:vAlign w:val="bottom"/>
          </w:tcPr>
          <w:p>
            <w:pPr>
              <w:jc w:val="right"/>
              <w:spacing w:after="0"/>
              <w:rPr>
                <w:sz w:val="20"/>
                <w:szCs w:val="20"/>
                <w:color w:val="auto"/>
              </w:rPr>
            </w:pPr>
            <w:r>
              <w:rPr>
                <w:rFonts w:ascii="Arial" w:cs="Arial" w:eastAsia="Arial" w:hAnsi="Arial"/>
                <w:sz w:val="18"/>
                <w:szCs w:val="18"/>
                <w:color w:val="auto"/>
              </w:rPr>
              <w:t>1,929,650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advisory (non-binding) vote on the executive compensation of the Corporation’s named executive officers was in favor of executive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29" w:lineRule="exact"/>
        <w:rPr>
          <w:sz w:val="20"/>
          <w:szCs w:val="20"/>
          <w:color w:val="auto"/>
        </w:rPr>
      </w:pPr>
    </w:p>
    <w:tbl>
      <w:tblPr>
        <w:tblLayout w:type="fixed"/>
        <w:tblInd w:w="96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162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w w:val="97"/>
              </w:rPr>
              <w:t>For</w:t>
            </w:r>
          </w:p>
        </w:tc>
        <w:tc>
          <w:tcPr>
            <w:tcW w:w="28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Against</w:t>
            </w:r>
          </w:p>
        </w:tc>
        <w:tc>
          <w:tcPr>
            <w:tcW w:w="282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88"/>
              </w:rPr>
              <w:t>Abstentions</w:t>
            </w:r>
          </w:p>
        </w:tc>
        <w:tc>
          <w:tcPr>
            <w:tcW w:w="2120" w:type="dxa"/>
            <w:vAlign w:val="bottom"/>
            <w:gridSpan w:val="2"/>
          </w:tcPr>
          <w:p>
            <w:pPr>
              <w:jc w:val="center"/>
              <w:ind w:left="899"/>
              <w:spacing w:after="0"/>
              <w:rPr>
                <w:sz w:val="20"/>
                <w:szCs w:val="20"/>
                <w:color w:val="auto"/>
              </w:rPr>
            </w:pPr>
            <w:r>
              <w:rPr>
                <w:rFonts w:ascii="Arial" w:cs="Arial" w:eastAsia="Arial" w:hAnsi="Arial"/>
                <w:sz w:val="14"/>
                <w:szCs w:val="14"/>
                <w:b w:val="1"/>
                <w:bCs w:val="1"/>
                <w:color w:val="auto"/>
                <w:w w:val="95"/>
              </w:rPr>
              <w:t>Broker Non-Votes</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24"/>
        </w:trPr>
        <w:tc>
          <w:tcPr>
            <w:tcW w:w="1920" w:type="dxa"/>
            <w:vAlign w:val="bottom"/>
            <w:gridSpan w:val="3"/>
          </w:tcPr>
          <w:p>
            <w:pPr>
              <w:jc w:val="right"/>
              <w:ind w:right="1100"/>
              <w:spacing w:after="0"/>
              <w:rPr>
                <w:sz w:val="20"/>
                <w:szCs w:val="20"/>
                <w:color w:val="auto"/>
              </w:rPr>
            </w:pPr>
            <w:r>
              <w:rPr>
                <w:rFonts w:ascii="Arial" w:cs="Arial" w:eastAsia="Arial" w:hAnsi="Arial"/>
                <w:sz w:val="18"/>
                <w:szCs w:val="18"/>
                <w:color w:val="auto"/>
                <w:w w:val="88"/>
              </w:rPr>
              <w:t>24,333,982</w:t>
            </w:r>
          </w:p>
        </w:tc>
        <w:tc>
          <w:tcPr>
            <w:tcW w:w="2800" w:type="dxa"/>
            <w:vAlign w:val="bottom"/>
            <w:gridSpan w:val="3"/>
          </w:tcPr>
          <w:p>
            <w:pPr>
              <w:jc w:val="right"/>
              <w:ind w:right="1120"/>
              <w:spacing w:after="0"/>
              <w:rPr>
                <w:sz w:val="20"/>
                <w:szCs w:val="20"/>
                <w:color w:val="auto"/>
              </w:rPr>
            </w:pPr>
            <w:r>
              <w:rPr>
                <w:rFonts w:ascii="Arial" w:cs="Arial" w:eastAsia="Arial" w:hAnsi="Arial"/>
                <w:sz w:val="18"/>
                <w:szCs w:val="18"/>
                <w:color w:val="auto"/>
              </w:rPr>
              <w:t>347,408</w:t>
            </w:r>
          </w:p>
        </w:tc>
        <w:tc>
          <w:tcPr>
            <w:tcW w:w="1840" w:type="dxa"/>
            <w:vAlign w:val="bottom"/>
            <w:gridSpan w:val="2"/>
          </w:tcPr>
          <w:p>
            <w:pPr>
              <w:jc w:val="right"/>
              <w:ind w:right="60"/>
              <w:spacing w:after="0"/>
              <w:rPr>
                <w:sz w:val="20"/>
                <w:szCs w:val="20"/>
                <w:color w:val="auto"/>
              </w:rPr>
            </w:pPr>
            <w:r>
              <w:rPr>
                <w:rFonts w:ascii="Arial" w:cs="Arial" w:eastAsia="Arial" w:hAnsi="Arial"/>
                <w:sz w:val="18"/>
                <w:szCs w:val="18"/>
                <w:color w:val="auto"/>
              </w:rPr>
              <w:t>208,981</w:t>
            </w:r>
          </w:p>
        </w:tc>
        <w:tc>
          <w:tcPr>
            <w:tcW w:w="980" w:type="dxa"/>
            <w:vAlign w:val="bottom"/>
          </w:tcPr>
          <w:p>
            <w:pPr>
              <w:spacing w:after="0"/>
              <w:rPr>
                <w:sz w:val="19"/>
                <w:szCs w:val="19"/>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1,929,650</w:t>
            </w:r>
          </w:p>
        </w:tc>
      </w:tr>
    </w:tbl>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Audit Committee’s selection of PricewaterhouseCoopers LLP as the Corporation’s registered independent public accounting firm for the fiscal year ending December 31, 2018 was ratified. The results of the vote were as follows:</w:t>
      </w:r>
    </w:p>
    <w:p>
      <w:pPr>
        <w:spacing w:after="0" w:line="189"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1920" w:type="dxa"/>
            <w:vAlign w:val="bottom"/>
          </w:tcPr>
          <w:p>
            <w:pPr>
              <w:spacing w:after="0"/>
              <w:rPr>
                <w:sz w:val="14"/>
                <w:szCs w:val="14"/>
                <w:color w:val="auto"/>
              </w:rPr>
            </w:pPr>
          </w:p>
        </w:tc>
        <w:tc>
          <w:tcPr>
            <w:tcW w:w="5260" w:type="dxa"/>
            <w:vAlign w:val="bottom"/>
            <w:gridSpan w:val="3"/>
          </w:tcPr>
          <w:p>
            <w:pPr>
              <w:ind w:left="1620"/>
              <w:spacing w:after="0"/>
              <w:rPr>
                <w:sz w:val="20"/>
                <w:szCs w:val="20"/>
                <w:color w:val="auto"/>
              </w:rPr>
            </w:pPr>
            <w:r>
              <w:rPr>
                <w:rFonts w:ascii="Arial" w:cs="Arial" w:eastAsia="Arial" w:hAnsi="Arial"/>
                <w:sz w:val="14"/>
                <w:szCs w:val="14"/>
                <w:b w:val="1"/>
                <w:bCs w:val="1"/>
                <w:color w:val="auto"/>
              </w:rPr>
              <w:t>Against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Abstentions</w:t>
            </w:r>
          </w:p>
        </w:tc>
      </w:tr>
      <w:tr>
        <w:trPr>
          <w:trHeight w:val="20"/>
        </w:trPr>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24"/>
        </w:trPr>
        <w:tc>
          <w:tcPr>
            <w:tcW w:w="2440" w:type="dxa"/>
            <w:vAlign w:val="bottom"/>
            <w:gridSpan w:val="3"/>
          </w:tcPr>
          <w:p>
            <w:pPr>
              <w:jc w:val="right"/>
              <w:ind w:right="1620"/>
              <w:spacing w:after="0"/>
              <w:rPr>
                <w:sz w:val="20"/>
                <w:szCs w:val="20"/>
                <w:color w:val="auto"/>
              </w:rPr>
            </w:pPr>
            <w:r>
              <w:rPr>
                <w:rFonts w:ascii="Arial" w:cs="Arial" w:eastAsia="Arial" w:hAnsi="Arial"/>
                <w:sz w:val="18"/>
                <w:szCs w:val="18"/>
                <w:color w:val="auto"/>
                <w:w w:val="88"/>
              </w:rPr>
              <w:t>26,704,255</w:t>
            </w:r>
          </w:p>
        </w:tc>
        <w:tc>
          <w:tcPr>
            <w:tcW w:w="5260" w:type="dxa"/>
            <w:vAlign w:val="bottom"/>
            <w:gridSpan w:val="3"/>
          </w:tcPr>
          <w:p>
            <w:pPr>
              <w:ind w:left="1620"/>
              <w:spacing w:after="0"/>
              <w:rPr>
                <w:sz w:val="20"/>
                <w:szCs w:val="20"/>
                <w:color w:val="auto"/>
              </w:rPr>
            </w:pPr>
            <w:r>
              <w:rPr>
                <w:rFonts w:ascii="Arial" w:cs="Arial" w:eastAsia="Arial" w:hAnsi="Arial"/>
                <w:sz w:val="18"/>
                <w:szCs w:val="18"/>
                <w:color w:val="auto"/>
              </w:rPr>
              <w:t>81,518</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34,248</w:t>
            </w:r>
          </w:p>
        </w:tc>
      </w:tr>
    </w:tbl>
    <w:p>
      <w:pPr>
        <w:sectPr>
          <w:pgSz w:w="11900" w:h="16838" w:orient="portrait"/>
          <w:cols w:equalWidth="0" w:num="1">
            <w:col w:w="11420"/>
          </w:cols>
          <w:pgMar w:left="240" w:top="27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23,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 Heiter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Matthew S. Heiter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General Counsel</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2019-12-06T02:18:25Z</dcterms:created>
  <dcterms:modified xsi:type="dcterms:W3CDTF">2019-12-06T02:18:25Z</dcterms:modified>
</cp:coreProperties>
</file>