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October 13, 2026</w:t>
      </w:r>
    </w:p>
    <w:p>
      <w:pPr>
        <w:pStyle w:val="TextBody"/>
        <w:bidi w:val="0"/>
        <w:spacing w:lineRule="auto" w:line="288" w:before="160" w:after="283"/>
        <w:jc w:val="right"/>
        <w:rPr>
          <w:rFonts w:ascii="Times New Roman;serif" w:hAnsi="Times New Roman;serif"/>
          <w:b/>
          <w:color w:val="000000"/>
          <w:sz w:val="18"/>
        </w:rPr>
      </w:pPr>
      <w:r>
        <w:rPr>
          <w:rFonts w:ascii="Times New Roman;serif" w:hAnsi="Times New Roman;serif"/>
          <w:b/>
          <w:color w:val="000000"/>
          <w:sz w:val="18"/>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40" w:after="40"/>
              <w:jc w:val="left"/>
              <w:rPr/>
            </w:pPr>
            <w:r>
              <w:rPr/>
            </w:r>
          </w:p>
        </w:tc>
      </w:tr>
    </w:tbl>
    <w:p>
      <w:pPr>
        <w:pStyle w:val="TextBody"/>
        <w:bidi w:val="0"/>
        <w:spacing w:lineRule="auto" w:line="288" w:before="160" w:after="283"/>
        <w:jc w:val="center"/>
        <w:rPr/>
      </w:pPr>
      <w:r>
        <w:rPr>
          <w:rFonts w:ascii="Times New Roman;serif" w:hAnsi="Times New Roman;serif"/>
          <w:b/>
          <w:color w:val="000000"/>
          <w:sz w:val="32"/>
        </w:rPr>
        <w:t xml:space="preserve">UNITED STATES </w:t>
      </w:r>
      <w:r>
        <w:rPr>
          <w:rFonts w:ascii="Times New Roman;serif" w:hAnsi="Times New Roman;serif"/>
          <w:b w:val="false"/>
          <w:color w:val="000000"/>
          <w:sz w:val="20"/>
        </w:rPr>
        <w:br/>
      </w:r>
      <w:r>
        <w:rPr>
          <w:rFonts w:ascii="Times New Roman;serif" w:hAnsi="Times New Roman;serif"/>
          <w:b/>
          <w:color w:val="000000"/>
          <w:sz w:val="32"/>
        </w:rPr>
        <w:t xml:space="preserve">SECURITIES AND EXCHANGE COMMISSION </w:t>
      </w:r>
      <w:r>
        <w:rPr>
          <w:rFonts w:ascii="Times New Roman;serif" w:hAnsi="Times New Roman;serif"/>
          <w:b w:val="false"/>
          <w:color w:val="000000"/>
          <w:sz w:val="20"/>
        </w:rPr>
        <w:br/>
      </w:r>
      <w:r>
        <w:rPr>
          <w:rFonts w:ascii="Times New Roman;serif" w:hAnsi="Times New Roman;serif"/>
          <w:b/>
          <w:color w:val="000000"/>
          <w:sz w:val="18"/>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40" w:after="40"/>
              <w:jc w:val="left"/>
              <w:rPr/>
            </w:pPr>
            <w:r>
              <w:rPr/>
            </w:r>
          </w:p>
        </w:tc>
      </w:tr>
    </w:tbl>
    <w:p>
      <w:pPr>
        <w:pStyle w:val="TextBody"/>
        <w:bidi w:val="0"/>
        <w:spacing w:lineRule="auto" w:line="288" w:before="20" w:after="283"/>
        <w:jc w:val="center"/>
        <w:rPr/>
      </w:pPr>
      <w:r>
        <w:rPr>
          <w:rFonts w:ascii="Times New Roman;serif" w:hAnsi="Times New Roman;serif"/>
          <w:b/>
          <w:color w:val="000000"/>
          <w:sz w:val="32"/>
        </w:rPr>
        <w:t>FORM S-3</w:t>
      </w:r>
      <w:r>
        <w:rPr>
          <w:color w:val="000000"/>
        </w:rPr>
        <w:t xml:space="preserve">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REGISTRATION STATEMENT </w:t>
      </w:r>
    </w:p>
    <w:p>
      <w:pPr>
        <w:pStyle w:val="TextBody"/>
        <w:bidi w:val="0"/>
        <w:spacing w:lineRule="auto" w:line="288" w:before="20" w:after="283"/>
        <w:jc w:val="center"/>
        <w:rPr/>
      </w:pPr>
      <w:r>
        <w:rPr>
          <w:rFonts w:ascii="Times New Roman;serif" w:hAnsi="Times New Roman;serif"/>
          <w:b/>
          <w:i/>
          <w:color w:val="000000"/>
          <w:sz w:val="18"/>
        </w:rPr>
        <w:t xml:space="preserve">UNDER </w:t>
      </w:r>
      <w:r>
        <w:rPr>
          <w:rFonts w:ascii="Times New Roman;serif" w:hAnsi="Times New Roman;serif"/>
          <w:b w:val="false"/>
          <w:color w:val="000000"/>
          <w:sz w:val="20"/>
        </w:rPr>
        <w:br/>
      </w:r>
      <w:r>
        <w:rPr>
          <w:rFonts w:ascii="Times New Roman;serif" w:hAnsi="Times New Roman;serif"/>
          <w:b/>
          <w:i/>
          <w:color w:val="000000"/>
          <w:sz w:val="18"/>
        </w:rPr>
        <w:t>THE SECURITIES ACT OF 1933</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40" w:after="40"/>
              <w:jc w:val="left"/>
              <w:rPr/>
            </w:pPr>
            <w:r>
              <w:rPr/>
            </w:r>
          </w:p>
        </w:tc>
      </w:tr>
    </w:tbl>
    <w:p>
      <w:pPr>
        <w:pStyle w:val="TextBody"/>
        <w:bidi w:val="0"/>
        <w:spacing w:lineRule="auto" w:line="288" w:before="20" w:after="283"/>
        <w:jc w:val="center"/>
        <w:rPr/>
      </w:pPr>
      <w:r>
        <w:rPr>
          <w:rFonts w:ascii="Times New Roman;serif" w:hAnsi="Times New Roman;serif"/>
          <w:b/>
          <w:color w:val="000000"/>
          <w:sz w:val="32"/>
        </w:rPr>
        <w:t>NN, Inc.</w:t>
      </w:r>
      <w:r>
        <w:rPr>
          <w:color w:val="000000"/>
        </w:rPr>
        <w:t xml:space="preserve"> </w:t>
      </w:r>
    </w:p>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(Exact name of registrant as specified in its charter) </w:t>
      </w:r>
    </w:p>
    <w:tbl>
      <w:tblPr>
        <w:tblW w:w="4094" w:type="dxa"/>
        <w:jc w:val="left"/>
        <w:tblInd w:w="0" w:type="dxa"/>
        <w:tblLayout w:type="fixed"/>
        <w:tblCellMar>
          <w:top w:w="28" w:type="dxa"/>
          <w:left w:w="28" w:type="dxa"/>
          <w:bottom w:w="28" w:type="dxa"/>
          <w:right w:w="28" w:type="dxa"/>
        </w:tblCellMar>
      </w:tblPr>
      <w:tblGrid>
        <w:gridCol w:w="823"/>
        <w:gridCol w:w="725"/>
        <w:gridCol w:w="731"/>
        <w:gridCol w:w="529"/>
        <w:gridCol w:w="529"/>
        <w:gridCol w:w="757"/>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Delaware</w:t>
            </w:r>
            <w:r>
              <w:rPr>
                <w:color w:val="000000"/>
              </w:rPr>
              <w:t xml:space="preserve">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62-1096725</w:t>
            </w:r>
            <w:r>
              <w:rPr>
                <w:color w:val="000000"/>
              </w:rPr>
              <w:t xml:space="preserve"> </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(State or other jurisdiction of</w:t>
            </w:r>
            <w:r>
              <w:rPr>
                <w:color w:val="000000"/>
              </w:rPr>
              <w:t xml:space="preserve"> </w:t>
            </w:r>
            <w:r>
              <w:rPr>
                <w:rFonts w:ascii="Times New Roman;serif" w:hAnsi="Times New Roman;serif"/>
                <w:b w:val="false"/>
                <w:color w:val="000000"/>
                <w:sz w:val="20"/>
              </w:rPr>
              <w:br/>
            </w:r>
            <w:r>
              <w:rPr>
                <w:rFonts w:ascii="Times New Roman;serif" w:hAnsi="Times New Roman;serif"/>
                <w:b w:val="false"/>
                <w:color w:val="000000"/>
                <w:sz w:val="16"/>
              </w:rPr>
              <w:t xml:space="preserve">incorporation or organization)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(I.R.S. Employer</w:t>
            </w:r>
            <w:r>
              <w:rPr>
                <w:color w:val="000000"/>
              </w:rPr>
              <w:t xml:space="preserve"> </w:t>
            </w:r>
            <w:r>
              <w:rPr>
                <w:rFonts w:ascii="Times New Roman;serif" w:hAnsi="Times New Roman;serif"/>
                <w:b w:val="false"/>
                <w:color w:val="000000"/>
                <w:sz w:val="20"/>
              </w:rPr>
              <w:br/>
            </w:r>
            <w:r>
              <w:rPr>
                <w:rFonts w:ascii="Times New Roman;serif" w:hAnsi="Times New Roman;serif"/>
                <w:b w:val="false"/>
                <w:color w:val="000000"/>
                <w:sz w:val="16"/>
              </w:rPr>
              <w:t>Identification Number)</w:t>
            </w:r>
            <w:r>
              <w:rPr>
                <w:color w:val="000000"/>
              </w:rPr>
              <w:t xml:space="preserve"> </w:t>
            </w:r>
          </w:p>
        </w:tc>
      </w:tr>
    </w:tbl>
    <w:p>
      <w:pPr>
        <w:pStyle w:val="TextBody"/>
        <w:bidi w:val="0"/>
        <w:spacing w:lineRule="auto" w:line="288" w:before="20" w:after="283"/>
        <w:jc w:val="center"/>
        <w:rPr/>
      </w:pPr>
      <w:r>
        <w:rPr>
          <w:rFonts w:ascii="Times New Roman;serif" w:hAnsi="Times New Roman;serif"/>
          <w:b/>
          <w:color w:val="000000"/>
          <w:sz w:val="18"/>
        </w:rPr>
        <w:t xml:space="preserve">6210 Ardrey Kell Road, Suite 120 </w:t>
      </w:r>
      <w:r>
        <w:rPr>
          <w:rFonts w:ascii="Times New Roman;serif" w:hAnsi="Times New Roman;serif"/>
          <w:b w:val="false"/>
          <w:color w:val="000000"/>
          <w:sz w:val="20"/>
        </w:rPr>
        <w:br/>
      </w:r>
      <w:r>
        <w:rPr>
          <w:rFonts w:ascii="Times New Roman;serif" w:hAnsi="Times New Roman;serif"/>
          <w:b/>
          <w:color w:val="000000"/>
          <w:sz w:val="18"/>
        </w:rPr>
        <w:t xml:space="preserve">Charlotte, North Carolina 28277 </w:t>
      </w:r>
      <w:r>
        <w:rPr>
          <w:rFonts w:ascii="Times New Roman;serif" w:hAnsi="Times New Roman;serif"/>
          <w:b w:val="false"/>
          <w:color w:val="000000"/>
          <w:sz w:val="20"/>
        </w:rPr>
        <w:br/>
      </w:r>
      <w:r>
        <w:rPr>
          <w:rFonts w:ascii="Times New Roman;serif" w:hAnsi="Times New Roman;serif"/>
          <w:b/>
          <w:color w:val="000000"/>
          <w:sz w:val="18"/>
        </w:rPr>
        <w:t>(980) 264-4300</w:t>
      </w:r>
      <w:r>
        <w:rPr>
          <w:color w:val="000000"/>
        </w:rPr>
        <w:t xml:space="preserve"> </w:t>
      </w:r>
    </w:p>
    <w:p>
      <w:pPr>
        <w:pStyle w:val="TextBody"/>
        <w:bidi w:val="0"/>
        <w:spacing w:lineRule="auto" w:line="288" w:before="2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(Address, including zip code, and telephone number, including area code, of registrant’s principal executive offices)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40" w:after="40"/>
              <w:jc w:val="left"/>
              <w:rPr/>
            </w:pPr>
            <w:r>
              <w:rPr/>
            </w:r>
          </w:p>
        </w:tc>
      </w:tr>
    </w:tbl>
    <w:p>
      <w:pPr>
        <w:pStyle w:val="TextBody"/>
        <w:bidi w:val="0"/>
        <w:spacing w:lineRule="auto" w:line="288" w:before="20" w:after="283"/>
        <w:jc w:val="center"/>
        <w:rPr/>
      </w:pPr>
      <w:r>
        <w:rPr>
          <w:rFonts w:ascii="Times New Roman;serif" w:hAnsi="Times New Roman;serif"/>
          <w:b/>
          <w:color w:val="000000"/>
          <w:sz w:val="18"/>
        </w:rPr>
        <w:t xml:space="preserve">Harold C. Bevis </w:t>
      </w:r>
      <w:r>
        <w:rPr>
          <w:rFonts w:ascii="Times New Roman;serif" w:hAnsi="Times New Roman;serif"/>
          <w:b w:val="false"/>
          <w:color w:val="000000"/>
          <w:sz w:val="20"/>
        </w:rPr>
        <w:br/>
      </w:r>
      <w:r>
        <w:rPr>
          <w:rFonts w:ascii="Times New Roman;serif" w:hAnsi="Times New Roman;serif"/>
          <w:b/>
          <w:color w:val="000000"/>
          <w:sz w:val="18"/>
        </w:rPr>
        <w:t xml:space="preserve">Chief Executive Officer </w:t>
      </w:r>
      <w:r>
        <w:rPr>
          <w:rFonts w:ascii="Times New Roman;serif" w:hAnsi="Times New Roman;serif"/>
          <w:b w:val="false"/>
          <w:color w:val="000000"/>
          <w:sz w:val="20"/>
        </w:rPr>
        <w:br/>
      </w:r>
      <w:r>
        <w:rPr>
          <w:rFonts w:ascii="Times New Roman;serif" w:hAnsi="Times New Roman;serif"/>
          <w:b/>
          <w:color w:val="000000"/>
          <w:sz w:val="18"/>
        </w:rPr>
        <w:t xml:space="preserve">NN, Inc. </w:t>
      </w:r>
      <w:r>
        <w:rPr>
          <w:rFonts w:ascii="Times New Roman;serif" w:hAnsi="Times New Roman;serif"/>
          <w:b w:val="false"/>
          <w:color w:val="000000"/>
          <w:sz w:val="20"/>
        </w:rPr>
        <w:br/>
      </w:r>
      <w:r>
        <w:rPr>
          <w:rFonts w:ascii="Times New Roman;serif" w:hAnsi="Times New Roman;serif"/>
          <w:b/>
          <w:color w:val="000000"/>
          <w:sz w:val="18"/>
        </w:rPr>
        <w:t xml:space="preserve">6210 Ardrey Kell Road, Suite 120 </w:t>
      </w:r>
      <w:r>
        <w:rPr>
          <w:rFonts w:ascii="Times New Roman;serif" w:hAnsi="Times New Roman;serif"/>
          <w:b w:val="false"/>
          <w:color w:val="000000"/>
          <w:sz w:val="20"/>
        </w:rPr>
        <w:br/>
      </w:r>
      <w:r>
        <w:rPr>
          <w:rFonts w:ascii="Times New Roman;serif" w:hAnsi="Times New Roman;serif"/>
          <w:b/>
          <w:color w:val="000000"/>
          <w:sz w:val="18"/>
        </w:rPr>
        <w:t xml:space="preserve">Charlotte, North Carolina 28277 </w:t>
      </w:r>
      <w:r>
        <w:rPr>
          <w:rFonts w:ascii="Times New Roman;serif" w:hAnsi="Times New Roman;serif"/>
          <w:b w:val="false"/>
          <w:color w:val="000000"/>
          <w:sz w:val="20"/>
        </w:rPr>
        <w:br/>
      </w:r>
      <w:r>
        <w:rPr>
          <w:rFonts w:ascii="Times New Roman;serif" w:hAnsi="Times New Roman;serif"/>
          <w:b/>
          <w:color w:val="000000"/>
          <w:sz w:val="18"/>
        </w:rPr>
        <w:t>(980) 264-4300</w:t>
      </w:r>
      <w:r>
        <w:rPr>
          <w:color w:val="000000"/>
        </w:rPr>
        <w:t xml:space="preserve"> </w:t>
      </w:r>
    </w:p>
    <w:p>
      <w:pPr>
        <w:pStyle w:val="TextBody"/>
        <w:bidi w:val="0"/>
        <w:spacing w:lineRule="auto" w:line="288" w:before="12"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(Name, address, including zip code, and telephone number, including area code, of agent for service)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40" w:after="40"/>
              <w:jc w:val="left"/>
              <w:rPr/>
            </w:pPr>
            <w:r>
              <w:rPr/>
            </w:r>
          </w:p>
        </w:tc>
      </w:tr>
    </w:tbl>
    <w:p>
      <w:pPr>
        <w:pStyle w:val="TextBody"/>
        <w:bidi w:val="0"/>
        <w:spacing w:lineRule="auto" w:line="319" w:before="0" w:after="0"/>
        <w:jc w:val="center"/>
        <w:rPr/>
      </w:pPr>
      <w:r>
        <w:rPr>
          <w:rFonts w:ascii="Times New Roman;serif" w:hAnsi="Times New Roman;serif"/>
          <w:b/>
          <w:i/>
          <w:color w:val="000000"/>
          <w:sz w:val="18"/>
        </w:rPr>
        <w:t>Copies to:</w:t>
      </w:r>
      <w:r>
        <w:rPr>
          <w:color w:val="000000"/>
        </w:rPr>
        <w:t xml:space="preserve"> </w:t>
      </w:r>
    </w:p>
    <w:tbl>
      <w:tblPr>
        <w:tblW w:w="6267" w:type="dxa"/>
        <w:jc w:val="left"/>
        <w:tblInd w:w="0" w:type="dxa"/>
        <w:tblLayout w:type="fixed"/>
        <w:tblCellMar>
          <w:top w:w="28" w:type="dxa"/>
          <w:left w:w="28" w:type="dxa"/>
          <w:bottom w:w="28" w:type="dxa"/>
          <w:right w:w="28" w:type="dxa"/>
        </w:tblCellMar>
      </w:tblPr>
      <w:tblGrid>
        <w:gridCol w:w="1204"/>
        <w:gridCol w:w="1060"/>
        <w:gridCol w:w="1066"/>
        <w:gridCol w:w="109"/>
        <w:gridCol w:w="109"/>
        <w:gridCol w:w="109"/>
        <w:gridCol w:w="763"/>
        <w:gridCol w:w="763"/>
        <w:gridCol w:w="108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Shaun Klein</w:t>
              <w:br/>
              <w:t>Dentons US LLP</w:t>
              <w:br/>
              <w:t>2398 East Camelback Road, Suite 850</w:t>
              <w:br/>
              <w:t>Phoenix, AZ 85016</w:t>
              <w:br/>
              <w:t>Tel: (602) 508-3908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Wing Shing (Brian) Lee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Dentons US LLP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1221 Avenue of the Americas</w:t>
              <w:br/>
              <w:t>New York, NY 10020-1089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(212) 768-6926</w:t>
            </w:r>
          </w:p>
        </w:tc>
      </w:tr>
    </w:tbl>
    <w:p>
      <w:pPr>
        <w:pStyle w:val="TextBody"/>
        <w:bidi w:val="0"/>
        <w:spacing w:lineRule="auto" w:line="288" w:before="60" w:after="283"/>
        <w:ind w:left="0" w:right="0" w:firstLine="400"/>
        <w:jc w:val="left"/>
        <w:rPr/>
      </w:pPr>
      <w:r>
        <w:rPr>
          <w:rFonts w:ascii="Times New Roman;serif" w:hAnsi="Times New Roman;serif"/>
          <w:b/>
          <w:color w:val="000000"/>
          <w:sz w:val="18"/>
        </w:rPr>
        <w:t>Approximate date of commencement of proposed sale to the public:   </w:t>
      </w:r>
      <w:r>
        <w:rPr>
          <w:rFonts w:ascii="Times New Roman;serif" w:hAnsi="Times New Roman;serif"/>
          <w:b w:val="false"/>
          <w:color w:val="000000"/>
          <w:sz w:val="18"/>
        </w:rPr>
        <w:t xml:space="preserve">From time to time after the effective date of this Registration Statement. </w:t>
      </w:r>
    </w:p>
    <w:p>
      <w:pPr>
        <w:pStyle w:val="TextBody"/>
        <w:bidi w:val="0"/>
        <w:spacing w:lineRule="auto" w:line="288" w:before="60"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 xml:space="preserve">If the only securities being registered on this Form are being offered pursuant to dividend or interest reinvestment plans, please check the following box: ☐ </w:t>
      </w:r>
    </w:p>
    <w:p>
      <w:pPr>
        <w:pStyle w:val="TextBody"/>
        <w:bidi w:val="0"/>
        <w:spacing w:lineRule="auto" w:line="288" w:before="60"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60" w:after="283"/>
        <w:jc w:val="left"/>
        <w:rPr/>
      </w:pPr>
      <w:r>
        <w:rPr/>
      </w:r>
    </w:p>
    <w:p>
      <w:pPr>
        <w:pStyle w:val="TextBody"/>
        <w:bidi w:val="0"/>
        <w:spacing w:lineRule="auto" w:line="288" w:before="60"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uto" w:line="288" w:before="60"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uto" w:line="288" w:before="60"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uto" w:line="288" w:before="60"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60"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274" w:type="dxa"/>
        <w:jc w:val="left"/>
        <w:tblInd w:w="0" w:type="dxa"/>
        <w:tblLayout w:type="fixed"/>
        <w:tblCellMar>
          <w:top w:w="28" w:type="dxa"/>
          <w:left w:w="28" w:type="dxa"/>
          <w:bottom w:w="28" w:type="dxa"/>
          <w:right w:w="28" w:type="dxa"/>
        </w:tblCellMar>
      </w:tblPr>
      <w:tblGrid>
        <w:gridCol w:w="695"/>
        <w:gridCol w:w="611"/>
        <w:gridCol w:w="613"/>
        <w:gridCol w:w="687"/>
        <w:gridCol w:w="687"/>
        <w:gridCol w:w="981"/>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 </w:t>
            </w:r>
          </w:p>
        </w:tc>
        <w:tc>
          <w:tcPr>
            <w:tcW w:w="235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 </w:t>
            </w:r>
          </w:p>
        </w:tc>
      </w:tr>
      <w:tr>
        <w:trPr/>
        <w:tc>
          <w:tcPr>
            <w:tcW w:w="191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 </w:t>
            </w:r>
          </w:p>
        </w:tc>
        <w:tc>
          <w:tcPr>
            <w:tcW w:w="235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 </w:t>
            </w:r>
          </w:p>
        </w:tc>
      </w:tr>
      <w:tr>
        <w:trPr/>
        <w:tc>
          <w:tcPr>
            <w:tcW w:w="19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5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18"/>
              </w:rPr>
              <w:t>Emerging growth company ☐</w:t>
            </w:r>
            <w:r>
              <w:rPr>
                <w:color w:val="000000"/>
              </w:rPr>
              <w:t xml:space="preserve"> </w:t>
            </w:r>
          </w:p>
        </w:tc>
      </w:tr>
    </w:tbl>
    <w:p>
      <w:pPr>
        <w:pStyle w:val="TextBody"/>
        <w:bidi w:val="0"/>
        <w:spacing w:before="0" w:after="0"/>
        <w:jc w:val="left"/>
        <w:rPr/>
      </w:pPr>
      <w:r>
        <w:rPr/>
      </w:r>
    </w:p>
    <w:p>
      <w:pPr>
        <w:pStyle w:val="TextBody"/>
        <w:bidi w:val="0"/>
        <w:spacing w:lineRule="auto" w:line="319" w:before="216"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319" w:before="60" w:after="283"/>
        <w:ind w:left="0" w:right="0" w:firstLine="400"/>
        <w:jc w:val="left"/>
        <w:rPr/>
      </w:pPr>
      <w:r>
        <w:rPr>
          <w:rFonts w:ascii="Times New Roman;serif" w:hAnsi="Times New Roman;serif"/>
          <w:b/>
          <w:color w:val="000000"/>
          <w:sz w:val="18"/>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40" w:after="4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both"/>
        <w:rPr>
          <w:rFonts w:ascii="Times New Roman;serif" w:hAnsi="Times New Roman;serif"/>
          <w:b/>
          <w:color w:val="FF0000"/>
          <w:sz w:val="16"/>
        </w:rPr>
      </w:pPr>
      <w:r>
        <w:rPr>
          <w:rFonts w:ascii="Times New Roman;serif" w:hAnsi="Times New Roman;serif"/>
          <w:b/>
          <w:color w:val="FF0000"/>
          <w:sz w:val="16"/>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lineRule="auto" w:line="319" w:before="96" w:after="283"/>
        <w:jc w:val="center"/>
        <w:rPr>
          <w:rFonts w:ascii="Times New Roman;serif" w:hAnsi="Times New Roman;serif"/>
          <w:b/>
          <w:color w:val="000000"/>
          <w:sz w:val="20"/>
        </w:rPr>
      </w:pPr>
      <w:r>
        <w:rPr>
          <w:rFonts w:ascii="Times New Roman;serif" w:hAnsi="Times New Roman;serif"/>
          <w:b/>
          <w:color w:val="000000"/>
          <w:sz w:val="20"/>
        </w:rPr>
        <w:t>SUBJECT TO COMPLETION, DATED OCTOBER 13, 2026</w:t>
      </w:r>
    </w:p>
    <w:p>
      <w:pPr>
        <w:pStyle w:val="TextBody"/>
        <w:bidi w:val="0"/>
        <w:spacing w:lineRule="auto" w:line="319" w:before="144" w:after="283"/>
        <w:jc w:val="left"/>
        <w:rPr/>
      </w:pPr>
      <w:r>
        <w:rPr>
          <w:rFonts w:ascii="Times New Roman;serif" w:hAnsi="Times New Roman;serif"/>
          <w:b/>
          <w:color w:val="000000"/>
          <w:sz w:val="20"/>
        </w:rPr>
        <w:t>PROSPECTUS</w:t>
      </w:r>
      <w:r>
        <w:rPr>
          <w:color w:val="000000"/>
        </w:rPr>
        <w:t xml:space="preserve"> </w:t>
      </w:r>
    </w:p>
    <w:p>
      <w:pPr>
        <w:pStyle w:val="TextBody"/>
        <w:bidi w:val="0"/>
        <w:spacing w:lineRule="auto" w:line="319" w:before="144" w:after="283"/>
        <w:jc w:val="center"/>
        <w:rPr>
          <w:rFonts w:ascii="Times New Roman;serif" w:hAnsi="Times New Roman;serif"/>
          <w:b/>
          <w:color w:val="000000"/>
          <w:sz w:val="28"/>
        </w:rPr>
      </w:pPr>
      <w:r>
        <w:rPr>
          <w:rFonts w:ascii="Times New Roman;serif" w:hAnsi="Times New Roman;serif"/>
          <w:b/>
          <w:color w:val="000000"/>
          <w:sz w:val="28"/>
        </w:rPr>
        <w:t>16,100,000 Shares of Common Stock</w:t>
      </w:r>
    </w:p>
    <w:p>
      <w:pPr>
        <w:pStyle w:val="TextBody"/>
        <w:bidi w:val="0"/>
        <w:spacing w:before="120" w:after="283"/>
        <w:jc w:val="center"/>
        <w:rPr/>
      </w:pPr>
      <w:r>
        <w:rPr/>
        <w:drawing>
          <wp:inline distT="0" distB="0" distL="0" distR="0">
            <wp:extent cx="1257300" cy="914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57300" cy="914400"/>
                    </a:xfrm>
                    <a:prstGeom prst="rect">
                      <a:avLst/>
                    </a:prstGeom>
                  </pic:spPr>
                </pic:pic>
              </a:graphicData>
            </a:graphic>
          </wp:inline>
        </w:drawing>
      </w:r>
    </w:p>
    <w:p>
      <w:pPr>
        <w:pStyle w:val="TextBody"/>
        <w:bidi w:val="0"/>
        <w:spacing w:lineRule="auto" w:line="319" w:before="156"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This prospectus covers the offer and resale by the selling stockholders (the “Selling Stockholders”) identified in this prospectus of (i) 11,275,605 shares of our common stock, par value $0.01 per share, and (ii) 4,824,395 shares of our common stock issuable upon the exercise of pre-funded warrants (“Pre-Funded Warrants”). The shares and Pre-Funded Warrants were sold to the Selling Stockholders in a private placement transaction that closed on October 5, 2026 (the “Private Placement”).</w:t>
      </w:r>
    </w:p>
    <w:p>
      <w:pPr>
        <w:pStyle w:val="TextBody"/>
        <w:bidi w:val="0"/>
        <w:spacing w:lineRule="auto" w:line="319" w:before="96"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selling any shares of common stock under this prospectus and will not receive any proceeds from the sale by the Selling Stockholders of such shares. </w:t>
      </w:r>
    </w:p>
    <w:p>
      <w:pPr>
        <w:pStyle w:val="TextBody"/>
        <w:bidi w:val="0"/>
        <w:spacing w:lineRule="auto" w:line="319" w:before="96"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Sales of shares of common stock by the Selling Stockholders may occur at fixed prices, at market prices prevailing at the time of sale, at prices related to prevailing market prices or at negotiated prices. The Selling Stockholders may sell the shares to or through underwriters, broker-dealers or agents, who may receive compensation in the form of discounts, concessions or commissions from the Selling Stockholders, the purchasers of the shares, or both. </w:t>
      </w:r>
    </w:p>
    <w:p>
      <w:pPr>
        <w:pStyle w:val="TextBody"/>
        <w:bidi w:val="0"/>
        <w:spacing w:lineRule="auto" w:line="319" w:before="96" w:after="283"/>
        <w:ind w:left="0" w:right="0" w:firstLine="400"/>
        <w:jc w:val="left"/>
        <w:rPr/>
      </w:pPr>
      <w:r>
        <w:rPr>
          <w:rFonts w:ascii="Times New Roman;serif" w:hAnsi="Times New Roman;serif"/>
          <w:b w:val="false"/>
          <w:color w:val="000000"/>
          <w:sz w:val="20"/>
        </w:rPr>
        <w:t>We are paying the cost of registering the shares covered by this prospectus as well as various related expenses. The Selling Stockholders are responsible for all selling commissions, transfer taxes and other costs related to the offer and sale of their shares. See “</w:t>
      </w:r>
      <w:r>
        <w:rPr>
          <w:rFonts w:ascii="Times New Roman;serif" w:hAnsi="Times New Roman;serif"/>
          <w:b w:val="false"/>
          <w:i/>
          <w:color w:val="000000"/>
          <w:sz w:val="20"/>
        </w:rPr>
        <w:t>Plan of Distribution</w:t>
      </w:r>
      <w:r>
        <w:rPr>
          <w:color w:val="000000"/>
        </w:rPr>
        <w:t xml:space="preserve">” </w:t>
      </w:r>
      <w:r>
        <w:rPr>
          <w:rFonts w:ascii="Times New Roman;serif" w:hAnsi="Times New Roman;serif"/>
          <w:b w:val="false"/>
          <w:color w:val="000000"/>
          <w:sz w:val="20"/>
        </w:rPr>
        <w:t xml:space="preserve">for more information about how the Selling Stockholders may sell or dispose of their shares. </w:t>
      </w:r>
    </w:p>
    <w:p>
      <w:pPr>
        <w:pStyle w:val="TextBody"/>
        <w:bidi w:val="0"/>
        <w:spacing w:lineRule="auto" w:line="319" w:before="96"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Stock Market under the trading symbol “NNBR.” On October 8, 2026, the last reported sale price of our common stock was $4.01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40" w:after="40"/>
              <w:jc w:val="left"/>
              <w:rPr/>
            </w:pPr>
            <w:r>
              <w:rPr/>
            </w:r>
          </w:p>
        </w:tc>
      </w:tr>
    </w:tbl>
    <w:p>
      <w:pPr>
        <w:pStyle w:val="TextBody"/>
        <w:bidi w:val="0"/>
        <w:spacing w:lineRule="auto" w:line="319" w:before="144" w:after="283"/>
        <w:ind w:left="0" w:right="0" w:firstLine="400"/>
        <w:jc w:val="left"/>
        <w:rPr/>
      </w:pPr>
      <w:r>
        <w:rPr>
          <w:rFonts w:ascii="Times New Roman;serif" w:hAnsi="Times New Roman;serif"/>
          <w:b/>
          <w:color w:val="000000"/>
          <w:sz w:val="20"/>
        </w:rPr>
        <w:t xml:space="preserve">Investing in our common stock involves a high degree of risk. Before making an investment decision, please read the information under “Risk Factors” on </w:t>
      </w:r>
      <w:hyperlink w:anchor="i28163455a05246a197423243eae3fb18_194">
        <w:r>
          <w:rPr>
            <w:rStyle w:val="InternetLink"/>
            <w:rFonts w:ascii="Times New Roman;serif" w:hAnsi="Times New Roman;serif"/>
            <w:b/>
            <w:color w:val="0000FF"/>
            <w:sz w:val="20"/>
            <w:u w:val="single"/>
          </w:rPr>
          <w:t>page 3</w:t>
        </w:r>
      </w:hyperlink>
      <w:r>
        <w:rPr>
          <w:color w:val="000000"/>
        </w:rPr>
        <w:t xml:space="preserve"> </w:t>
      </w:r>
      <w:r>
        <w:rPr>
          <w:rFonts w:ascii="Times New Roman;serif" w:hAnsi="Times New Roman;serif"/>
          <w:b/>
          <w:color w:val="000000"/>
          <w:sz w:val="20"/>
        </w:rPr>
        <w:t>of this prospectus and under similar headings in any amendment or supplement to this prospectus or in any filing with the Securities and Exchange Commission that is incorporated by reference herein.</w:t>
      </w:r>
      <w:r>
        <w:rPr>
          <w:color w:val="000000"/>
        </w:rPr>
        <w:t xml:space="preserve"> </w:t>
      </w:r>
    </w:p>
    <w:p>
      <w:pPr>
        <w:pStyle w:val="TextBody"/>
        <w:bidi w:val="0"/>
        <w:spacing w:lineRule="auto" w:line="319" w:before="96" w:after="283"/>
        <w:ind w:left="0" w:right="0" w:firstLine="400"/>
        <w:jc w:val="left"/>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40" w:after="4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pPr>
      <w:r>
        <w:rPr>
          <w:rFonts w:ascii="Times New Roman;serif" w:hAnsi="Times New Roman;serif"/>
          <w:b/>
          <w:color w:val="000000"/>
          <w:sz w:val="20"/>
        </w:rPr>
        <w:t>The date of this prospectus is         ,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160" w:after="283"/>
        <w:jc w:val="center"/>
        <w:rPr/>
      </w:pPr>
      <w:bookmarkStart w:id="0" w:name="ia6113348b5554c02ad708734aa29c322_130648"/>
      <w:bookmarkEnd w:id="0"/>
      <w:r>
        <w:rPr>
          <w:rFonts w:ascii="Times New Roman;serif" w:hAnsi="Times New Roman;serif"/>
          <w:b/>
          <w:color w:val="000000"/>
          <w:sz w:val="20"/>
        </w:rPr>
        <w:t>TABLE OF CONTENTS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SECTION</w:t>
      </w:r>
      <w:r>
        <w:rPr>
          <w:rFonts w:ascii="Times New Roman;serif" w:hAnsi="Times New Roman;serif"/>
          <w:b/>
          <w:color w:val="FFFFFF"/>
          <w:sz w:val="20"/>
        </w:rPr>
        <w:t>..............................................................................................................................................................</w:t>
      </w:r>
      <w:r>
        <w:rPr>
          <w:rFonts w:ascii="Times New Roman;serif" w:hAnsi="Times New Roman;serif"/>
          <w:b/>
          <w:color w:val="000000"/>
          <w:sz w:val="20"/>
        </w:rPr>
        <w:t>PAGE</w:t>
      </w:r>
    </w:p>
    <w:p>
      <w:pPr>
        <w:pStyle w:val="TextBody"/>
        <w:bidi w:val="0"/>
        <w:spacing w:lineRule="auto" w:line="319" w:before="60" w:after="283"/>
        <w:jc w:val="center"/>
        <w:rPr/>
      </w:pPr>
      <w:r>
        <w:rPr>
          <w:rFonts w:ascii="Times New Roman;serif" w:hAnsi="Times New Roman;serif"/>
          <w:b w:val="false"/>
          <w:color w:val="000000"/>
          <w:sz w:val="18"/>
        </w:rPr>
        <w:t>ABOUT THIS PROSPECTUS............................................................................................................................................................</w:t>
      </w:r>
      <w:hyperlink w:anchor="i28163455a05246a197423243eae3fb18_82">
        <w:r>
          <w:rPr>
            <w:rStyle w:val="InternetLink"/>
            <w:rFonts w:ascii="Times New Roman;serif" w:hAnsi="Times New Roman;serif"/>
            <w:b w:val="false"/>
            <w:color w:val="0000FF"/>
            <w:sz w:val="18"/>
            <w:u w:val="single"/>
          </w:rPr>
          <w:t>ii</w:t>
        </w:r>
      </w:hyperlink>
    </w:p>
    <w:p>
      <w:pPr>
        <w:pStyle w:val="TextBody"/>
        <w:bidi w:val="0"/>
        <w:spacing w:lineRule="auto" w:line="319" w:before="60" w:after="283"/>
        <w:jc w:val="center"/>
        <w:rPr/>
      </w:pPr>
      <w:r>
        <w:rPr>
          <w:rFonts w:ascii="Times New Roman;serif" w:hAnsi="Times New Roman;serif"/>
          <w:b w:val="false"/>
          <w:color w:val="000000"/>
          <w:sz w:val="18"/>
        </w:rPr>
        <w:t>PROSPECTUS SUMMARY...............................................................................................................................................................</w:t>
      </w:r>
      <w:hyperlink w:anchor="i28163455a05246a197423243eae3fb18_166">
        <w:r>
          <w:rPr>
            <w:rStyle w:val="InternetLink"/>
            <w:rFonts w:ascii="Times New Roman;serif" w:hAnsi="Times New Roman;serif"/>
            <w:b w:val="false"/>
            <w:color w:val="0000FF"/>
            <w:sz w:val="18"/>
            <w:u w:val="single"/>
          </w:rPr>
          <w:t>1</w:t>
        </w:r>
      </w:hyperlink>
    </w:p>
    <w:p>
      <w:pPr>
        <w:pStyle w:val="TextBody"/>
        <w:bidi w:val="0"/>
        <w:spacing w:lineRule="auto" w:line="319" w:before="60" w:after="283"/>
        <w:jc w:val="center"/>
        <w:rPr/>
      </w:pPr>
      <w:r>
        <w:rPr>
          <w:rFonts w:ascii="Times New Roman;serif" w:hAnsi="Times New Roman;serif"/>
          <w:b w:val="false"/>
          <w:color w:val="000000"/>
          <w:sz w:val="18"/>
        </w:rPr>
        <w:t>RISK FACTORS.........................................................................................................................................................…...............….</w:t>
      </w:r>
      <w:hyperlink w:anchor="i28163455a05246a197423243eae3fb18_194">
        <w:r>
          <w:rPr>
            <w:rStyle w:val="InternetLink"/>
            <w:rFonts w:ascii="Times New Roman;serif" w:hAnsi="Times New Roman;serif"/>
            <w:b w:val="false"/>
            <w:color w:val="0000FF"/>
            <w:sz w:val="18"/>
            <w:u w:val="single"/>
          </w:rPr>
          <w:t>3</w:t>
        </w:r>
      </w:hyperlink>
    </w:p>
    <w:p>
      <w:pPr>
        <w:pStyle w:val="TextBody"/>
        <w:bidi w:val="0"/>
        <w:spacing w:lineRule="auto" w:line="319" w:before="60" w:after="283"/>
        <w:jc w:val="center"/>
        <w:rPr/>
      </w:pPr>
      <w:r>
        <w:rPr>
          <w:rFonts w:ascii="Times New Roman;serif" w:hAnsi="Times New Roman;serif"/>
          <w:b w:val="false"/>
          <w:color w:val="000000"/>
          <w:sz w:val="18"/>
        </w:rPr>
        <w:t>SPECIAL NOTE REGARDING FORWARD-LOOKING STATEMENTS......................................................................................</w:t>
      </w:r>
      <w:hyperlink w:anchor="i21eeddeab7d74644892ddf6f620ee1f6_111374">
        <w:r>
          <w:rPr>
            <w:rStyle w:val="InternetLink"/>
            <w:rFonts w:ascii="Times New Roman;serif" w:hAnsi="Times New Roman;serif"/>
            <w:b w:val="false"/>
            <w:color w:val="0000FF"/>
            <w:sz w:val="18"/>
            <w:u w:val="single"/>
          </w:rPr>
          <w:t>3</w:t>
        </w:r>
      </w:hyperlink>
    </w:p>
    <w:p>
      <w:pPr>
        <w:pStyle w:val="TextBody"/>
        <w:bidi w:val="0"/>
        <w:spacing w:lineRule="auto" w:line="319" w:before="60" w:after="283"/>
        <w:jc w:val="center"/>
        <w:rPr/>
      </w:pPr>
      <w:r>
        <w:rPr>
          <w:rFonts w:ascii="Times New Roman;serif" w:hAnsi="Times New Roman;serif"/>
          <w:b w:val="false"/>
          <w:color w:val="000000"/>
          <w:sz w:val="18"/>
        </w:rPr>
        <w:t>USE OF PROCEEDS..........................................................................................................................................................................</w:t>
      </w:r>
      <w:hyperlink w:anchor="i28163455a05246a197423243eae3fb18_238">
        <w:r>
          <w:rPr>
            <w:rStyle w:val="InternetLink"/>
            <w:rFonts w:ascii="Times New Roman;serif" w:hAnsi="Times New Roman;serif"/>
            <w:b w:val="false"/>
            <w:color w:val="0000FF"/>
            <w:sz w:val="18"/>
            <w:u w:val="single"/>
          </w:rPr>
          <w:t>5</w:t>
        </w:r>
      </w:hyperlink>
    </w:p>
    <w:p>
      <w:pPr>
        <w:pStyle w:val="TextBody"/>
        <w:bidi w:val="0"/>
        <w:spacing w:lineRule="auto" w:line="319" w:before="60" w:after="283"/>
        <w:jc w:val="center"/>
        <w:rPr/>
      </w:pPr>
      <w:r>
        <w:rPr>
          <w:rFonts w:ascii="Times New Roman;serif" w:hAnsi="Times New Roman;serif"/>
          <w:b w:val="false"/>
          <w:color w:val="000000"/>
          <w:sz w:val="18"/>
        </w:rPr>
        <w:t>DESCRIPTION OF CAPITAL STOCK.............................................................................................................................................</w:t>
      </w:r>
      <w:hyperlink w:anchor="i28163455a05246a197423243eae3fb18_259">
        <w:r>
          <w:rPr>
            <w:rStyle w:val="InternetLink"/>
            <w:rFonts w:ascii="Times New Roman;serif" w:hAnsi="Times New Roman;serif"/>
            <w:b w:val="false"/>
            <w:color w:val="0000FF"/>
            <w:sz w:val="18"/>
            <w:u w:val="single"/>
          </w:rPr>
          <w:t>6</w:t>
        </w:r>
      </w:hyperlink>
    </w:p>
    <w:p>
      <w:pPr>
        <w:pStyle w:val="TextBody"/>
        <w:bidi w:val="0"/>
        <w:spacing w:lineRule="auto" w:line="319" w:before="60" w:after="283"/>
        <w:jc w:val="center"/>
        <w:rPr/>
      </w:pPr>
      <w:r>
        <w:rPr>
          <w:rFonts w:ascii="Times New Roman;serif" w:hAnsi="Times New Roman;serif"/>
          <w:b w:val="false"/>
          <w:color w:val="000000"/>
          <w:sz w:val="18"/>
        </w:rPr>
        <w:t>SELLING STOCKHOLDERS..........................................................................................................................................................</w:t>
      </w:r>
      <w:hyperlink w:anchor="i28163455a05246a197423243eae3fb18_279">
        <w:r>
          <w:rPr>
            <w:rStyle w:val="InternetLink"/>
            <w:rFonts w:ascii="Times New Roman;serif" w:hAnsi="Times New Roman;serif"/>
            <w:b w:val="false"/>
            <w:color w:val="0000FF"/>
            <w:sz w:val="18"/>
            <w:u w:val="single"/>
          </w:rPr>
          <w:t>10</w:t>
        </w:r>
      </w:hyperlink>
    </w:p>
    <w:p>
      <w:pPr>
        <w:pStyle w:val="TextBody"/>
        <w:bidi w:val="0"/>
        <w:spacing w:lineRule="auto" w:line="319" w:before="60" w:after="283"/>
        <w:jc w:val="center"/>
        <w:rPr/>
      </w:pPr>
      <w:r>
        <w:rPr>
          <w:rFonts w:ascii="Times New Roman;serif" w:hAnsi="Times New Roman;serif"/>
          <w:b w:val="false"/>
          <w:color w:val="000000"/>
          <w:sz w:val="18"/>
        </w:rPr>
        <w:t>PLAN OF DISTRIBUTION..............................................................................................................................................................</w:t>
      </w:r>
      <w:hyperlink w:anchor="i28163455a05246a197423243eae3fb18_299">
        <w:r>
          <w:rPr>
            <w:rStyle w:val="InternetLink"/>
            <w:rFonts w:ascii="Times New Roman;serif" w:hAnsi="Times New Roman;serif"/>
            <w:b w:val="false"/>
            <w:color w:val="0000FF"/>
            <w:sz w:val="18"/>
            <w:u w:val="single"/>
          </w:rPr>
          <w:t>13</w:t>
        </w:r>
      </w:hyperlink>
    </w:p>
    <w:p>
      <w:pPr>
        <w:pStyle w:val="TextBody"/>
        <w:bidi w:val="0"/>
        <w:spacing w:lineRule="auto" w:line="319" w:before="60" w:after="283"/>
        <w:jc w:val="center"/>
        <w:rPr/>
      </w:pPr>
      <w:r>
        <w:rPr>
          <w:rFonts w:ascii="Times New Roman;serif" w:hAnsi="Times New Roman;serif"/>
          <w:b w:val="false"/>
          <w:color w:val="000000"/>
          <w:sz w:val="18"/>
        </w:rPr>
        <w:t>LEGAL MATTERS...........................................................................................................................................................................</w:t>
      </w:r>
      <w:hyperlink w:anchor="id20ee7607d8242a5a81163970db226d5_24401">
        <w:r>
          <w:rPr>
            <w:rStyle w:val="InternetLink"/>
            <w:rFonts w:ascii="Times New Roman;serif" w:hAnsi="Times New Roman;serif"/>
            <w:b w:val="false"/>
            <w:color w:val="0000FF"/>
            <w:sz w:val="18"/>
            <w:u w:val="single"/>
          </w:rPr>
          <w:t>14</w:t>
        </w:r>
      </w:hyperlink>
    </w:p>
    <w:p>
      <w:pPr>
        <w:pStyle w:val="TextBody"/>
        <w:bidi w:val="0"/>
        <w:spacing w:lineRule="auto" w:line="319" w:before="60" w:after="283"/>
        <w:jc w:val="center"/>
        <w:rPr/>
      </w:pPr>
      <w:r>
        <w:rPr>
          <w:rFonts w:ascii="Times New Roman;serif" w:hAnsi="Times New Roman;serif"/>
          <w:b w:val="false"/>
          <w:color w:val="000000"/>
          <w:sz w:val="18"/>
        </w:rPr>
        <w:t>EXPERTS..........................................................................................................................................................................................</w:t>
      </w:r>
      <w:hyperlink w:anchor="id20ee7607d8242a5a81163970db226d5_24402">
        <w:r>
          <w:rPr>
            <w:rStyle w:val="InternetLink"/>
            <w:rFonts w:ascii="Times New Roman;serif" w:hAnsi="Times New Roman;serif"/>
            <w:b w:val="false"/>
            <w:color w:val="0000FF"/>
            <w:sz w:val="18"/>
            <w:u w:val="single"/>
          </w:rPr>
          <w:t>14</w:t>
        </w:r>
      </w:hyperlink>
    </w:p>
    <w:p>
      <w:pPr>
        <w:pStyle w:val="TextBody"/>
        <w:bidi w:val="0"/>
        <w:spacing w:lineRule="auto" w:line="319" w:before="60" w:after="283"/>
        <w:jc w:val="center"/>
        <w:rPr/>
      </w:pPr>
      <w:r>
        <w:rPr>
          <w:rFonts w:ascii="Times New Roman;serif" w:hAnsi="Times New Roman;serif"/>
          <w:b w:val="false"/>
          <w:color w:val="000000"/>
          <w:sz w:val="18"/>
        </w:rPr>
        <w:t>WHERE YOU CAN FIND ADDITIONAL INFORMATION.........................................................................................................</w:t>
      </w:r>
      <w:hyperlink w:anchor="id20ee7607d8242a5a81163970db226d5_24403">
        <w:r>
          <w:rPr>
            <w:rStyle w:val="InternetLink"/>
            <w:rFonts w:ascii="Times New Roman;serif" w:hAnsi="Times New Roman;serif"/>
            <w:b w:val="false"/>
            <w:color w:val="0000FF"/>
            <w:sz w:val="18"/>
            <w:u w:val="single"/>
          </w:rPr>
          <w:t>14</w:t>
        </w:r>
      </w:hyperlink>
    </w:p>
    <w:p>
      <w:pPr>
        <w:pStyle w:val="TextBody"/>
        <w:bidi w:val="0"/>
        <w:spacing w:lineRule="auto" w:line="319" w:before="60" w:after="283"/>
        <w:jc w:val="center"/>
        <w:rPr/>
      </w:pPr>
      <w:r>
        <w:rPr>
          <w:rFonts w:ascii="Times New Roman;serif" w:hAnsi="Times New Roman;serif"/>
          <w:b w:val="false"/>
          <w:color w:val="000000"/>
          <w:sz w:val="18"/>
        </w:rPr>
        <w:t>INCORPORATION OF CERTAIN INFORMATION BY REFERENCE.......................................................................................</w:t>
      </w:r>
      <w:hyperlink w:anchor="id20ee7607d8242a5a81163970db226d5_24404">
        <w:r>
          <w:rPr>
            <w:rStyle w:val="InternetLink"/>
            <w:rFonts w:ascii="Times New Roman;serif" w:hAnsi="Times New Roman;serif"/>
            <w:b w:val="false"/>
            <w:color w:val="0000FF"/>
            <w:sz w:val="18"/>
            <w:u w:val="single"/>
          </w:rPr>
          <w:t>15</w:t>
        </w:r>
      </w:hyperlink>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(the “Registration Statement”) that we filed with the Securities and Exchange Commission (the “SEC”) using the “shelf” registration process. Under this shelf registration process, the Selling Stockholders hereunder may, from time to time in one or more offerings, sell the shares of common stock offered by them described in this prospectus.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on the front cover of this prospectus, any information we have incorporated by reference is accurate only as of the date of the document so incorporated and that any information in a supplement or amendment to this prospectus is accurate only as of the date of such supplement or amendment, in each case regardless of the time of delivery of this prospectus, or any sale of the shares. Our business, financial condition, results of operations and prospects may have changed since those dates.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titled “Where You Can Find Additional Information.”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all references in this prospectus to “we,” “us,” “our,” “the Company,” “NN,” and similar designations, except where the context requires otherwise, refer collectively to NN, Inc. and its subsidiaries. </w:t>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name “NN,” the NN logo and other trademarks or service marks of NN, Inc. appearing in this prospectus and in any prospectus supplement or free writing prospectus and the information incorporated by reference herein or therein are the property of NN, Inc. Other trademarks, service marks or trade names appearing in this prospectus in any prospectus supplement or free writing prospectus and the information incorporated by reference herein or therein are the property of their respective owners. We do not intend our use or display of other companies’ trade names, trademarks or service marks to imply a relationship with, or endorsement or sponsorship of us by, these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 xml:space="preserve">PROSPECTUS SUMMARY </w:t>
      </w:r>
    </w:p>
    <w:p>
      <w:pPr>
        <w:pStyle w:val="TextBody"/>
        <w:bidi w:val="0"/>
        <w:spacing w:lineRule="auto" w:line="319" w:before="160" w:after="283"/>
        <w:ind w:left="0" w:right="0" w:firstLine="400"/>
        <w:jc w:val="left"/>
        <w:rPr/>
      </w:pPr>
      <w:r>
        <w:rPr>
          <w:rFonts w:ascii="Times New Roman;serif" w:hAnsi="Times New Roman;serif"/>
          <w:b w:val="false"/>
          <w:i/>
          <w:color w:val="000000"/>
          <w:sz w:val="20"/>
        </w:rPr>
        <w:t>This summary highlights certain information about us, the Private Placement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w:t>
      </w:r>
      <w:r>
        <w:rPr>
          <w:color w:val="000000"/>
        </w:rPr>
        <w:t xml:space="preserve"> </w:t>
      </w:r>
    </w:p>
    <w:p>
      <w:pPr>
        <w:pStyle w:val="TextBody"/>
        <w:bidi w:val="0"/>
        <w:spacing w:lineRule="auto" w:line="319" w:before="240" w:after="283"/>
        <w:jc w:val="left"/>
        <w:rPr/>
      </w:pPr>
      <w:r>
        <w:rPr>
          <w:rFonts w:ascii="Times New Roman;serif" w:hAnsi="Times New Roman;serif"/>
          <w:b/>
          <w:color w:val="000000"/>
          <w:sz w:val="20"/>
        </w:rPr>
        <w:t>Company Overview</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Our enterprise and management structure is designed to accelerate growth and further balance our portfolio by aligning our strategic assets and businesses. Our businesses are organized into the Mobile Solutions group, which is focused on growth in the automotive, general industrial, and medical end markets, and the Power Solutions group, which is focused on growth in the electrical, general industrial, automotive, and medical end markets, and are based on the nature of the products manufactured. </w:t>
      </w:r>
    </w:p>
    <w:p>
      <w:pPr>
        <w:pStyle w:val="TextBody"/>
        <w:bidi w:val="0"/>
        <w:spacing w:lineRule="auto" w:line="319" w:before="240" w:after="283"/>
        <w:jc w:val="left"/>
        <w:rPr/>
      </w:pPr>
      <w:r>
        <w:rPr>
          <w:rFonts w:ascii="Times New Roman;serif" w:hAnsi="Times New Roman;serif"/>
          <w:b/>
          <w:color w:val="000000"/>
          <w:sz w:val="20"/>
        </w:rPr>
        <w:t>Corporate Information</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were incorporated in Delaware in October 1980. Our principal executive offices are maintained at 6210 Ardrey Kell Road, Suite 120, Charlotte, North Carolina 28277 and our telephone number is (980) 264-4300. Our website address is www.nninc.com.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securities. We have included our website in this prospectus solely as an inactive textual reference. </w:t>
      </w:r>
    </w:p>
    <w:p>
      <w:pPr>
        <w:pStyle w:val="TextBody"/>
        <w:bidi w:val="0"/>
        <w:spacing w:lineRule="auto" w:line="319" w:before="240" w:after="283"/>
        <w:jc w:val="left"/>
        <w:rPr/>
      </w:pPr>
      <w:r>
        <w:rPr>
          <w:rFonts w:ascii="Times New Roman;serif" w:hAnsi="Times New Roman;serif"/>
          <w:b/>
          <w:color w:val="000000"/>
          <w:sz w:val="20"/>
        </w:rPr>
        <w:t>Private Placement</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On October 1, 2026, we entered into a Securities Purchase Agreement (the “Purchase Agreement”) with certain institutional investors named in this prospectus pursuant to which we agreed to sell and issue (i) 11,275,605 shares of common stock at a purchase price of $3.30 per share and (ii) Pre-Funded Warrants to purchase 4,824,395 shares of common stock at a purchase price of $3.29 per Pre-Funded Warrant (which equals the per share purchase price of the common stock minus the $0.01 per share exercise price of each Pre-Funded Warrant). The Private Placement closed on October 5, 2026. The total aggregate purchase price paid by the Selling Stockholders was approximately $53 million, and we received net proceeds of approximately $50 million after deducting placement agent fees and other offering expenses.</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In connection with the Private Placement, on October 1, 2026, we entered into a Registration Rights Agreement (the “Registration Rights Agreement”) with the Selling Stockholders named in this prospectus, pursuant to which we agreed to prepare and file, within 45 days following the date of the Registration Rights Agreement, a registration statement with the SEC to register for resale the shares of our common stock issued at the closing under the Purchase Agreement and the shares issuable upon exercise of the Pre-Funded Warrants, and to use commercially reasonable efforts to cause the registration statement to promptly become effective.</w:t>
      </w:r>
    </w:p>
    <w:p>
      <w:pPr>
        <w:pStyle w:val="TextBody"/>
        <w:bidi w:val="0"/>
        <w:spacing w:lineRule="auto" w:line="319" w:before="160" w:after="283"/>
        <w:ind w:left="0" w:right="0" w:firstLine="400"/>
        <w:jc w:val="left"/>
        <w:rPr/>
      </w:pPr>
      <w:r>
        <w:rPr>
          <w:rFonts w:ascii="Times New Roman;serif" w:hAnsi="Times New Roman;serif"/>
          <w:b w:val="false"/>
          <w:color w:val="000000"/>
          <w:sz w:val="20"/>
        </w:rPr>
        <w:t xml:space="preserve">For additional information regarding the Purchase Agreement and Registration Rights Agreement, refer to the summary of the Private Placement included under Item 1.01 of our </w:t>
      </w:r>
      <w:r>
        <w:rPr>
          <w:rFonts w:ascii="Times New Roman;serif" w:hAnsi="Times New Roman;serif"/>
          <w:b w:val="false"/>
          <w:color w:val="0563C1"/>
          <w:sz w:val="20"/>
          <w:u w:val="single"/>
        </w:rPr>
        <w:t>C</w:t>
      </w:r>
      <w:hyperlink r:id="rId3">
        <w:r>
          <w:rPr>
            <w:rStyle w:val="InternetLink"/>
            <w:rFonts w:ascii="Times New Roman;serif" w:hAnsi="Times New Roman;serif"/>
            <w:b w:val="false"/>
            <w:color w:val="000080"/>
            <w:sz w:val="20"/>
            <w:u w:val="single"/>
          </w:rPr>
          <w:t>urrent Report on Form 8-K filed with the SEC on October 5, 2026</w:t>
        </w:r>
      </w:hyperlink>
      <w:r>
        <w:rPr>
          <w:rFonts w:ascii="Times New Roman;serif" w:hAnsi="Times New Roman;serif"/>
          <w:b w:val="false"/>
          <w:color w:val="000000"/>
          <w:sz w:val="20"/>
        </w:rPr>
        <w:t>, which is incorporated by reference herein.</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319" w:before="240" w:after="283"/>
        <w:jc w:val="left"/>
        <w:rPr/>
      </w:pPr>
      <w:r>
        <w:rPr>
          <w:rFonts w:ascii="Times New Roman;serif" w:hAnsi="Times New Roman;serif"/>
          <w:b/>
          <w:color w:val="000000"/>
          <w:sz w:val="20"/>
        </w:rPr>
        <w:t>Implications of Being a Smaller Reporting Company</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and may continue to be a smaller reporting company if either (i) the market value of our shares held by non-affiliates is less than $250 million on the last business day of our most recently completed second fiscal quarter in our last completed fiscal year or (ii) our annual revenue was less than $100 million during the most recently completed fiscal year and the market value of our shares held by non-affiliates is less than $700 million. Specifically, as a smaller reporting company, we may choose to present only the two most recent fiscal years of audited financial statements in our Annual Report on Form 10-K and are subject to reduced disclosure obligations regarding executive compensation.</w: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 xml:space="preserve">The Offering </w:t>
      </w:r>
    </w:p>
    <w:tbl>
      <w:tblPr>
        <w:tblW w:w="10205" w:type="dxa"/>
        <w:jc w:val="left"/>
        <w:tblInd w:w="0" w:type="dxa"/>
        <w:tblLayout w:type="fixed"/>
        <w:tblCellMar>
          <w:top w:w="28" w:type="dxa"/>
          <w:left w:w="28" w:type="dxa"/>
          <w:bottom w:w="28" w:type="dxa"/>
          <w:right w:w="28" w:type="dxa"/>
        </w:tblCellMar>
      </w:tblPr>
      <w:tblGrid>
        <w:gridCol w:w="1040"/>
        <w:gridCol w:w="911"/>
        <w:gridCol w:w="917"/>
        <w:gridCol w:w="2187"/>
        <w:gridCol w:w="2125"/>
        <w:gridCol w:w="3025"/>
      </w:tblGrid>
      <w:tr>
        <w:trPr/>
        <w:tc>
          <w:tcPr>
            <w:tcW w:w="10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offered by the Selling Stockholders </w:t>
            </w:r>
          </w:p>
        </w:tc>
        <w:tc>
          <w:tcPr>
            <w:tcW w:w="733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16,100,000 shares (consisting of 11,275,605 shares of common stock and 4,824,395 shares issuable upon exercise of Pre-Funded Warrants)</w:t>
            </w:r>
          </w:p>
        </w:tc>
      </w:tr>
      <w:tr>
        <w:trPr/>
        <w:tc>
          <w:tcPr>
            <w:tcW w:w="286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Terms of the offering </w:t>
            </w:r>
          </w:p>
        </w:tc>
        <w:tc>
          <w:tcPr>
            <w:tcW w:w="733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will determine when and how they will sell the common stock offered in this prospectus, as described in “Plan of Distribution.” </w:t>
            </w:r>
          </w:p>
        </w:tc>
      </w:tr>
      <w:tr>
        <w:trPr/>
        <w:tc>
          <w:tcPr>
            <w:tcW w:w="286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Use of proceeds </w:t>
            </w:r>
          </w:p>
        </w:tc>
        <w:tc>
          <w:tcPr>
            <w:tcW w:w="733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receive any proceeds from the sale of the shares of common stock covered by this prospectus. </w:t>
            </w:r>
          </w:p>
        </w:tc>
      </w:tr>
      <w:tr>
        <w:trPr/>
        <w:tc>
          <w:tcPr>
            <w:tcW w:w="286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Risk factors </w:t>
            </w:r>
          </w:p>
        </w:tc>
        <w:tc>
          <w:tcPr>
            <w:tcW w:w="7337"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See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on the next page for a discussion of factors you should carefully consider before deciding to invest in our common stock. </w:t>
            </w:r>
          </w:p>
        </w:tc>
      </w:tr>
      <w:tr>
        <w:trPr/>
        <w:tc>
          <w:tcPr>
            <w:tcW w:w="286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Nasdaq Stock Market symbol </w:t>
            </w:r>
          </w:p>
        </w:tc>
        <w:tc>
          <w:tcPr>
            <w:tcW w:w="733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NNBR </w:t>
            </w:r>
          </w:p>
        </w:tc>
      </w:tr>
    </w:tbl>
    <w:p>
      <w:pPr>
        <w:pStyle w:val="TextBody"/>
        <w:bidi w:val="0"/>
        <w:spacing w:before="0" w:after="0"/>
        <w:jc w:val="left"/>
        <w:rPr/>
      </w:pPr>
      <w:r>
        <w:rPr/>
      </w:r>
    </w:p>
    <w:p>
      <w:pPr>
        <w:pStyle w:val="TextBody"/>
        <w:bidi w:val="0"/>
        <w:spacing w:lineRule="auto" w:line="319" w:before="0" w:after="20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The Selling Stockholders named in this prospectus may offer and sell up to 16,100,000 shares of our common stock (consisting of 11,275,605 shares of common stock and 4,824,395 shares issuable upon exercise of Pre-Funded Warrants). Our common stock is currently listed on the Nasdaq Stock Market under the symbol “NNBR.” The shares of our common stock that may be offered under this prospectus are fully paid and non-assessable. We will not receive any of the proceeds of sales by the Selling Stockholders of any of the common stock covered by this prospectus, although we will receive nominal proceeds from the exercise of the Pre-Funded Warrants if such warrants are exercised for cash.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Investing in our securities involves a high degree of risk. You should carefully review the risks and uncertainties described under the heading “Risk Factors” contained in any applicable prospectus supplement and any related free writing prospectus, and under similar headings in our most recent Annual Report on Form 10-K, as updated by our subsequent annual, quarterly and other reports and documents that are incorporated by reference into this prospectus and any applicable prospectus supplement before deciding whether to purchase any of our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 </w:t>
      </w:r>
    </w:p>
    <w:p>
      <w:pPr>
        <w:pStyle w:val="TextBody"/>
        <w:bidi w:val="0"/>
        <w:spacing w:before="160" w:after="283"/>
        <w:ind w:left="0" w:right="0" w:firstLine="400"/>
        <w:jc w:val="left"/>
        <w:rPr/>
      </w:pPr>
      <w:r>
        <w:rPr/>
      </w:r>
    </w:p>
    <w:p>
      <w:pPr>
        <w:pStyle w:val="TextBody"/>
        <w:bidi w:val="0"/>
        <w:spacing w:lineRule="auto" w:line="319" w:before="160" w:after="283"/>
        <w:ind w:left="0" w:right="0" w:firstLine="400"/>
        <w:jc w:val="center"/>
        <w:rPr>
          <w:rFonts w:ascii="Times New Roman;serif" w:hAnsi="Times New Roman;serif"/>
          <w:b/>
          <w:color w:val="000000"/>
          <w:sz w:val="20"/>
        </w:rPr>
      </w:pPr>
      <w:bookmarkStart w:id="1" w:name="i21eeddeab7d74644892ddf6f620ee1f6_111374"/>
      <w:bookmarkEnd w:id="1"/>
      <w:r>
        <w:rPr>
          <w:rFonts w:ascii="Times New Roman;serif" w:hAnsi="Times New Roman;serif"/>
          <w:b/>
          <w:color w:val="000000"/>
          <w:sz w:val="20"/>
        </w:rPr>
        <w:t xml:space="preserve">SPECIAL NOTE REGARDING FORWARD-LOOKING STATEMENTS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each applicable prospectus supplement, and the information incorporated by reference in this prospectus and each prospectus supplement contain forward-looking statements within the meaning of Section 27A of the Securities Act of 1933, as amended (the “Securities Act”),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Forward-looking statements generally will be accompanied by words such as “anticipate,” “believe,” “could,” “estimate,” “expect,” “forecast,” “growth,” “guidance,” “intend,” “may,” “possible,” “potential,” “predict,” “project,” “trajectory,” “will” or the negative of those terms, and similar expressions that convey uncertainty of future events or outcomes.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inflationary pressures and material changes in the cost or availability of raw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restrictions contained in our debt agreements; the level of our indebtedness and our ability to obtain financing at favorable rates, if at all, or to refinance existing debt as it matures; our ability to secure, maintain or enforce patents or other appropriate protections for our intellectual property; the impact of climate change on our operations; economic, social, political and geopolitical instability, military conflict, currency fluctuation, and other risks of doing business outside of the United States; uncertainty of government policies and actions in respect to global trade and tariffs, including the potential impacts of tariffs on the United States economy, the economy of other countries in which we conduct operations and our industry; cyber liability or potential liability for breaches of our or our service providers’ information technology systems or business operations disruptions; and other risks and uncertainties set forth in documents filed, or to be filed, with the SEC. For the reasons described above, we caution against relying on any forward-looking statements, which should also be read in conjunction with the sections entitled “Business,” “Risk Factors” and “Management’s Discussion and Analysis of Financial Condition and Results of Operations” and in other sections incorporated by reference from our Annual Report on Form 10-K and Quarterly Reports on Form 10-Q, as applicable, as well as our other filings with the SEC. You should be aware that the occurrence of any of the events discussed under the heading “Risk Factors” in any applicable prospectus supplement and any documents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incorporated by reference herein or therein could substantially harm our business, operating results, and financial condition and that if any of these events occurs, it could adversely affect the value of an investment in our securities. </w:t>
      </w:r>
    </w:p>
    <w:p>
      <w:pPr>
        <w:pStyle w:val="TextBody"/>
        <w:bidi w:val="0"/>
        <w:spacing w:before="160" w:after="283"/>
        <w:ind w:left="0" w:right="0" w:firstLine="400"/>
        <w:jc w:val="left"/>
        <w:rPr/>
      </w:pPr>
      <w:r>
        <w:rPr/>
      </w:r>
    </w:p>
    <w:p>
      <w:pPr>
        <w:pStyle w:val="TextBody"/>
        <w:bidi w:val="0"/>
        <w:spacing w:lineRule="auto" w:line="319" w:before="0" w:after="20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cautionary statements made in this prospectus are intended to be applicable to all related forward-looking statements wherever they may appear in this prospectus or in any prospectus supplement or any documents incorporated by reference herein or therein. We urge you not to place undue reliance on these forward-looking statements, which speak only as of the date they are made. Except as required by law, we assume no obligation to update our forward-looking statements, even if new information becomes available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319" w:before="0" w:after="20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We will not receive any of the proceeds from the sale or other disposition of shares of our common stock held by the Selling Stockholders pursuant to this prospectus. We will receive nominal proceeds from the exercise of the Pre-Funded Warrants if such warrants are exercised for cash at the exercise price of $0.01 per share.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 xml:space="preserve">DESCRIPTION OF CAPITAL STOCK </w:t>
      </w:r>
    </w:p>
    <w:p>
      <w:pPr>
        <w:pStyle w:val="TextBody"/>
        <w:bidi w:val="0"/>
        <w:spacing w:lineRule="auto" w:line="319" w:before="240" w:after="283"/>
        <w:jc w:val="left"/>
        <w:rPr/>
      </w:pPr>
      <w:r>
        <w:rPr>
          <w:rFonts w:ascii="Times New Roman;serif" w:hAnsi="Times New Roman;serif"/>
          <w:b/>
          <w:color w:val="000000"/>
          <w:sz w:val="20"/>
        </w:rPr>
        <w:t>General</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185,000,000 shares, consisting of 180,000,000 shares of common stock, $0.01 par value per share, and 5,000,000 shares of preferred stock, $0.01 par value per share (“Preferred Stock”). Our board of directors (the “Board”) is authorized, without stockholder approval, except as required by the listing standards of the Nasdaq Stock Market, to issue additional shares of our capital stock. In addition, our board of directors may, without further action by our stockholders, designate the rights, preferences, privileges, and restrictions of our Preferred Stock in one or more series.</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As of October 7, 2026, we had outstanding 93,744,210 shares of common stock.</w:t>
      </w:r>
    </w:p>
    <w:p>
      <w:pPr>
        <w:pStyle w:val="TextBody"/>
        <w:bidi w:val="0"/>
        <w:spacing w:lineRule="auto" w:line="319" w:before="234" w:after="283"/>
        <w:jc w:val="left"/>
        <w:rPr/>
      </w:pPr>
      <w:r>
        <w:rPr>
          <w:rFonts w:ascii="Times New Roman;serif" w:hAnsi="Times New Roman;serif"/>
          <w:b/>
          <w:color w:val="000000"/>
          <w:sz w:val="20"/>
        </w:rPr>
        <w:t>Common Stock</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common stock is a summary and is qualified in its entirety by reference to the actual terms and provisions contained in our Restated Certificate of Incorporation, as amended from time to time (the “Certificate of Incorporation”), and our Amended and Restated Bylaws, as amended from time to time (the “Bylaws”), each of which is filed as an exhibit to the registration statement of which this prospectus is a part. We encourage you to read our Certificate of Incorporation, our Bylaws, and the applicable provisions of the Delaware General Corporation Law (“DGCL”) for additional information. </w:t>
      </w:r>
    </w:p>
    <w:p>
      <w:pPr>
        <w:pStyle w:val="TextBody"/>
        <w:bidi w:val="0"/>
        <w:spacing w:lineRule="auto" w:line="319" w:before="234" w:after="283"/>
        <w:jc w:val="left"/>
        <w:rPr/>
      </w:pPr>
      <w:r>
        <w:rPr>
          <w:rFonts w:ascii="Times New Roman;serif" w:hAnsi="Times New Roman;serif"/>
          <w:b/>
          <w:i/>
          <w:color w:val="000000"/>
          <w:sz w:val="20"/>
        </w:rPr>
        <w:t>Dividends</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preferential rights of any other class or series of Preferred Stock, holders of common stock may receive dividends pro rata out of assets that we can legally use to pay dividends, when, as and if they are declared by our Board. </w:t>
      </w:r>
    </w:p>
    <w:p>
      <w:pPr>
        <w:pStyle w:val="TextBody"/>
        <w:bidi w:val="0"/>
        <w:spacing w:lineRule="auto" w:line="319" w:before="234" w:after="283"/>
        <w:jc w:val="left"/>
        <w:rPr/>
      </w:pPr>
      <w:r>
        <w:rPr>
          <w:rFonts w:ascii="Times New Roman;serif" w:hAnsi="Times New Roman;serif"/>
          <w:b/>
          <w:i/>
          <w:color w:val="000000"/>
          <w:sz w:val="20"/>
        </w:rPr>
        <w:t>Voting Rights</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 </w:t>
      </w:r>
    </w:p>
    <w:p>
      <w:pPr>
        <w:pStyle w:val="TextBody"/>
        <w:bidi w:val="0"/>
        <w:spacing w:lineRule="auto" w:line="319" w:before="234" w:after="283"/>
        <w:jc w:val="left"/>
        <w:rPr/>
      </w:pPr>
      <w:r>
        <w:rPr>
          <w:rFonts w:ascii="Times New Roman;serif" w:hAnsi="Times New Roman;serif"/>
          <w:b/>
          <w:i/>
          <w:color w:val="000000"/>
          <w:sz w:val="20"/>
        </w:rPr>
        <w:t>Liquidation Rights</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 </w:t>
      </w:r>
    </w:p>
    <w:p>
      <w:pPr>
        <w:pStyle w:val="TextBody"/>
        <w:bidi w:val="0"/>
        <w:spacing w:lineRule="auto" w:line="319" w:before="232" w:after="283"/>
        <w:jc w:val="left"/>
        <w:rPr/>
      </w:pPr>
      <w:r>
        <w:rPr>
          <w:rFonts w:ascii="Times New Roman;serif" w:hAnsi="Times New Roman;serif"/>
          <w:b/>
          <w:i/>
          <w:color w:val="000000"/>
          <w:sz w:val="20"/>
        </w:rPr>
        <w:t>Fully Paid and Nonassessable</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shares of our common stock are fully paid and nonassessable.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319" w:before="232" w:after="283"/>
        <w:jc w:val="left"/>
        <w:rPr/>
      </w:pPr>
      <w:r>
        <w:rPr>
          <w:rFonts w:ascii="Times New Roman;serif" w:hAnsi="Times New Roman;serif"/>
          <w:b/>
          <w:i/>
          <w:color w:val="000000"/>
          <w:sz w:val="20"/>
        </w:rPr>
        <w:t>Absence of Other Rights</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common stock have no preference, appraisal or exchange rights, except for any appraisal rights provided by Delaware law. Furthermore, holders of common stock have no conversion, sinking fund or redemption rights, or preemptive rights to subscribe for any of our securities. </w:t>
      </w:r>
    </w:p>
    <w:p>
      <w:pPr>
        <w:pStyle w:val="TextBody"/>
        <w:bidi w:val="0"/>
        <w:spacing w:lineRule="auto" w:line="319" w:before="232" w:after="283"/>
        <w:jc w:val="left"/>
        <w:rPr/>
      </w:pPr>
      <w:r>
        <w:rPr>
          <w:rFonts w:ascii="Times New Roman;serif" w:hAnsi="Times New Roman;serif"/>
          <w:b/>
          <w:color w:val="000000"/>
          <w:sz w:val="20"/>
        </w:rPr>
        <w:t>Preferred Stock</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authorizes our Board, without stockholder approval, to designate and issue up to 5,000,000 shares of Preferred Stock,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 There are currently no issued and outstanding shares of Preferred Stock. </w:t>
      </w:r>
    </w:p>
    <w:p>
      <w:pPr>
        <w:pStyle w:val="TextBody"/>
        <w:bidi w:val="0"/>
        <w:spacing w:lineRule="auto" w:line="319" w:before="240" w:after="283"/>
        <w:jc w:val="left"/>
        <w:rPr/>
      </w:pPr>
      <w:r>
        <w:rPr>
          <w:rFonts w:ascii="Times New Roman;serif" w:hAnsi="Times New Roman;serif"/>
          <w:b/>
          <w:color w:val="000000"/>
          <w:sz w:val="20"/>
        </w:rPr>
        <w:t>Warrants</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As of October 5, 2026, there were Pre-Funded Warrants to purchase up to 4,824,395 shares of common stock at an exercise price of $0.01 per share outstanding, which are exercisable at any time until exercised in full. In addition, as of October 5, 2026, there were warrants to purchase up to 1,215,000 shares of common stock at an exercise price of $11.03 per share outstanding, which are exercisable, in full or in part, at any time prior to December 11, 2026.</w:t>
      </w:r>
    </w:p>
    <w:p>
      <w:pPr>
        <w:pStyle w:val="TextBody"/>
        <w:bidi w:val="0"/>
        <w:spacing w:lineRule="auto" w:line="319" w:before="160" w:after="283"/>
        <w:ind w:left="0" w:right="0" w:firstLine="400"/>
        <w:jc w:val="left"/>
        <w:rPr>
          <w:rFonts w:ascii="Times New Roman;serif" w:hAnsi="Times New Roman;serif"/>
          <w:b/>
          <w:i/>
          <w:color w:val="000000"/>
          <w:sz w:val="20"/>
        </w:rPr>
      </w:pPr>
      <w:r>
        <w:rPr>
          <w:rFonts w:ascii="Times New Roman;serif" w:hAnsi="Times New Roman;serif"/>
          <w:b/>
          <w:i/>
          <w:color w:val="000000"/>
          <w:sz w:val="20"/>
        </w:rPr>
        <w:t>Pre-Funded Warrants</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In connection with the Private Placement, we issued Pre-Funded Warrants to purchase 4,824,395 shares of common stock. The Pre-Funded Warrants have an exercise price of $0.01 per share, are immediately exercisable, and may be exercised at any time until exercised in full. The Pre-Funded Warrants may be exercised on a cashless basis. The exercise price and number of shares of common stock issuable upon exercise of the Pre-Funded Warrants are subject to adjustment for stock splits, stock dividends, reclassifications and similar events.</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a Pre-Funded Warrant may not exercise the warrant to the extent that, after giving effect to the exercise, such holder (together with its affiliates and any other persons acting as a group together with such holder) would beneficially own more than 4.99% (or, at the election of the holder at the time of issuance, 9.99%) of the outstanding shares of our common stock. A holder may increase or decrease this limitation upon 61 days’ prior notice to us. However, holder of a Pre-Funded Warrant may not exercise the warrant to the extent that, after giving effect to the exercise, such holder (together with its affiliates and any other persons acting as a group together with such holder) would beneficially own more than 19.99% of the outstanding shares of our common stock, which beneficial ownership limitation may not be amended or waiver by the hold or the Company unless and until stockholder approval is obtained in accordance with Nasdaq Listing Rule 5635(b). </w:t>
      </w:r>
    </w:p>
    <w:p>
      <w:pPr>
        <w:pStyle w:val="TextBody"/>
        <w:bidi w:val="0"/>
        <w:spacing w:lineRule="auto" w:line="319" w:before="240" w:after="283"/>
        <w:jc w:val="left"/>
        <w:rPr/>
      </w:pPr>
      <w:r>
        <w:rPr>
          <w:rFonts w:ascii="Times New Roman;serif" w:hAnsi="Times New Roman;serif"/>
          <w:b/>
          <w:color w:val="000000"/>
          <w:sz w:val="20"/>
        </w:rPr>
        <w:t>Delaware Anti-Takeover Statute</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provisions of Section 203 of the DGCL regulating corporate takeovers. In general, Section 203, subject to certain exceptions, prohibits a publicly held Delaware corporation from engaging in any business combination with any interested stockholder for a period of three years following the date that such person or entity became an interested stockholder, unless: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319" w:before="120"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prior to such date, the board of directors of the corporation approved either the business combination or the transaction which resulted in the stockholder becoming an interested stockholder;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specified shares; or </w:t>
      </w:r>
    </w:p>
    <w:p>
      <w:pPr>
        <w:pStyle w:val="TextBody"/>
        <w:bidi w:val="0"/>
        <w:spacing w:lineRule="auto" w:line="319" w:before="116" w:after="283"/>
        <w:ind w:left="0" w:right="0" w:hanging="200"/>
        <w:jc w:val="left"/>
        <w:rPr/>
      </w:pPr>
      <w:r>
        <w:rPr>
          <w:color w:val="000000"/>
        </w:rPr>
        <w:t xml:space="preserve">•     </w:t>
      </w:r>
      <w:r>
        <w:rPr>
          <w:rFonts w:ascii="Times New Roman;serif" w:hAnsi="Times New Roman;serif"/>
          <w:b w:val="false"/>
          <w:color w:val="000000"/>
          <w:sz w:val="20"/>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w:t>
      </w:r>
      <w:r>
        <w:rPr>
          <w:rFonts w:ascii="Times New Roman;serif" w:hAnsi="Times New Roman;serif"/>
          <w:b w:val="false"/>
          <w:color w:val="000000"/>
          <w:sz w:val="9"/>
        </w:rPr>
        <w:t>2</w:t>
      </w:r>
      <w:r>
        <w:rPr>
          <w:color w:val="000000"/>
        </w:rPr>
        <w:t>∕</w:t>
      </w:r>
      <w:r>
        <w:rPr>
          <w:rFonts w:ascii="Times New Roman;serif" w:hAnsi="Times New Roman;serif"/>
          <w:b w:val="false"/>
          <w:color w:val="000000"/>
          <w:sz w:val="14"/>
        </w:rPr>
        <w:t>3</w:t>
      </w:r>
      <w:r>
        <w:rPr>
          <w:rFonts w:ascii="Times New Roman;serif" w:hAnsi="Times New Roman;serif"/>
          <w:b w:val="false"/>
          <w:color w:val="000000"/>
          <w:sz w:val="20"/>
        </w:rPr>
        <w:t xml:space="preserve">% of the outstanding voting stock that is not owned by the interested stockholder.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 </w: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“business combination” as: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any merger or consolidation involving the corporation and the interested stockholder;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any sale, lease, exchange, mortgage, pledge, transfer or other disposition of 10% or more of the assets of the corporation to or with the interested stockholder;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subject to certain exceptions, any transaction which results in the issuance or transfer by the corporation of any stock of the corporation to the interested stockholder;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any transaction involving the corporation that has the effect of increasing the proportionate share of the stock of any class or series of the corporation beneficially owned by the interested stockholder; or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the receipt by the interested stockholder of the benefit of any loans, advances, guarantees, pledges or other financial benefits provided by or through the corporation. </w: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an “interested stockholder” as any person that is: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the owner of 15% or more of the outstanding voting stock of the corporation;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an affiliate or associate of the corporation and was the owner of 15% or more of the outstanding voting stock of the corporation at any time within three years immediately prior to the relevant date; or </w:t>
      </w:r>
    </w:p>
    <w:p>
      <w:pPr>
        <w:pStyle w:val="TextBody"/>
        <w:bidi w:val="0"/>
        <w:spacing w:lineRule="auto" w:line="319" w:before="118"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an affiliate or associate of the above.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 </w:t>
      </w:r>
    </w:p>
    <w:p>
      <w:pPr>
        <w:pStyle w:val="TextBody"/>
        <w:bidi w:val="0"/>
        <w:spacing w:lineRule="auto" w:line="319" w:before="240" w:after="283"/>
        <w:jc w:val="left"/>
        <w:rPr/>
      </w:pPr>
      <w:r>
        <w:rPr>
          <w:rFonts w:ascii="Times New Roman;serif" w:hAnsi="Times New Roman;serif"/>
          <w:b/>
          <w:color w:val="000000"/>
          <w:sz w:val="20"/>
        </w:rPr>
        <w:t>Other Corporate Governance Matters</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directors shall be elected for a one-year term expiring at the next annual meeting. Directors elected to succeed those directors whose terms then expire shall be elected for a term of office to expire at the succeeding annual meeting after their election, with each director to hold office until his or her successor shall have been duly elected and qualified.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Subject to the preferential rights of any other class or series of preferred stock, any director, or the entire Board, may be removed from office at any time, with or without cause, by the affirmative vote of the holders of a majority of the voting power of all the then outstanding shares of voting stock of the Company, voting together as a single class. Our Bylaws require that stockholders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 meeting was 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stockholders of our company may be called only by: (i) the Chairman of the Board, (ii) by a majority of the Board, or (iii) the Chief Executive Officer of our Company. Our Certificate of Incorporation, as well as applicable provisions of the DGCL, provide that no action required or permitted to be taken at any annual or special meeting of our stockholders may be taken without a meeting, unless the consent of two-thirds of the voting power of the then outstanding shares of stock of the company entitled to vote on the matter is obtained. These provisions may diminish the likelihood that a potential acquirer would make an offer for our common stock or that there would otherwise be a change in control of our company.</w:t>
      </w:r>
    </w:p>
    <w:p>
      <w:pPr>
        <w:pStyle w:val="TextBody"/>
        <w:bidi w:val="0"/>
        <w:spacing w:lineRule="auto" w:line="319" w:before="240" w:after="283"/>
        <w:jc w:val="left"/>
        <w:rPr/>
      </w:pPr>
      <w:r>
        <w:rPr>
          <w:rFonts w:ascii="Times New Roman;serif" w:hAnsi="Times New Roman;serif"/>
          <w:b/>
          <w:color w:val="000000"/>
          <w:sz w:val="20"/>
        </w:rPr>
        <w:t>Transfer Agent and Registrar</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common stock is Computershare Trust Company, N.A.. The transfer agent’s address is 462 South 4th Street, Louisville, Kentucky 40202. </w:t>
      </w:r>
    </w:p>
    <w:p>
      <w:pPr>
        <w:pStyle w:val="TextBody"/>
        <w:bidi w:val="0"/>
        <w:spacing w:lineRule="auto" w:line="319" w:before="240" w:after="283"/>
        <w:jc w:val="left"/>
        <w:rPr/>
      </w:pPr>
      <w:r>
        <w:rPr>
          <w:rFonts w:ascii="Times New Roman;serif" w:hAnsi="Times New Roman;serif"/>
          <w:b/>
          <w:color w:val="000000"/>
          <w:sz w:val="20"/>
        </w:rPr>
        <w:t>Listing</w:t>
      </w:r>
      <w:r>
        <w:rPr>
          <w:color w:val="000000"/>
        </w:rPr>
        <w:t xml:space="preserve"> </w:t>
      </w:r>
    </w:p>
    <w:p>
      <w:pPr>
        <w:pStyle w:val="TextBody"/>
        <w:bidi w:val="0"/>
        <w:spacing w:lineRule="auto" w:line="319" w:before="0" w:after="20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Stock Market under the trading symbol “NNBR.”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 xml:space="preserve">SELLING STOCKHOLDERS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 </w:t>
      </w:r>
    </w:p>
    <w:p>
      <w:pPr>
        <w:pStyle w:val="TextBody"/>
        <w:bidi w:val="0"/>
        <w:spacing w:lineRule="auto" w:line="319" w:before="160" w:after="283"/>
        <w:ind w:left="0" w:right="0" w:firstLine="400"/>
        <w:jc w:val="left"/>
        <w:rPr/>
      </w:pPr>
      <w:r>
        <w:rPr>
          <w:rFonts w:ascii="Times New Roman;serif" w:hAnsi="Times New Roman;serif"/>
          <w:b w:val="false"/>
          <w:color w:val="000000"/>
          <w:sz w:val="20"/>
        </w:rPr>
        <w:t>Information regarding each additional Selling Stockholder, if any, will be set forth by a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w:t>
      </w:r>
      <w:r>
        <w:rPr>
          <w:rFonts w:ascii="Times New Roman;serif" w:hAnsi="Times New Roman;serif"/>
          <w:b w:val="false"/>
          <w:i/>
          <w:color w:val="000000"/>
          <w:sz w:val="20"/>
        </w:rPr>
        <w:t>Plan of Distribution</w:t>
      </w:r>
      <w:r>
        <w:rPr>
          <w:rFonts w:ascii="Times New Roman;serif" w:hAnsi="Times New Roman;serif"/>
          <w:b w:val="false"/>
          <w:color w:val="000000"/>
          <w:sz w:val="2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the table below and the footnotes thereto regarding shares of common stock to be beneficially owned after the offering assumes the sale of all shares being offered by the Selling Stockholders under this prospectus. This information has been obtained from the Selling Stockholders. The percentage of shares owned after the offering is based on 93,744,210 shares of common stock outstanding as of October 7, 2026. In computing the number of shares of common stock beneficially owned by a Selling Stockholder and the percentage ownership of that Selling Stockholder, we deemed outstanding shares of common stock subject to Pre-Funded Warrants or other options, warrants or convertible securities held by that Selling Stockholder that are currently exercisable or exercisable within 60 days of October 7, 2026. We did not deem these shares outstanding, however, for the purpose of computing the percentage ownership of any other Selling Stockholder.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Except for the ownership of shares of our common stock and Pre-Funded Warrants issued pursuant to the Purchase Agreement and the registration rights granted pursuant to the Registration Rights Agreement, none of the Selling Stockholders has had any material relationship with us or any of our predecessors or affiliates within the past three years. None of the Selling Stockholders is a broker-dealer or an affiliate of a broker-dealer.</w:t>
      </w:r>
    </w:p>
    <w:p>
      <w:pPr>
        <w:pStyle w:val="TextBody"/>
        <w:bidi w:val="0"/>
        <w:spacing w:before="160" w:after="283"/>
        <w:ind w:left="0" w:right="0" w:firstLine="400"/>
        <w:jc w:val="left"/>
        <w:rPr/>
      </w:pPr>
      <w:r>
        <w:rPr/>
      </w:r>
    </w:p>
    <w:tbl>
      <w:tblPr>
        <w:tblW w:w="10205" w:type="dxa"/>
        <w:jc w:val="left"/>
        <w:tblInd w:w="0" w:type="dxa"/>
        <w:tblLayout w:type="fixed"/>
        <w:tblCellMar>
          <w:top w:w="28" w:type="dxa"/>
          <w:left w:w="28" w:type="dxa"/>
          <w:bottom w:w="28" w:type="dxa"/>
          <w:right w:w="28" w:type="dxa"/>
        </w:tblCellMar>
      </w:tblPr>
      <w:tblGrid>
        <w:gridCol w:w="1872"/>
        <w:gridCol w:w="1642"/>
        <w:gridCol w:w="1661"/>
        <w:gridCol w:w="333"/>
        <w:gridCol w:w="333"/>
        <w:gridCol w:w="335"/>
        <w:gridCol w:w="314"/>
        <w:gridCol w:w="314"/>
        <w:gridCol w:w="315"/>
        <w:gridCol w:w="343"/>
        <w:gridCol w:w="343"/>
        <w:gridCol w:w="345"/>
        <w:gridCol w:w="598"/>
        <w:gridCol w:w="598"/>
        <w:gridCol w:w="859"/>
      </w:tblGrid>
      <w:tr>
        <w:trPr/>
        <w:tc>
          <w:tcPr>
            <w:tcW w:w="187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1001" w:type="dxa"/>
            <w:gridSpan w:val="3"/>
            <w:tcBorders/>
            <w:tcMar>
              <w:top w:w="0" w:type="dxa"/>
              <w:left w:w="0" w:type="dxa"/>
              <w:bottom w:w="0" w:type="dxa"/>
              <w:right w:w="0" w:type="dxa"/>
            </w:tcMar>
            <w:vAlign w:val="center"/>
          </w:tcPr>
          <w:p>
            <w:pPr>
              <w:pStyle w:val="TableContents"/>
              <w:bidi w:val="0"/>
              <w:spacing w:lineRule="auto" w:line="319" w:before="0" w:after="0"/>
              <w:jc w:val="center"/>
              <w:rPr/>
            </w:pPr>
            <w:r>
              <w:rPr>
                <w:rFonts w:ascii="Times New Roman;serif" w:hAnsi="Times New Roman;serif"/>
                <w:b/>
                <w:color w:val="000000"/>
                <w:sz w:val="16"/>
              </w:rPr>
              <w:t>Number of</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Shares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Beneficially</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Owned</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 xml:space="preserve">Before this </w:t>
            </w:r>
            <w:r>
              <w:rPr>
                <w:rFonts w:ascii="Times New Roman;serif" w:hAnsi="Times New Roman;serif"/>
                <w:b w:val="false"/>
                <w:color w:val="000000"/>
                <w:sz w:val="20"/>
              </w:rPr>
              <w:br/>
            </w:r>
            <w:r>
              <w:rPr>
                <w:rFonts w:ascii="Times New Roman;serif" w:hAnsi="Times New Roman;serif"/>
                <w:b/>
                <w:color w:val="000000"/>
                <w:sz w:val="16"/>
              </w:rPr>
              <w:t xml:space="preserve">Offering </w:t>
            </w:r>
          </w:p>
        </w:tc>
        <w:tc>
          <w:tcPr>
            <w:tcW w:w="943" w:type="dxa"/>
            <w:gridSpan w:val="3"/>
            <w:tcBorders/>
            <w:tcMar>
              <w:top w:w="0" w:type="dxa"/>
              <w:left w:w="0" w:type="dxa"/>
              <w:bottom w:w="0" w:type="dxa"/>
              <w:right w:w="0" w:type="dxa"/>
            </w:tcMar>
            <w:vAlign w:val="center"/>
          </w:tcPr>
          <w:p>
            <w:pPr>
              <w:pStyle w:val="TableContents"/>
              <w:bidi w:val="0"/>
              <w:spacing w:lineRule="auto" w:line="319" w:before="0" w:after="0"/>
              <w:jc w:val="center"/>
              <w:rPr/>
            </w:pPr>
            <w:r>
              <w:rPr>
                <w:rFonts w:ascii="Times New Roman;serif" w:hAnsi="Times New Roman;serif"/>
                <w:b/>
                <w:color w:val="000000"/>
                <w:sz w:val="16"/>
              </w:rPr>
              <w:t>Number of</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Shares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 xml:space="preserve">Offered </w:t>
            </w:r>
          </w:p>
        </w:tc>
        <w:tc>
          <w:tcPr>
            <w:tcW w:w="1031" w:type="dxa"/>
            <w:gridSpan w:val="3"/>
            <w:tcBorders/>
            <w:tcMar>
              <w:top w:w="0" w:type="dxa"/>
              <w:left w:w="0" w:type="dxa"/>
              <w:bottom w:w="0" w:type="dxa"/>
              <w:right w:w="0" w:type="dxa"/>
            </w:tcMar>
            <w:vAlign w:val="center"/>
          </w:tcPr>
          <w:p>
            <w:pPr>
              <w:pStyle w:val="TableContents"/>
              <w:bidi w:val="0"/>
              <w:spacing w:lineRule="auto" w:line="319" w:before="0" w:after="0"/>
              <w:jc w:val="center"/>
              <w:rPr/>
            </w:pPr>
            <w:r>
              <w:rPr>
                <w:rFonts w:ascii="Times New Roman;serif" w:hAnsi="Times New Roman;serif"/>
                <w:b/>
                <w:color w:val="000000"/>
                <w:sz w:val="16"/>
              </w:rPr>
              <w:t>Number of</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Shares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Beneficially</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Owned</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 xml:space="preserve">After this </w:t>
            </w:r>
            <w:r>
              <w:rPr>
                <w:rFonts w:ascii="Times New Roman;serif" w:hAnsi="Times New Roman;serif"/>
                <w:b w:val="false"/>
                <w:color w:val="000000"/>
                <w:sz w:val="20"/>
              </w:rPr>
              <w:br/>
            </w:r>
            <w:r>
              <w:rPr>
                <w:rFonts w:ascii="Times New Roman;serif" w:hAnsi="Times New Roman;serif"/>
                <w:b/>
                <w:color w:val="000000"/>
                <w:sz w:val="16"/>
              </w:rPr>
              <w:t xml:space="preserve">Offering </w:t>
            </w:r>
          </w:p>
        </w:tc>
        <w:tc>
          <w:tcPr>
            <w:tcW w:w="2055" w:type="dxa"/>
            <w:gridSpan w:val="3"/>
            <w:tcBorders/>
            <w:tcMar>
              <w:top w:w="0" w:type="dxa"/>
              <w:left w:w="0" w:type="dxa"/>
              <w:bottom w:w="0" w:type="dxa"/>
              <w:right w:w="0" w:type="dxa"/>
            </w:tcMar>
            <w:vAlign w:val="center"/>
          </w:tcPr>
          <w:p>
            <w:pPr>
              <w:pStyle w:val="TableContents"/>
              <w:bidi w:val="0"/>
              <w:spacing w:lineRule="auto" w:line="319" w:before="0" w:after="0"/>
              <w:jc w:val="center"/>
              <w:rPr/>
            </w:pPr>
            <w:r>
              <w:rPr>
                <w:rFonts w:ascii="Times New Roman;serif" w:hAnsi="Times New Roman;serif"/>
                <w:b/>
                <w:color w:val="000000"/>
                <w:sz w:val="16"/>
              </w:rPr>
              <w:t>Percentage</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of Shares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Beneficially</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16"/>
              </w:rPr>
              <w:t xml:space="preserve">Owned after the Offering </w:t>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AIGH Investment Partners, LP</w:t>
            </w:r>
            <w:r>
              <w:rPr>
                <w:rFonts w:ascii="Times New Roman;serif" w:hAnsi="Times New Roman;serif"/>
                <w:b w:val="false"/>
                <w:color w:val="000000"/>
                <w:sz w:val="13"/>
              </w:rPr>
              <w:t>(1)</w:t>
            </w:r>
            <w:r>
              <w:rPr>
                <w:color w:val="000000"/>
              </w:rPr>
              <w:t xml:space="preserve"> </w:t>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9,047,441</w:t>
            </w:r>
          </w:p>
        </w:tc>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3,338,778</w:t>
            </w:r>
          </w:p>
        </w:tc>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5,708,663</w:t>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WVP Emerging Manager Onshore Fund, LLC – AIGH Series</w:t>
            </w:r>
            <w:r>
              <w:rPr>
                <w:rFonts w:ascii="Times New Roman;serif" w:hAnsi="Times New Roman;serif"/>
                <w:b w:val="false"/>
                <w:color w:val="000000"/>
                <w:sz w:val="13"/>
              </w:rPr>
              <w:t>(2)</w:t>
            </w:r>
            <w:r>
              <w:rPr>
                <w:color w:val="000000"/>
              </w:rPr>
              <w:t xml:space="preserve"> </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3,029,546</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1,206,677</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br/>
              <w:t>1,822,869</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Alyeska Master Fund, L.P.</w:t>
            </w:r>
            <w:r>
              <w:rPr>
                <w:rFonts w:ascii="Times New Roman;serif" w:hAnsi="Times New Roman;serif"/>
                <w:b w:val="false"/>
                <w:color w:val="000000"/>
                <w:sz w:val="13"/>
              </w:rPr>
              <w:t>(3)</w:t>
            </w:r>
            <w:r>
              <w:rPr>
                <w:color w:val="000000"/>
              </w:rPr>
              <w:t xml:space="preserve"> </w:t>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4,677,836</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3,030,303</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3,156,895</w:t>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Polar Long/Short Master Fund</w:t>
            </w:r>
            <w:r>
              <w:rPr>
                <w:rFonts w:ascii="Times New Roman;serif" w:hAnsi="Times New Roman;serif"/>
                <w:b w:val="false"/>
                <w:color w:val="000000"/>
                <w:sz w:val="13"/>
              </w:rPr>
              <w:t>(4)</w:t>
            </w:r>
            <w:r>
              <w:rPr>
                <w:color w:val="000000"/>
              </w:rPr>
              <w:t xml:space="preserve"> </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2,861,315</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1,515,152</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r>
              <w:rPr>
                <w:rFonts w:ascii="Times New Roman;serif" w:hAnsi="Times New Roman;serif"/>
                <w:b w:val="false"/>
                <w:color w:val="000000"/>
                <w:sz w:val="20"/>
              </w:rPr>
              <w:t xml:space="preserve">1,346,163 </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Polar Multi-Strategy Master Fund</w:t>
            </w:r>
            <w:r>
              <w:rPr>
                <w:rFonts w:ascii="Times New Roman;serif" w:hAnsi="Times New Roman;serif"/>
                <w:b w:val="false"/>
                <w:color w:val="000000"/>
                <w:sz w:val="13"/>
              </w:rPr>
              <w:t>(4)</w:t>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3,030,303</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3,030,303</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r>
    </w:tbl>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35"/>
        <w:gridCol w:w="2231"/>
        <w:gridCol w:w="2238"/>
        <w:gridCol w:w="309"/>
        <w:gridCol w:w="309"/>
        <w:gridCol w:w="313"/>
        <w:gridCol w:w="260"/>
        <w:gridCol w:w="260"/>
        <w:gridCol w:w="261"/>
        <w:gridCol w:w="309"/>
        <w:gridCol w:w="309"/>
        <w:gridCol w:w="313"/>
        <w:gridCol w:w="161"/>
        <w:gridCol w:w="161"/>
        <w:gridCol w:w="236"/>
      </w:tblGrid>
      <w:tr>
        <w:trPr/>
        <w:tc>
          <w:tcPr>
            <w:tcW w:w="2535"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Lytton-Kambara Foundation</w:t>
            </w:r>
            <w:r>
              <w:rPr>
                <w:rFonts w:ascii="Times New Roman;serif" w:hAnsi="Times New Roman;serif"/>
                <w:b w:val="false"/>
                <w:color w:val="000000"/>
                <w:sz w:val="13"/>
              </w:rPr>
              <w:t>(5)</w:t>
            </w:r>
            <w:r>
              <w:rPr>
                <w:color w:val="000000"/>
              </w:rPr>
              <w:t xml:space="preserve">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806,573</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227,273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r>
              <w:rPr>
                <w:rFonts w:ascii="Times New Roman;serif" w:hAnsi="Times New Roman;serif"/>
                <w:b w:val="false"/>
                <w:color w:val="000000"/>
                <w:sz w:val="20"/>
              </w:rPr>
              <w:t xml:space="preserve">579,300 </w:t>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Special Situations Fund III QP, L.P.</w:t>
            </w:r>
            <w:r>
              <w:rPr>
                <w:rFonts w:ascii="Times New Roman;serif" w:hAnsi="Times New Roman;serif"/>
                <w:b w:val="false"/>
                <w:color w:val="000000"/>
                <w:sz w:val="13"/>
              </w:rPr>
              <w:t>(6)</w:t>
            </w:r>
            <w:r>
              <w:rPr>
                <w:color w:val="000000"/>
              </w:rPr>
              <w:t xml:space="preserve">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702,456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702,456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Special Situations Cayman Fund, L.P.</w:t>
            </w:r>
            <w:r>
              <w:rPr>
                <w:rFonts w:ascii="Times New Roman;serif" w:hAnsi="Times New Roman;serif"/>
                <w:b w:val="false"/>
                <w:color w:val="000000"/>
                <w:sz w:val="13"/>
              </w:rPr>
              <w:t>(6)</w:t>
            </w:r>
            <w:r>
              <w:rPr>
                <w:color w:val="000000"/>
              </w:rPr>
              <w:t xml:space="preserve">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206,634</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206,634</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Funds managed by Empery Asset Management, LP</w:t>
            </w:r>
            <w:r>
              <w:rPr>
                <w:color w:val="000000"/>
              </w:rPr>
              <w:t xml:space="preserve"> </w:t>
            </w:r>
            <w:r>
              <w:rPr>
                <w:rFonts w:ascii="Times New Roman;serif" w:hAnsi="Times New Roman;serif"/>
                <w:b w:val="false"/>
                <w:color w:val="000000"/>
                <w:sz w:val="13"/>
              </w:rPr>
              <w:t>(7)</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569,697</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569,697</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Mink Brook Partners LP</w:t>
            </w:r>
            <w:r>
              <w:rPr>
                <w:rFonts w:ascii="Times New Roman;serif" w:hAnsi="Times New Roman;serif"/>
                <w:b w:val="false"/>
                <w:color w:val="000000"/>
                <w:sz w:val="13"/>
              </w:rPr>
              <w:t>(8)</w:t>
            </w:r>
            <w:r>
              <w:rPr>
                <w:color w:val="000000"/>
              </w:rPr>
              <w:t xml:space="preserve">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365,909</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365,909</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Mink Brook Opportunity Fund LP</w:t>
            </w:r>
            <w:r>
              <w:rPr>
                <w:rFonts w:ascii="Times New Roman;serif" w:hAnsi="Times New Roman;serif"/>
                <w:b w:val="false"/>
                <w:color w:val="000000"/>
                <w:sz w:val="13"/>
              </w:rPr>
              <w:t>(8)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164,394</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164,394</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GROW Small Cap Equity Long Short LP</w:t>
            </w:r>
            <w:r>
              <w:rPr>
                <w:rFonts w:ascii="Times New Roman;serif" w:hAnsi="Times New Roman;serif"/>
                <w:b w:val="false"/>
                <w:color w:val="000000"/>
                <w:sz w:val="13"/>
              </w:rPr>
              <w:t>(9)</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454,545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454,545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WPS Direct Fund</w:t>
            </w:r>
            <w:r>
              <w:rPr>
                <w:rFonts w:ascii="Times New Roman;serif" w:hAnsi="Times New Roman;serif"/>
                <w:b w:val="false"/>
                <w:color w:val="000000"/>
                <w:sz w:val="13"/>
              </w:rPr>
              <w:t>(10)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940,606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800,606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140,000 </w:t>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WPS Capital Fund</w:t>
            </w:r>
            <w:r>
              <w:rPr>
                <w:rFonts w:ascii="Times New Roman;serif" w:hAnsi="Times New Roman;serif"/>
                <w:b w:val="false"/>
                <w:color w:val="000000"/>
                <w:sz w:val="13"/>
              </w:rPr>
              <w:t>(10)</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300,000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160,000</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140,000 </w:t>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TSW Small Cap Opportunities Fund, a series of TSW Fund Management Company LLC</w:t>
            </w:r>
            <w:r>
              <w:rPr>
                <w:rFonts w:ascii="Times New Roman;serif" w:hAnsi="Times New Roman;serif"/>
                <w:b w:val="false"/>
                <w:color w:val="000000"/>
                <w:sz w:val="13"/>
              </w:rPr>
              <w:t>(11)</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782,484</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r>
              <w:rPr>
                <w:rFonts w:ascii="Times New Roman;serif" w:hAnsi="Times New Roman;serif"/>
                <w:b w:val="false"/>
                <w:color w:val="000000"/>
                <w:sz w:val="20"/>
              </w:rPr>
              <w:br/>
              <w:t xml:space="preserve">682,484 </w:t>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Strategos Master Fund, L.P.</w:t>
            </w:r>
            <w:r>
              <w:rPr>
                <w:color w:val="000000"/>
              </w:rPr>
              <w:t xml:space="preserve"> </w:t>
            </w:r>
            <w:r>
              <w:rPr>
                <w:rFonts w:ascii="Times New Roman;serif" w:hAnsi="Times New Roman;serif"/>
                <w:b w:val="false"/>
                <w:color w:val="000000"/>
                <w:sz w:val="13"/>
              </w:rPr>
              <w:t>(12)</w:t>
            </w:r>
            <w:r>
              <w:rPr>
                <w:color w:val="000000"/>
              </w:rPr>
              <w:t xml:space="preserve">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938,721</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64,822</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873,899</w:t>
            </w:r>
          </w:p>
        </w:tc>
        <w:tc>
          <w:tcPr>
            <w:tcW w:w="558"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Strategos Fund, L.P.</w:t>
            </w:r>
            <w:r>
              <w:rPr>
                <w:color w:val="000000"/>
              </w:rPr>
              <w:t xml:space="preserve"> </w:t>
            </w:r>
            <w:r>
              <w:rPr>
                <w:rFonts w:ascii="Times New Roman;serif" w:hAnsi="Times New Roman;serif"/>
                <w:b w:val="false"/>
                <w:color w:val="000000"/>
                <w:sz w:val="13"/>
              </w:rPr>
              <w:t>(12)</w:t>
            </w:r>
            <w:r>
              <w:rPr>
                <w:color w:val="000000"/>
              </w:rPr>
              <w:t xml:space="preserve">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1,963,048</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162,451</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1,800,597</w:t>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40" w:after="40"/>
              <w:jc w:val="left"/>
              <w:rPr/>
            </w:pPr>
            <w:r>
              <w:rPr/>
            </w:r>
          </w:p>
        </w:tc>
      </w:tr>
    </w:tbl>
    <w:p>
      <w:pPr>
        <w:pStyle w:val="TextBody"/>
        <w:bidi w:val="0"/>
        <w:spacing w:lineRule="auto" w:line="319" w:before="16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     Less than 1% </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(1)    Includes 6,647,441 shares of common stock and 2,400,000 pre-funded warrants, which exercise is limited such that holder’s beneficial ownership may not exceed 9.99%. Mr. Orin Hirschman is the managing member of AIGH Capital Management, LLC, a Maryland limited liability company (“AIGH CM”), which is an advisor with respect to securities held by AIGH Investment Partners, LP (“AIGH LP”). Mr. Hirschman has voting and investment control over the securities indirectly held by AIGH CM, directly held by AIGH LP and directly held by Mr. Hirschman and his family. The address for AIGH CM, AIGH LP and Mr. Hirschman is 6006 Berkeley Avenue, Baltimore, Maryland 21209. </w:t>
      </w:r>
    </w:p>
    <w:p>
      <w:pPr>
        <w:pStyle w:val="TextBody"/>
        <w:bidi w:val="0"/>
        <w:spacing w:lineRule="auto" w:line="319" w:before="120" w:after="283"/>
        <w:ind w:left="0" w:right="0" w:hanging="403"/>
        <w:jc w:val="left"/>
        <w:rPr>
          <w:rFonts w:ascii="Times New Roman;serif" w:hAnsi="Times New Roman;serif"/>
          <w:b w:val="false"/>
          <w:color w:val="000000"/>
          <w:sz w:val="20"/>
        </w:rPr>
      </w:pPr>
      <w:r>
        <w:rPr>
          <w:rFonts w:ascii="Times New Roman;serif" w:hAnsi="Times New Roman;serif"/>
          <w:b w:val="false"/>
          <w:color w:val="000000"/>
          <w:sz w:val="20"/>
        </w:rPr>
        <w:t xml:space="preserve">(2)     Includes 2,279,546 shares of common stock and 750,000 pre-funded warrants, which exercise is limited such that holder’s beneficial ownership may not exceed 9.99%. Mr. Orin Hirschman is the managing member of AIGH CM, who is a sub-advisor with respect to securities held by WVP Emerging Manager Onshore Fund, LLC - AIGH Series. Mr. Hirschman has voting and investment control over the securities indirectly held by AIGH CM and directly held by Mr. Hirschman and his family directly. The address for AIGH CM and Mr. Hirschman is 6006 Berkeley Avenue, Baltimore, Maryland 21209. </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(3)     Includes 4,524,637 shares of common stock and reflects 1,674,395 pre-funded warrants, which exercise is limited such that holder’s beneficial ownership may not exceed 4.99%.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other than to the extent of any pecuniary interest therein. The registered address of Alyeska Master Fund, L.P. is at c/o Maples Corporate Services Limited, P.O. Box 309, Ugland House, South Church Street George Town, Grand Cayman, KY1-1104, Cayman Islands. Alyeska Investment Group, L.P. is located at 77 W. Wacker, Suite 700, Chicago IL 60601. </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(4)    Polar Long/Short Master Fund and Polar Multi-Strategy Master Fund (each referred to as “Polar”) are under management by Polar Asset Management Partners Inc. (“PAMPI”). PAMPI serves as investment advisor of Polar and has control and discretion over the shares held by Polar. As such, PAMPI may be deemed the beneficial owner of the shares held by Polar. PAMPI disclaims any beneficial ownership of the reported shares other than to the extent of any pecuniary interest therein. John Paul Sabourin, in his capacity as Chief Investment Officer of PAMPI, may also be deemed the beneficial owner of the shares held by Polar. Mr. Sabourin disclaims any beneficial ownership of the reported shares other than to the extent of any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319" w:before="80" w:after="283"/>
        <w:jc w:val="left"/>
        <w:rPr>
          <w:rFonts w:ascii="Times New Roman;serif" w:hAnsi="Times New Roman;serif"/>
          <w:b w:val="false"/>
          <w:color w:val="000000"/>
          <w:sz w:val="20"/>
        </w:rPr>
      </w:pPr>
      <w:r>
        <w:rPr>
          <w:rFonts w:ascii="Times New Roman;serif" w:hAnsi="Times New Roman;serif"/>
          <w:b w:val="false"/>
          <w:color w:val="000000"/>
          <w:sz w:val="20"/>
        </w:rPr>
        <w:t>pecuniary interest therein. The principal business address of Polar is 94 Solaris Avenue, Camana Bay, PO Box 1348, Grand Cayman KY1-1108, Cayman Islands.</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(5)    Laurence Lytton may be deemed to have voting and dispositive power with respect to the common shares beneficially owned by the Lytton-Kambara Foundation. The address of Lytton-Kambara Foundation is 467 Central Park West 17-A, New York, NY 10025, Attn: Laurence Lytton, Managing Partner. </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(6)     AWM Investment Company, Inc. (“AWM”) is the investment adviser to each of the Special Situations Funds. David Greenhouse and Adam Stettner are the principal owners of AWM. Through their control of AWM, Messrs. Greenhouse and Stettner share voting and investment control over the portfolio securities of each of the Special Situations Funds. Messrs. Greenhouse and Stettner disclaim any beneficial ownership of the reported shares other than to the extent of any pecuniary interest each of them may have therein. The address of AWM, each of the Funds and Messrs. Greenhouse and Stettner is 527 Madison Avenue, Suite 2600, New York, NY 10022. </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(7)    Includes 256,515 shares of common stock held by Empery Asset Master Ltd ("EAM"), 120,499 shares of common stock held by Empery Tax Efficient, LP (“ETE”) and 192,683 shares of common stock held by Empery Tax Efficient III, LP (“ETE III” and collectively with EAM and ETE, the “Empery Funds”). Empery Asset Management LP, the authorized agent of each of the Empery Funds, has discretionary authority to vote and dispose of the shares held by the Empery Funds and may be deemed to be the beneficial owner of these shares. Ryan Lane, in his capacity as the chief investment officer of Empery Asset Management LP, may also be deemed to have investment discretion and voting power over the shares held by the Empery Funds. Each of the Empery Funds and Mr. Lane each disclaim any beneficial ownership of these shares. The address of each of the Empery Funds is c/o Empery Asset Management, LP, One Rockefeller Plaza, Suite 1205, New York, NY 10020.</w:t>
      </w:r>
    </w:p>
    <w:p>
      <w:pPr>
        <w:pStyle w:val="TextBody"/>
        <w:bidi w:val="0"/>
        <w:spacing w:lineRule="auto" w:line="319" w:before="80" w:after="283"/>
        <w:ind w:left="0" w:right="0" w:hanging="400"/>
        <w:jc w:val="left"/>
        <w:rPr/>
      </w:pPr>
      <w:r>
        <w:rPr>
          <w:rFonts w:ascii="Times New Roman;serif" w:hAnsi="Times New Roman;serif"/>
          <w:b w:val="false"/>
          <w:color w:val="000000"/>
          <w:sz w:val="20"/>
        </w:rPr>
        <w:t>(8)    William Mueller may be deemed to have voting and dispositive power with respect to the common shares beneficially owned by Mink Brook Partners LP</w:t>
      </w:r>
      <w:r>
        <w:rPr>
          <w:color w:val="000000"/>
        </w:rPr>
        <w:t xml:space="preserve"> </w:t>
      </w:r>
      <w:r>
        <w:rPr>
          <w:rFonts w:ascii="Times New Roman;serif" w:hAnsi="Times New Roman;serif"/>
          <w:b w:val="false"/>
          <w:color w:val="000000"/>
          <w:sz w:val="20"/>
        </w:rPr>
        <w:t>and Mink Brook Opportunity Fund LP. The address of Mink Brook Partners LP</w:t>
      </w:r>
      <w:r>
        <w:rPr>
          <w:color w:val="000000"/>
        </w:rPr>
        <w:t xml:space="preserve"> </w:t>
      </w:r>
      <w:r>
        <w:rPr>
          <w:rFonts w:ascii="Times New Roman;serif" w:hAnsi="Times New Roman;serif"/>
          <w:b w:val="false"/>
          <w:color w:val="000000"/>
          <w:sz w:val="20"/>
        </w:rPr>
        <w:t xml:space="preserve">and Mink Brook Opportunity Fund LP is 201 Summa Street, West Palm Beach, FL 33405, Attn: William Mueller. </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(9)     Carl Wiese may be deemed to have voting and dispositive power with respect to the common shares beneficially owned by GROW Small Cap Equity Long Short LP. The address of GROW Small Cap Equity Long Short LP is 4275 Executive Square, Suite 335, La Jolla, CA 92037.</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(10)     W. Patrick Schubmehl may be deemed to have voting and investment control over the portfolio securities held by WPS Direct Fund and WPS Capital Fund. Mr. Schubmehl disclaims any beneficial ownership of the reported shares other than to the extent of any pecuniary interest he may have therein. The address of each of WPS Direct Fund and WPS Capital Fund is 6641 West Broad Street, Suite 600, Richmond, VA 23230.</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(11)     Roger Porter may be deemed to have voting and investment control over the portfolio securities held by TSW Small Cap Opportunities Fund, a series of TSW Fund Management Company LLC. Mr. Porter disclaims any beneficial ownership of the reported shares other than to the extent of any pecuniary interest he may have therein. The address of TSW Small Cap Opportunities Fund, a series of TSW Fund Management Company LLC is 6641 West Broad Street, Suite 600, Richmond, VA 23230. </w:t>
      </w:r>
    </w:p>
    <w:p>
      <w:pPr>
        <w:pStyle w:val="TextBody"/>
        <w:bidi w:val="0"/>
        <w:spacing w:lineRule="auto" w:line="319" w:before="80"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(12)     Strategos Master Fund, L.P. and Strategos Fund, L.P. are managed by Archon Capital Management LLC, and may be deemed to have discretionary authority to vote and dispose of the shares held by such funds. Constantinos Christofilis in his capacity as Managing Member of Archon Capital Management LLC, may also be deemed to have investment discretion and voting power over the shares held by Strategos Master Fund, L.P. and Strategos Fund, L.P.. Each of the Archon Capital Management LLC and Mr. Christofilis each disclaim any beneficial ownership of such shares. The address of each fund is 1100 19th Avenue East, Seattle WA 98112.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Each Selling Stockholder of the securities and any of their pledgees, assignees and successors-in-interest may, from time to time, sell any or all of their securities covered hereby on any stock exchange, market or trading facility on which the securities are traded or in private transactions. These sales may be at fixed or negotiated prices. A Selling Stockholder may use any one or more of the following methods when selling securities: </w:t>
      </w:r>
    </w:p>
    <w:p>
      <w:pPr>
        <w:pStyle w:val="TextBody"/>
        <w:bidi w:val="0"/>
        <w:spacing w:lineRule="auto" w:line="319" w:before="11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ordinary brokerage transactions and transactions in which the broker-dealer solicits purchasers; </w:t>
      </w:r>
    </w:p>
    <w:p>
      <w:pPr>
        <w:pStyle w:val="TextBody"/>
        <w:bidi w:val="0"/>
        <w:spacing w:lineRule="auto" w:line="319" w:before="10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block trades in which the broker-dealer will attempt to sell the securities as agent but may position and resell a portion of the block as principal to facilitate the transaction; </w:t>
      </w:r>
    </w:p>
    <w:p>
      <w:pPr>
        <w:pStyle w:val="TextBody"/>
        <w:bidi w:val="0"/>
        <w:spacing w:lineRule="auto" w:line="319" w:before="106"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purchases by a broker-dealer as principal and resale by the broker-dealer for its account; </w:t>
      </w:r>
    </w:p>
    <w:p>
      <w:pPr>
        <w:pStyle w:val="TextBody"/>
        <w:bidi w:val="0"/>
        <w:spacing w:lineRule="auto" w:line="319" w:before="104"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an exchange distribution in accordance with the rules of the applicable exchange; </w:t>
      </w:r>
    </w:p>
    <w:p>
      <w:pPr>
        <w:pStyle w:val="TextBody"/>
        <w:bidi w:val="0"/>
        <w:spacing w:lineRule="auto" w:line="319" w:before="104"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privately negotiated transactions; </w:t>
      </w:r>
    </w:p>
    <w:p>
      <w:pPr>
        <w:pStyle w:val="TextBody"/>
        <w:bidi w:val="0"/>
        <w:spacing w:lineRule="auto" w:line="319" w:before="104"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settlement of short sales; </w:t>
      </w:r>
    </w:p>
    <w:p>
      <w:pPr>
        <w:pStyle w:val="TextBody"/>
        <w:bidi w:val="0"/>
        <w:spacing w:lineRule="auto" w:line="319" w:before="104"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in transactions through broker-dealers that agree with the Selling Stockholders to sell a specified number of such securities at a stipulated price per security; </w:t>
      </w:r>
    </w:p>
    <w:p>
      <w:pPr>
        <w:pStyle w:val="TextBody"/>
        <w:bidi w:val="0"/>
        <w:spacing w:lineRule="auto" w:line="319" w:before="104"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through the writing or settlement of options or other hedging transactions, whether through an options exchange or otherwise; </w:t>
      </w:r>
    </w:p>
    <w:p>
      <w:pPr>
        <w:pStyle w:val="TextBody"/>
        <w:bidi w:val="0"/>
        <w:spacing w:lineRule="auto" w:line="319" w:before="104"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a combination of any such methods of sale; or </w:t>
      </w:r>
    </w:p>
    <w:p>
      <w:pPr>
        <w:pStyle w:val="TextBody"/>
        <w:bidi w:val="0"/>
        <w:spacing w:lineRule="auto" w:line="319" w:before="104" w:after="283"/>
        <w:ind w:left="0" w:right="0" w:hanging="200"/>
        <w:jc w:val="left"/>
        <w:rPr>
          <w:color w:val="000000"/>
        </w:rPr>
      </w:pPr>
      <w:r>
        <w:rPr>
          <w:color w:val="000000"/>
        </w:rPr>
        <w:t xml:space="preserve">•     </w:t>
      </w:r>
      <w:r>
        <w:rPr>
          <w:rFonts w:ascii="Times New Roman;serif" w:hAnsi="Times New Roman;serif"/>
          <w:b w:val="false"/>
          <w:color w:val="000000"/>
          <w:sz w:val="20"/>
        </w:rPr>
        <w:t xml:space="preserve">any other method permitted pursuant to applicable law.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also sell securities under Rule 144 or any other exemption from registration under the Securities Act, if available, rather than under this prospectus.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agreed to keep the registration statement of which this prospectus is a part effective until the earlier of (i) the date on which the securities may be resold by the Selling Stockholders without registration and </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shares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lineRule="auto" w:line="319" w:before="240" w:after="283"/>
        <w:jc w:val="center"/>
        <w:rPr>
          <w:rFonts w:ascii="Times New Roman;serif" w:hAnsi="Times New Roman;serif"/>
          <w:b/>
          <w:color w:val="000000"/>
          <w:sz w:val="20"/>
        </w:rPr>
      </w:pPr>
      <w:bookmarkStart w:id="2" w:name="id20ee7607d8242a5a81163970db226d5_24401"/>
      <w:bookmarkEnd w:id="2"/>
      <w:r>
        <w:rPr>
          <w:rFonts w:ascii="Times New Roman;serif" w:hAnsi="Times New Roman;serif"/>
          <w:b/>
          <w:color w:val="000000"/>
          <w:sz w:val="20"/>
        </w:rPr>
        <w:t xml:space="preserve">LEGAL MATTERS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Dentons US LLP New York, New York, will pass upon the validity of the shares of common stock offered hereby. </w:t>
      </w:r>
    </w:p>
    <w:p>
      <w:pPr>
        <w:pStyle w:val="TextBody"/>
        <w:bidi w:val="0"/>
        <w:spacing w:lineRule="auto" w:line="319" w:before="240" w:after="283"/>
        <w:jc w:val="center"/>
        <w:rPr>
          <w:rFonts w:ascii="Times New Roman;serif" w:hAnsi="Times New Roman;serif"/>
          <w:b/>
          <w:color w:val="000000"/>
          <w:sz w:val="20"/>
        </w:rPr>
      </w:pPr>
      <w:bookmarkStart w:id="3" w:name="id20ee7607d8242a5a81163970db226d5_24402"/>
      <w:bookmarkEnd w:id="3"/>
      <w:r>
        <w:rPr>
          <w:rFonts w:ascii="Times New Roman;serif" w:hAnsi="Times New Roman;serif"/>
          <w:b/>
          <w:color w:val="000000"/>
          <w:sz w:val="20"/>
        </w:rPr>
        <w:t xml:space="preserve">EXPERTS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lineRule="auto" w:line="319" w:before="240" w:after="283"/>
        <w:jc w:val="center"/>
        <w:rPr>
          <w:rFonts w:ascii="Times New Roman;serif" w:hAnsi="Times New Roman;serif"/>
          <w:b/>
          <w:color w:val="000000"/>
          <w:sz w:val="20"/>
        </w:rPr>
      </w:pPr>
      <w:bookmarkStart w:id="4" w:name="id20ee7607d8242a5a81163970db226d5_24403"/>
      <w:bookmarkEnd w:id="4"/>
      <w:r>
        <w:rPr>
          <w:rFonts w:ascii="Times New Roman;serif" w:hAnsi="Times New Roman;serif"/>
          <w:b/>
          <w:color w:val="000000"/>
          <w:sz w:val="20"/>
        </w:rPr>
        <w:t xml:space="preserve">WHERE YOU CAN FIND ADDITIONAL INFORMATION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file annual, quarterly and current reports, proxy statements and other information with the SEC. The SEC maintains a website at www.sec.gov that contains reports, proxy and information statements, and other information regarding issuers, such as us, that file electronically with the SEC.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Copies of certain information filed by us with the SEC are also available on our website at www.nninc.com. Information contained in or accessible through our website does not constitute a part of this prospectus and is not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incorporated by reference in this prospectus. We have included our website address as an inactive textual reference only. </w:t>
      </w:r>
    </w:p>
    <w:p>
      <w:pPr>
        <w:pStyle w:val="TextBody"/>
        <w:bidi w:val="0"/>
        <w:spacing w:lineRule="auto" w:line="319" w:before="240" w:after="283"/>
        <w:jc w:val="center"/>
        <w:rPr>
          <w:rFonts w:ascii="Times New Roman;serif" w:hAnsi="Times New Roman;serif"/>
          <w:b/>
          <w:color w:val="000000"/>
          <w:sz w:val="20"/>
        </w:rPr>
      </w:pPr>
      <w:bookmarkStart w:id="5" w:name="id20ee7607d8242a5a81163970db226d5_24404"/>
      <w:bookmarkEnd w:id="5"/>
      <w:r>
        <w:rPr>
          <w:rFonts w:ascii="Times New Roman;serif" w:hAnsi="Times New Roman;serif"/>
          <w:b/>
          <w:color w:val="000000"/>
          <w:sz w:val="20"/>
        </w:rPr>
        <w:t xml:space="preserve">INCORPORATION OF CERTAIN INFORMATION BY REFERENCE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incorporated by reference into this document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w:t>
      </w:r>
    </w:p>
    <w:p>
      <w:pPr>
        <w:pStyle w:val="TextBody"/>
        <w:bidi w:val="0"/>
        <w:spacing w:lineRule="auto" w:line="319" w:before="120" w:after="283"/>
        <w:ind w:left="0" w:right="0" w:hanging="200"/>
        <w:jc w:val="left"/>
        <w:rPr/>
      </w:pPr>
      <w:r>
        <w:rPr>
          <w:color w:val="000000"/>
        </w:rPr>
        <w:t xml:space="preserve">•     </w:t>
      </w:r>
      <w:hyperlink r:id="rId4">
        <w:r>
          <w:rPr>
            <w:rStyle w:val="InternetLink"/>
            <w:rFonts w:ascii="Times New Roman;serif" w:hAnsi="Times New Roman;serif"/>
            <w:b w:val="false"/>
            <w:color w:val="0563C1"/>
            <w:sz w:val="20"/>
            <w:u w:val="single"/>
          </w:rPr>
          <w:t>our Annual Report on Form 10-K for the fiscal year ended December 31, 2025, filed with the SEC on March 4, 2026;</w:t>
        </w:r>
      </w:hyperlink>
      <w:r>
        <w:rPr>
          <w:color w:val="000000"/>
        </w:rPr>
        <w:t xml:space="preserve"> </w:t>
      </w:r>
    </w:p>
    <w:p>
      <w:pPr>
        <w:pStyle w:val="TextBody"/>
        <w:bidi w:val="0"/>
        <w:spacing w:lineRule="auto" w:line="319" w:before="120" w:after="283"/>
        <w:ind w:left="0" w:right="0" w:hanging="200"/>
        <w:jc w:val="left"/>
        <w:rPr/>
      </w:pPr>
      <w:r>
        <w:rPr>
          <w:color w:val="000000"/>
        </w:rPr>
        <w:t xml:space="preserve">•     </w:t>
      </w:r>
      <w:r>
        <w:rPr>
          <w:rFonts w:ascii="Times New Roman;serif" w:hAnsi="Times New Roman;serif"/>
          <w:b w:val="false"/>
          <w:color w:val="000000"/>
          <w:sz w:val="20"/>
        </w:rPr>
        <w:t xml:space="preserve">the information specifically incorporated by reference into our Annual Report on Form 10-K for the fiscal year ended December 31, 2025 from our </w:t>
      </w:r>
      <w:hyperlink r:id="rId5">
        <w:r>
          <w:rPr>
            <w:rStyle w:val="InternetLink"/>
            <w:rFonts w:ascii="Times New Roman;serif" w:hAnsi="Times New Roman;serif"/>
            <w:b w:val="false"/>
            <w:color w:val="0563C1"/>
            <w:sz w:val="20"/>
            <w:u w:val="single"/>
          </w:rPr>
          <w:t>definitive proxy statement on Schedule 14A, filed with the SEC on April 6, 2026;</w:t>
        </w:r>
      </w:hyperlink>
      <w:r>
        <w:rPr>
          <w:color w:val="000000"/>
        </w:rPr>
        <w:t xml:space="preserve"> </w:t>
      </w:r>
    </w:p>
    <w:p>
      <w:pPr>
        <w:pStyle w:val="TextBody"/>
        <w:bidi w:val="0"/>
        <w:spacing w:lineRule="auto" w:line="319" w:before="120" w:after="283"/>
        <w:ind w:left="0" w:right="0" w:hanging="200"/>
        <w:jc w:val="left"/>
        <w:rPr/>
      </w:pPr>
      <w:r>
        <w:rPr>
          <w:color w:val="000000"/>
        </w:rPr>
        <w:t xml:space="preserve">•     </w:t>
      </w:r>
      <w:hyperlink r:id="rId6">
        <w:r>
          <w:rPr>
            <w:rStyle w:val="InternetLink"/>
            <w:rFonts w:ascii="Times New Roman;serif" w:hAnsi="Times New Roman;serif"/>
            <w:b w:val="false"/>
            <w:color w:val="0563C1"/>
            <w:sz w:val="20"/>
            <w:u w:val="single"/>
          </w:rPr>
          <w:t>our Quarterly Report on Form 10-Q for the quarterly period ended March 31, 2026, filed with the SEC on May 6, 2026;</w:t>
        </w:r>
      </w:hyperlink>
      <w:r>
        <w:rPr>
          <w:color w:val="000000"/>
        </w:rPr>
        <w:t xml:space="preserve"> </w:t>
      </w:r>
    </w:p>
    <w:p>
      <w:pPr>
        <w:pStyle w:val="TextBody"/>
        <w:bidi w:val="0"/>
        <w:spacing w:lineRule="auto" w:line="319" w:before="120" w:after="283"/>
        <w:ind w:left="0" w:right="0" w:hanging="200"/>
        <w:jc w:val="left"/>
        <w:rPr/>
      </w:pPr>
      <w:r>
        <w:rPr>
          <w:color w:val="000000"/>
        </w:rPr>
        <w:t xml:space="preserve">•     </w:t>
      </w:r>
      <w:hyperlink r:id="rId7">
        <w:r>
          <w:rPr>
            <w:rStyle w:val="InternetLink"/>
            <w:rFonts w:ascii="Times New Roman;serif" w:hAnsi="Times New Roman;serif"/>
            <w:b w:val="false"/>
            <w:color w:val="0563C1"/>
            <w:sz w:val="20"/>
            <w:u w:val="single"/>
          </w:rPr>
          <w:t>our Quarterly Report on Form 10-Q for the quarterly period ended June 30, 2026, filed with the SEC on August 5, 2026;</w:t>
        </w:r>
      </w:hyperlink>
      <w:r>
        <w:rPr>
          <w:color w:val="000000"/>
        </w:rPr>
        <w:t xml:space="preserve"> </w:t>
      </w:r>
    </w:p>
    <w:p>
      <w:pPr>
        <w:pStyle w:val="TextBody"/>
        <w:bidi w:val="0"/>
        <w:spacing w:lineRule="auto" w:line="319" w:before="120" w:after="283"/>
        <w:ind w:left="0" w:right="0" w:hanging="200"/>
        <w:jc w:val="left"/>
        <w:rPr/>
      </w:pPr>
      <w:r>
        <w:rPr>
          <w:color w:val="000000"/>
        </w:rPr>
        <w:t>•    </w:t>
      </w:r>
      <w:r>
        <w:rPr>
          <w:rFonts w:ascii="Times New Roman;serif" w:hAnsi="Times New Roman;serif"/>
          <w:b w:val="false"/>
          <w:color w:val="000000"/>
          <w:sz w:val="20"/>
        </w:rPr>
        <w:t xml:space="preserve">our Current Reports on Form 8-K (other than information furnished rather than filed), filed with the SEC on </w:t>
      </w:r>
      <w:hyperlink r:id="rId8">
        <w:r>
          <w:rPr>
            <w:rStyle w:val="InternetLink"/>
            <w:rFonts w:ascii="Times New Roman;serif" w:hAnsi="Times New Roman;serif"/>
            <w:b w:val="false"/>
            <w:color w:val="0563C1"/>
            <w:sz w:val="20"/>
            <w:u w:val="single"/>
          </w:rPr>
          <w:t>January 20,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563C1"/>
            <w:sz w:val="20"/>
            <w:u w:val="single"/>
          </w:rPr>
          <w:t>January 30,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563C1"/>
            <w:sz w:val="20"/>
            <w:u w:val="single"/>
          </w:rPr>
          <w:t>May 20, 2026</w:t>
        </w:r>
      </w:hyperlink>
      <w:hyperlink r:id="rId11">
        <w:r>
          <w:rPr>
            <w:rStyle w:val="InternetLink"/>
            <w:rFonts w:ascii="Times New Roman;serif" w:hAnsi="Times New Roman;serif"/>
            <w:b w:val="false"/>
            <w:strike w:val="false"/>
            <w:dstrike w:val="false"/>
            <w:color w:val="000000"/>
            <w:sz w:val="20"/>
            <w:u w:val="none"/>
            <w:effect w:val="none"/>
          </w:rPr>
          <w:t>,</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563C1"/>
            <w:sz w:val="20"/>
            <w:u w:val="single"/>
          </w:rPr>
          <w:t>June 12, 2026</w:t>
        </w:r>
      </w:hyperlink>
      <w:hyperlink r:id="rId13">
        <w:r>
          <w:rPr>
            <w:rStyle w:val="InternetLink"/>
            <w:rFonts w:ascii="Times New Roman;serif" w:hAnsi="Times New Roman;serif"/>
            <w:b w:val="false"/>
            <w:strike w:val="false"/>
            <w:dstrike w:val="false"/>
            <w:color w:val="000000"/>
            <w:sz w:val="20"/>
            <w:u w:val="none"/>
            <w:effect w:val="none"/>
          </w:rPr>
          <w:t>,</w:t>
        </w:r>
      </w:hyperlink>
      <w:hyperlink r:id="rId14">
        <w:r>
          <w:rPr>
            <w:rStyle w:val="InternetLink"/>
            <w:color w:val="0563C1"/>
            <w:u w:val="single"/>
          </w:rPr>
          <w:t xml:space="preserve"> </w:t>
        </w:r>
      </w:hyperlink>
      <w:hyperlink r:id="rId15">
        <w:r>
          <w:rPr>
            <w:rStyle w:val="InternetLink"/>
            <w:rFonts w:ascii="Times New Roman;serif" w:hAnsi="Times New Roman;serif"/>
            <w:b w:val="false"/>
            <w:color w:val="0563C1"/>
            <w:sz w:val="20"/>
            <w:u w:val="single"/>
          </w:rPr>
          <w:t>July 1, 2026</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563C1"/>
            <w:sz w:val="20"/>
            <w:u w:val="single"/>
          </w:rPr>
          <w:t>July 23, 2026</w:t>
        </w:r>
      </w:hyperlink>
      <w:r>
        <w:rPr>
          <w:rFonts w:ascii="Times New Roman;serif" w:hAnsi="Times New Roman;serif"/>
          <w:b w:val="false"/>
          <w:color w:val="000000"/>
          <w:sz w:val="20"/>
        </w:rPr>
        <w:t xml:space="preserve">, </w:t>
      </w:r>
      <w:hyperlink r:id="rId17">
        <w:r>
          <w:rPr>
            <w:rStyle w:val="InternetLink"/>
            <w:rFonts w:ascii="Times New Roman;serif" w:hAnsi="Times New Roman;serif"/>
            <w:b w:val="false"/>
            <w:color w:val="000080"/>
            <w:sz w:val="20"/>
            <w:u w:val="single"/>
          </w:rPr>
          <w:t>July 24</w:t>
        </w:r>
      </w:hyperlink>
      <w:hyperlink r:id="rId18">
        <w:r>
          <w:rPr>
            <w:rStyle w:val="InternetLink"/>
            <w:rFonts w:ascii="Times New Roman;serif" w:hAnsi="Times New Roman;serif"/>
            <w:b w:val="false"/>
            <w:color w:val="000080"/>
            <w:sz w:val="20"/>
            <w:u w:val="single"/>
          </w:rPr>
          <w:t xml:space="preserve">, </w:t>
        </w:r>
      </w:hyperlink>
      <w:hyperlink r:id="rId19">
        <w:r>
          <w:rPr>
            <w:rStyle w:val="InternetLink"/>
            <w:rFonts w:ascii="Times New Roman;serif" w:hAnsi="Times New Roman;serif"/>
            <w:b w:val="false"/>
            <w:color w:val="000080"/>
            <w:sz w:val="20"/>
            <w:u w:val="single"/>
          </w:rPr>
          <w:t>2026</w:t>
        </w:r>
      </w:hyperlink>
      <w:r>
        <w:rPr>
          <w:rFonts w:ascii="Times New Roman;serif" w:hAnsi="Times New Roman;serif"/>
          <w:b w:val="false"/>
          <w:color w:val="000000"/>
          <w:sz w:val="20"/>
        </w:rPr>
        <w:t>,</w:t>
      </w:r>
      <w:r>
        <w:rPr>
          <w:color w:val="0563C1"/>
          <w:u w:val="single"/>
        </w:rPr>
        <w:t xml:space="preserve"> </w:t>
      </w:r>
      <w:hyperlink r:id="rId20">
        <w:r>
          <w:rPr>
            <w:rStyle w:val="InternetLink"/>
            <w:rFonts w:ascii="Times New Roman;serif" w:hAnsi="Times New Roman;serif"/>
            <w:b w:val="false"/>
            <w:color w:val="000080"/>
            <w:sz w:val="20"/>
            <w:u w:val="single"/>
          </w:rPr>
          <w:t>July 31, 202</w:t>
        </w:r>
      </w:hyperlink>
      <w:hyperlink r:id="rId21">
        <w:r>
          <w:rPr>
            <w:rStyle w:val="InternetLink"/>
            <w:rFonts w:ascii="Times New Roman;serif" w:hAnsi="Times New Roman;serif"/>
            <w:b w:val="false"/>
            <w:color w:val="000080"/>
            <w:sz w:val="20"/>
            <w:u w:val="single"/>
          </w:rPr>
          <w:t>6</w:t>
        </w:r>
      </w:hyperlink>
      <w:r>
        <w:rPr>
          <w:rFonts w:ascii="Times New Roman;serif" w:hAnsi="Times New Roman;serif"/>
          <w:b w:val="false"/>
          <w:color w:val="000000"/>
          <w:sz w:val="20"/>
        </w:rPr>
        <w:t xml:space="preserve">, </w:t>
      </w:r>
      <w:hyperlink r:id="rId22">
        <w:r>
          <w:rPr>
            <w:rStyle w:val="InternetLink"/>
            <w:rFonts w:ascii="Times New Roman;serif" w:hAnsi="Times New Roman;serif"/>
            <w:b w:val="false"/>
            <w:color w:val="000080"/>
            <w:sz w:val="20"/>
            <w:u w:val="single"/>
          </w:rPr>
          <w:t>S</w:t>
        </w:r>
      </w:hyperlink>
      <w:hyperlink r:id="rId23">
        <w:r>
          <w:rPr>
            <w:rStyle w:val="InternetLink"/>
            <w:rFonts w:ascii="Times New Roman;serif" w:hAnsi="Times New Roman;serif"/>
            <w:b w:val="false"/>
            <w:color w:val="000080"/>
            <w:sz w:val="20"/>
            <w:u w:val="single"/>
          </w:rPr>
          <w:t>eptember 30, 202</w:t>
        </w:r>
      </w:hyperlink>
      <w:hyperlink r:id="rId24">
        <w:r>
          <w:rPr>
            <w:rStyle w:val="InternetLink"/>
            <w:rFonts w:ascii="Times New Roman;serif" w:hAnsi="Times New Roman;serif"/>
            <w:b w:val="false"/>
            <w:color w:val="000080"/>
            <w:sz w:val="20"/>
            <w:u w:val="single"/>
          </w:rPr>
          <w:t>6</w:t>
        </w:r>
      </w:hyperlink>
      <w:r>
        <w:rPr>
          <w:rFonts w:ascii="Times New Roman;serif" w:hAnsi="Times New Roman;serif"/>
          <w:b w:val="false"/>
          <w:color w:val="000000"/>
          <w:sz w:val="20"/>
        </w:rPr>
        <w:t>,</w:t>
      </w:r>
      <w:r>
        <w:rPr>
          <w:color w:val="0563C1"/>
          <w:u w:val="single"/>
        </w:rPr>
        <w:t xml:space="preserve"> </w:t>
      </w:r>
      <w:hyperlink r:id="rId25">
        <w:r>
          <w:rPr>
            <w:rStyle w:val="InternetLink"/>
            <w:rFonts w:ascii="Times New Roman;serif" w:hAnsi="Times New Roman;serif"/>
            <w:b w:val="false"/>
            <w:color w:val="0563C1"/>
            <w:sz w:val="20"/>
            <w:u w:val="single"/>
          </w:rPr>
          <w:t>October 5, 2026</w:t>
        </w:r>
      </w:hyperlink>
      <w:r>
        <w:rPr>
          <w:color w:val="000000"/>
        </w:rPr>
        <w:t xml:space="preserve"> </w:t>
      </w:r>
      <w:r>
        <w:rPr>
          <w:rFonts w:ascii="Times New Roman;serif" w:hAnsi="Times New Roman;serif"/>
          <w:b w:val="false"/>
          <w:color w:val="000000"/>
          <w:sz w:val="20"/>
        </w:rPr>
        <w:t xml:space="preserve">and </w:t>
      </w:r>
      <w:hyperlink r:id="rId26">
        <w:r>
          <w:rPr>
            <w:rStyle w:val="InternetLink"/>
            <w:rFonts w:ascii="Times New Roman;serif" w:hAnsi="Times New Roman;serif"/>
            <w:b w:val="false"/>
            <w:color w:val="0563C1"/>
            <w:sz w:val="20"/>
            <w:u w:val="single"/>
          </w:rPr>
          <w:t>October 8, 2026</w:t>
        </w:r>
      </w:hyperlink>
      <w:r>
        <w:rPr>
          <w:rFonts w:ascii="Times New Roman;serif" w:hAnsi="Times New Roman;serif"/>
          <w:b w:val="false"/>
          <w:color w:val="000000"/>
          <w:sz w:val="20"/>
        </w:rPr>
        <w:t>; and</w:t>
      </w:r>
    </w:p>
    <w:p>
      <w:pPr>
        <w:pStyle w:val="TextBody"/>
        <w:bidi w:val="0"/>
        <w:spacing w:lineRule="auto" w:line="319" w:before="120" w:after="283"/>
        <w:ind w:left="0" w:right="0" w:hanging="200"/>
        <w:jc w:val="left"/>
        <w:rPr/>
      </w:pPr>
      <w:r>
        <w:rPr>
          <w:color w:val="000000"/>
        </w:rPr>
        <w:t xml:space="preserve">•     </w:t>
      </w:r>
      <w:r>
        <w:rPr>
          <w:rFonts w:ascii="Times New Roman;serif" w:hAnsi="Times New Roman;serif"/>
          <w:b w:val="false"/>
          <w:color w:val="000000"/>
          <w:sz w:val="20"/>
        </w:rPr>
        <w:t xml:space="preserve">the description of our common stock, which is registered under Section 12 of the Exchange Act, described in </w:t>
      </w:r>
      <w:hyperlink r:id="rId27">
        <w:r>
          <w:rPr>
            <w:rStyle w:val="InternetLink"/>
            <w:rFonts w:ascii="Times New Roman;serif" w:hAnsi="Times New Roman;serif"/>
            <w:b w:val="false"/>
            <w:color w:val="0563C1"/>
            <w:sz w:val="20"/>
            <w:u w:val="single"/>
          </w:rPr>
          <w:t>Exhibit 4.5</w:t>
        </w:r>
      </w:hyperlink>
      <w:r>
        <w:rPr>
          <w:color w:val="000000"/>
        </w:rPr>
        <w:t xml:space="preserve"> </w:t>
      </w:r>
      <w:r>
        <w:rPr>
          <w:rFonts w:ascii="Times New Roman;serif" w:hAnsi="Times New Roman;serif"/>
          <w:b w:val="false"/>
          <w:color w:val="000000"/>
          <w:sz w:val="20"/>
        </w:rPr>
        <w:t xml:space="preserve">to our Annual Report on Form 10-K for the year ended December 31, 2020, filed with the SEC on </w:t>
      </w:r>
      <w:hyperlink r:id="rId28">
        <w:r>
          <w:rPr>
            <w:rStyle w:val="InternetLink"/>
            <w:rFonts w:ascii="Times New Roman;serif" w:hAnsi="Times New Roman;serif"/>
            <w:b w:val="false"/>
            <w:color w:val="0563C1"/>
            <w:sz w:val="20"/>
            <w:u w:val="single"/>
          </w:rPr>
          <w:t>March 15, 2021</w:t>
        </w:r>
      </w:hyperlink>
      <w:r>
        <w:rPr>
          <w:rFonts w:ascii="Times New Roman;serif" w:hAnsi="Times New Roman;serif"/>
          <w:b w:val="false"/>
          <w:color w:val="000000"/>
          <w:sz w:val="20"/>
        </w:rPr>
        <w:t xml:space="preserve">, including any amendments or reports filed for the purposes of updating such description.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incorporate by reference into this prospectus all documents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by writing us at NN, Inc., 6210 Ardrey Kell Road, Suite 120, Charlotte, North Carolina 28277 Attention: Secretary or telephoning us at (980) 264-4300.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Any statement contained herein or in a document incorporated or deemed to be incorporated by reference into this document will be deemed to be modified or superseded for purposes of the document to the extent that a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statement contained in this document or any other subsequently filed document that is deemed to be incorporated by reference into this document modifies or supersedes the statement. </w:t>
      </w:r>
    </w:p>
    <w:p>
      <w:pPr>
        <w:pStyle w:val="TextBody"/>
        <w:bidi w:val="0"/>
        <w:spacing w:before="160" w:after="283"/>
        <w:jc w:val="center"/>
        <w:rPr/>
      </w:pPr>
      <w:r>
        <w:rPr/>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319" w:before="0" w:after="0"/>
        <w:jc w:val="center"/>
        <w:rPr/>
      </w:pPr>
      <w:r>
        <w:rPr>
          <w:rFonts w:ascii="Times New Roman;serif" w:hAnsi="Times New Roman;serif"/>
          <w:b/>
          <w:color w:val="000000"/>
          <w:sz w:val="20"/>
        </w:rPr>
        <w:t>PART II</w:t>
      </w:r>
      <w:r>
        <w:rPr>
          <w:color w:val="000000"/>
        </w:rPr>
        <w:t xml:space="preserve"> </w:t>
      </w:r>
    </w:p>
    <w:p>
      <w:pPr>
        <w:pStyle w:val="TextBody"/>
        <w:bidi w:val="0"/>
        <w:spacing w:lineRule="auto" w:line="319" w:before="160" w:after="283"/>
        <w:jc w:val="center"/>
        <w:rPr/>
      </w:pPr>
      <w:r>
        <w:rPr>
          <w:rFonts w:ascii="Times New Roman;serif" w:hAnsi="Times New Roman;serif"/>
          <w:b/>
          <w:color w:val="000000"/>
          <w:sz w:val="20"/>
        </w:rPr>
        <w:t>INFORMATION NOT REQUIRED IN THE PROSPECTUS</w:t>
      </w:r>
      <w:r>
        <w:rPr>
          <w:color w:val="000000"/>
        </w:rPr>
        <w:t xml:space="preserve"> </w:t>
      </w:r>
    </w:p>
    <w:p>
      <w:pPr>
        <w:pStyle w:val="TextBody"/>
        <w:bidi w:val="0"/>
        <w:spacing w:lineRule="auto" w:line="319" w:before="160" w:after="283"/>
        <w:jc w:val="left"/>
        <w:rPr/>
      </w:pPr>
      <w:r>
        <w:rPr>
          <w:rFonts w:ascii="Times New Roman;serif" w:hAnsi="Times New Roman;serif"/>
          <w:b/>
          <w:color w:val="000000"/>
          <w:sz w:val="20"/>
        </w:rPr>
        <w:t>Item 14.   Other Expenses of Issuance and Distribution.</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estimated costs and expenses, other than underwriting discounts and commissions, payable by us in connection with the offering of the securities being registered. All amounts shown below are estimates except the SEC registration fee. </w:t>
      </w:r>
    </w:p>
    <w:tbl>
      <w:tblPr>
        <w:tblW w:w="3830" w:type="dxa"/>
        <w:jc w:val="left"/>
        <w:tblInd w:w="0" w:type="dxa"/>
        <w:tblLayout w:type="fixed"/>
        <w:tblCellMar>
          <w:top w:w="28" w:type="dxa"/>
          <w:left w:w="28" w:type="dxa"/>
          <w:bottom w:w="28" w:type="dxa"/>
          <w:right w:w="28" w:type="dxa"/>
        </w:tblCellMar>
      </w:tblPr>
      <w:tblGrid>
        <w:gridCol w:w="957"/>
        <w:gridCol w:w="839"/>
        <w:gridCol w:w="843"/>
        <w:gridCol w:w="211"/>
        <w:gridCol w:w="8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00"/>
        <w:jc w:val="left"/>
        <w:rPr/>
      </w:pPr>
      <w:r>
        <w:rPr/>
      </w:r>
    </w:p>
    <w:p>
      <w:pPr>
        <w:pStyle w:val="TextBody"/>
        <w:bidi w:val="0"/>
        <w:spacing w:lineRule="auto" w:line="319" w:before="242" w:after="283"/>
        <w:jc w:val="left"/>
        <w:rPr/>
      </w:pPr>
      <w:r>
        <w:rPr>
          <w:rFonts w:ascii="Times New Roman;serif" w:hAnsi="Times New Roman;serif"/>
          <w:b/>
          <w:color w:val="000000"/>
          <w:sz w:val="20"/>
        </w:rPr>
        <w:t>Item 15.   Indemnification of Directors and Officers.</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Under Section 145 of the DGCL, we have broad powers to indemnify our directors and officers against liabilities they may incur in such capacities, including liabilities under the Securities Act. Section 145 of the DGCL generally provides that a Delaware corporation has the power to indemnify its present and former directors, officers, employees and agents against expenses incurred by them in connection with any suit to which they are, or are threatened to be made, a party by reason of their serving in such positions so long as they acted in good faith and in a manner they reasonably believed to be in or not opposed to, the best interests of the corporation and, with respect to any criminal action, they had reasonable cause to believe their conduct was lawful.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as amended from time to time (the “Certificate of Incorporation”) includes provisions that (i) limit the personal liability of our current and former directors, officers, employees and agents for monetary damages resulting from breaches of their fiduciary duty to the fullest extent permitted under applicable law, (ii) require us to indemnify our directors, officers, employees and agents to the fullest extent permitted by the DGCL or other applicable law, (iii) upon satisfaction of certain conditions, we are required to advance expenses incurred by a director in advance of the final disposition of any action or proceeding and (iv) permit us to secure insurance on behalf of any officer, director, employee or other agent for any liability arising out of his or her actions in that capacity regardless of whether we would otherwise be permitted to indemnify him or her under the provisions of Delaware law.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these provisions of the Certificate of Incorporation and Amended and Restated Bylaws, as amended from time to time, are necessary to attract and retain qualified persons as directors and officers. These provisions do not eliminate our directors’ or officers’ duty of care, and, in appropriate circumstances, equitable remedies such as injunctive or other forms of non-monetary relief will remain available under the DGCL. In addition, each director will continue to be subject to liability pursuant to Section 174 of the DGCL, for breach of such director’s duty of loyalty to us, for acts or omissions not in good faith or involving intentional misconduct, for knowing violations of law, for acts or omissions that such director believes to be contrary to our best interests or the best interests of our stockholders, for any transaction from which such director derived an improper personal benefit, for acts or omissions involving a reckless disregard for such director’s duty to us or to our stockholders when such director was aware or should have been aware of a risk of serious injury to us or to our stockholders, for acts or omission that constitute an unexcused pattern of inattention that amounts to an abdication of such director’s duty to us or to our stockholders, for improper transactions between such director and us and for improper loans to directors and officers. Under Section 102(b)(7) of the DGCL, as amended, the limitation of liability for officers does not apply to (i) any breach of the duty of loyalty to the corporation or its stockholders, (ii) any acts or omissions not in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good faith or which involve intentional misconduct or a knowing violation of law, (iii) any transaction from which the officer derived an improper personal benefit, or (iv) any action by or in the right of the corporation. These provisions also do not affect a director’s or officer’s responsibilities under any other law, such as the federal securities law or state or federal environmental laws.</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As permitted by Delaware law, we have entered into indemnification agreements with each of our current directors and executive officers pursuant to the foregoing provisions. We also maintain customary directors’ and officers’ liability 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pPr>
      <w:r>
        <w:rPr>
          <w:rFonts w:ascii="Times New Roman;serif" w:hAnsi="Times New Roman;serif"/>
          <w:b/>
          <w:color w:val="000000"/>
          <w:sz w:val="20"/>
        </w:rPr>
        <w:t>Item 16.   Exhibits.</w:t>
      </w:r>
      <w:r>
        <w:rPr>
          <w:color w:val="000000"/>
        </w:rPr>
        <w:t xml:space="preserve"> </w:t>
      </w:r>
    </w:p>
    <w:p>
      <w:pPr>
        <w:pStyle w:val="TextBody"/>
        <w:bidi w:val="0"/>
        <w:spacing w:lineRule="auto" w:line="319" w:before="160" w:after="283"/>
        <w:jc w:val="left"/>
        <w:rPr/>
      </w:pPr>
      <w:r>
        <w:rPr>
          <w:rFonts w:ascii="Times New Roman;serif" w:hAnsi="Times New Roman;serif"/>
          <w:b/>
          <w:color w:val="000000"/>
          <w:sz w:val="20"/>
        </w:rPr>
        <w:t>(a)   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65"/>
        <w:gridCol w:w="233"/>
        <w:gridCol w:w="234"/>
        <w:gridCol w:w="2763"/>
        <w:gridCol w:w="2763"/>
        <w:gridCol w:w="3947"/>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center"/>
              <w:rPr/>
            </w:pPr>
            <w:r>
              <w:rPr>
                <w:rFonts w:ascii="Times New Roman;serif" w:hAnsi="Times New Roman;serif"/>
                <w:b/>
                <w:color w:val="000000"/>
                <w:sz w:val="16"/>
              </w:rPr>
              <w:t>Exhibit</w:t>
            </w:r>
            <w:r>
              <w:rPr>
                <w:color w:val="000000"/>
              </w:rPr>
              <w:t xml:space="preserve"> </w:t>
            </w:r>
            <w:r>
              <w:rPr>
                <w:rFonts w:ascii="Times New Roman;serif" w:hAnsi="Times New Roman;serif"/>
                <w:b w:val="false"/>
                <w:color w:val="000000"/>
                <w:sz w:val="16"/>
              </w:rPr>
              <w:br/>
            </w:r>
            <w:r>
              <w:rPr>
                <w:rFonts w:ascii="Times New Roman;serif" w:hAnsi="Times New Roman;serif"/>
                <w:b/>
                <w:color w:val="000000"/>
                <w:sz w:val="16"/>
              </w:rPr>
              <w:t xml:space="preserve">Number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 xml:space="preserve">Description </w:t>
            </w:r>
          </w:p>
        </w:tc>
      </w:tr>
      <w:tr>
        <w:trPr/>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3.1 </w:t>
            </w:r>
          </w:p>
        </w:tc>
        <w:tc>
          <w:tcPr>
            <w:tcW w:w="9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left"/>
              <w:rPr/>
            </w:pPr>
            <w:hyperlink r:id="rId29">
              <w:r>
                <w:rPr>
                  <w:rStyle w:val="InternetLink"/>
                  <w:rFonts w:ascii="Times New Roman;serif" w:hAnsi="Times New Roman;serif"/>
                  <w:b w:val="false"/>
                  <w:color w:val="000080"/>
                  <w:sz w:val="20"/>
                  <w:u w:val="single"/>
                </w:rPr>
                <w:t>Amended and Restated Certificate of Incorporation of NN, Inc.</w:t>
              </w:r>
            </w:hyperlink>
            <w:r>
              <w:rPr>
                <w:rFonts w:ascii="Times New Roman;serif" w:hAnsi="Times New Roman;serif"/>
                <w:b w:val="false"/>
                <w:color w:val="0563C1"/>
                <w:sz w:val="20"/>
                <w:u w:val="single"/>
              </w:rPr>
              <w:t xml:space="preserve"> (incorporated by reference to Exhibit 3.1 to NN, Inc.’s Current Report on Form 8-K filed on September 30, 2026)</w:t>
            </w:r>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3.2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r:id="rId30">
              <w:r>
                <w:rPr>
                  <w:rStyle w:val="InternetLink"/>
                  <w:rFonts w:ascii="Times New Roman;serif" w:hAnsi="Times New Roman;serif"/>
                  <w:b w:val="false"/>
                  <w:color w:val="0563C1"/>
                  <w:sz w:val="20"/>
                  <w:u w:val="single"/>
                </w:rPr>
                <w:t>Amended and Restated Bylaws of NN, Inc. (incorporated by reference to Exhibit 3.1 to NN, Inc.’s Current Report on Form 8-K filed on January 20, 2023).</w:t>
              </w:r>
            </w:hyperlink>
            <w:r>
              <w:rPr>
                <w:color w:val="000000"/>
              </w:rPr>
              <w:t xml:space="preserve"> </w:t>
            </w:r>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4.1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r:id="rId31">
              <w:r>
                <w:rPr>
                  <w:rStyle w:val="InternetLink"/>
                  <w:rFonts w:ascii="Times New Roman;serif" w:hAnsi="Times New Roman;serif"/>
                  <w:b w:val="false"/>
                  <w:color w:val="0563C1"/>
                  <w:sz w:val="20"/>
                  <w:u w:val="single"/>
                </w:rPr>
                <w:t>Form of Securities Purchase Agreement (incorporated by reference to Exhibit 10.1 of NN, Inc.’s Current Report on Form 8-K filed on October 5, 2026).</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4.2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r:id="rId32">
              <w:r>
                <w:rPr>
                  <w:rStyle w:val="InternetLink"/>
                  <w:rFonts w:ascii="Times New Roman;serif" w:hAnsi="Times New Roman;serif"/>
                  <w:b w:val="false"/>
                  <w:color w:val="0563C1"/>
                  <w:sz w:val="20"/>
                  <w:u w:val="single"/>
                </w:rPr>
                <w:t>Form of Registration Rights Agreement (incorporated by reference to Exhibit 10.2 of NN, Inc.’s Current Report on Form 8-K filed on October 5, 2026).</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r:id="rId33">
              <w:r>
                <w:rPr>
                  <w:rStyle w:val="InternetLink"/>
                  <w:rFonts w:ascii="Times New Roman;serif" w:hAnsi="Times New Roman;serif"/>
                  <w:b w:val="false"/>
                  <w:color w:val="0563C1"/>
                  <w:sz w:val="20"/>
                  <w:u w:val="single"/>
                </w:rPr>
                <w:t>Form of Pre-Funded Warrant (incorporated by reference to Exhibit 4.1 of NN, Inc.'s Current Report on Form 8-K filed on October 5, 2026).</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5.1*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opinionofdentonsusllp.htm">
              <w:r>
                <w:rPr>
                  <w:rStyle w:val="InternetLink"/>
                  <w:rFonts w:ascii="Times New Roman;serif" w:hAnsi="Times New Roman;serif"/>
                  <w:b w:val="false"/>
                  <w:color w:val="0563C1"/>
                  <w:sz w:val="20"/>
                  <w:u w:val="single"/>
                </w:rPr>
                <w:t>Opinion of Dentons US LLP</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23.1*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consentofgrantthorntonllpi.htm">
              <w:r>
                <w:rPr>
                  <w:rStyle w:val="InternetLink"/>
                  <w:rFonts w:ascii="Times New Roman;serif" w:hAnsi="Times New Roman;serif"/>
                  <w:b w:val="false"/>
                  <w:color w:val="0563C1"/>
                  <w:sz w:val="20"/>
                  <w:u w:val="single"/>
                </w:rPr>
                <w:t>Consent of Grant Thornton LLP, Independent Registered Public Accounting Firm.</w:t>
              </w:r>
            </w:hyperlink>
            <w:r>
              <w:rPr>
                <w:color w:val="000000"/>
              </w:rPr>
              <w:t xml:space="preserve"> </w:t>
            </w:r>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23.2*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consentofdentonsusllpinclu.htm">
              <w:r>
                <w:rPr>
                  <w:rStyle w:val="InternetLink"/>
                  <w:rFonts w:ascii="Times New Roman;serif" w:hAnsi="Times New Roman;serif"/>
                  <w:b w:val="false"/>
                  <w:color w:val="0563C1"/>
                  <w:sz w:val="20"/>
                  <w:u w:val="single"/>
                </w:rPr>
                <w:t>Consent of Dentons US LLP (including in Exhibit 5.1)</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24.1*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894d5366c7a346988614661be0c0f640_7891">
              <w:r>
                <w:rPr>
                  <w:rStyle w:val="InternetLink"/>
                  <w:rFonts w:ascii="Times New Roman;serif" w:hAnsi="Times New Roman;serif"/>
                  <w:b w:val="false"/>
                  <w:color w:val="0563C1"/>
                  <w:sz w:val="20"/>
                  <w:u w:val="single"/>
                </w:rPr>
                <w:t xml:space="preserve">Power of Attorney (included on the signature page of this registration statement). </w:t>
              </w:r>
            </w:hyperlink>
          </w:p>
        </w:tc>
      </w:tr>
      <w:tr>
        <w:trPr/>
        <w:tc>
          <w:tcPr>
            <w:tcW w:w="73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107* </w:t>
            </w:r>
          </w:p>
        </w:tc>
        <w:tc>
          <w:tcPr>
            <w:tcW w:w="947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exfilingfees.htm">
              <w:r>
                <w:rPr>
                  <w:rStyle w:val="InternetLink"/>
                  <w:rFonts w:ascii="Times New Roman;serif" w:hAnsi="Times New Roman;serif"/>
                  <w:b w:val="false"/>
                  <w:color w:val="0563C1"/>
                  <w:sz w:val="20"/>
                  <w:u w:val="single"/>
                </w:rPr>
                <w:t>Filing Fee Table.</w:t>
              </w:r>
            </w:hyperlink>
            <w:r>
              <w:rPr>
                <w:color w:val="000000"/>
              </w:rPr>
              <w:t xml:space="preserve"> </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40" w:after="40"/>
              <w:jc w:val="left"/>
              <w:rPr/>
            </w:pPr>
            <w:r>
              <w:rPr/>
            </w:r>
          </w:p>
        </w:tc>
      </w:tr>
    </w:tbl>
    <w:p>
      <w:pPr>
        <w:pStyle w:val="TextBody"/>
        <w:bidi w:val="0"/>
        <w:spacing w:lineRule="auto" w:line="319" w:before="132" w:after="283"/>
        <w:ind w:left="0" w:right="0" w:hanging="400"/>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p>
      <w:pPr>
        <w:pStyle w:val="TextBody"/>
        <w:bidi w:val="0"/>
        <w:spacing w:lineRule="auto" w:line="319" w:before="142" w:after="283"/>
        <w:ind w:left="0" w:right="0" w:firstLine="400"/>
        <w:jc w:val="left"/>
        <w:rPr/>
      </w:pPr>
      <w:r>
        <w:rPr>
          <w:rFonts w:ascii="Times New Roman;serif" w:hAnsi="Times New Roman;serif"/>
          <w:b w:val="false"/>
          <w:color w:val="000000"/>
          <w:sz w:val="20"/>
        </w:rPr>
        <w:t>(b)   </w:t>
      </w:r>
      <w:r>
        <w:rPr>
          <w:rFonts w:ascii="Times New Roman;serif" w:hAnsi="Times New Roman;serif"/>
          <w:b/>
          <w:color w:val="000000"/>
          <w:sz w:val="20"/>
        </w:rPr>
        <w:t>Financial Statement Schedules</w:t>
      </w:r>
      <w:r>
        <w:rPr>
          <w:rFonts w:ascii="Times New Roman;serif" w:hAnsi="Times New Roman;serif"/>
          <w:b w:val="false"/>
          <w:color w:val="000000"/>
          <w:sz w:val="20"/>
        </w:rPr>
        <w:t xml:space="preserve">.   All financial statement schedules are omitted because the information called for is not required or is shown either in the consolidated financial statements or in the notes thereto. </w:t>
      </w:r>
    </w:p>
    <w:p>
      <w:pPr>
        <w:pStyle w:val="TextBody"/>
        <w:bidi w:val="0"/>
        <w:spacing w:lineRule="auto" w:line="319" w:before="210" w:after="283"/>
        <w:jc w:val="left"/>
        <w:rPr/>
      </w:pPr>
      <w:r>
        <w:rPr>
          <w:rFonts w:ascii="Times New Roman;serif" w:hAnsi="Times New Roman;serif"/>
          <w:b/>
          <w:color w:val="000000"/>
          <w:sz w:val="20"/>
        </w:rPr>
        <w:t>Item 17.   Undertakings.</w:t>
      </w:r>
      <w:r>
        <w:rPr>
          <w:color w:val="000000"/>
        </w:rPr>
        <w:t xml:space="preserve"> </w: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registrant hereby undertakes: </w:t>
      </w:r>
    </w:p>
    <w:p>
      <w:pPr>
        <w:pStyle w:val="TextBody"/>
        <w:bidi w:val="0"/>
        <w:spacing w:lineRule="auto" w:line="319" w:before="15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(a)   (1)   To file, during any period in which offers or sales are being made, a post-effective amendment to this registration statement: </w:t>
      </w:r>
    </w:p>
    <w:p>
      <w:pPr>
        <w:pStyle w:val="TextBody"/>
        <w:bidi w:val="0"/>
        <w:spacing w:lineRule="auto" w:line="319" w:before="148"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To include any prospectus required by Section 10(a)(3) of the Securities Act; </w:t>
      </w:r>
    </w:p>
    <w:p>
      <w:pPr>
        <w:pStyle w:val="TextBody"/>
        <w:bidi w:val="0"/>
        <w:spacing w:lineRule="auto" w:line="319" w:before="148"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319" w:before="148"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in the effective registration statement; and </w:t>
      </w:r>
    </w:p>
    <w:p>
      <w:pPr>
        <w:pStyle w:val="TextBody"/>
        <w:bidi w:val="0"/>
        <w:spacing w:lineRule="auto" w:line="319" w:before="148"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319" w:before="0" w:after="0"/>
        <w:jc w:val="left"/>
        <w:rPr/>
      </w:pP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undertaking set forth in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are contained in a form of prospectus filed pursuant to Rule 424(b) that is part of this registration statement.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(3)   To remove from registration by means of a post-effective amendment any of the securities being registered which remain unsold at the termination of the offering. </w: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   That, for the purpose of determining liability under the Securities Act to any purchaser: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(b)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(c)   Insofar as indemnification for liabilities arising under the Securities Act may be permitted to directors, officers, and controlling persons of the registrant pursuant to the foregoing provisions, or otherwise, the registrant </w:t>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319"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60" w:after="283"/>
        <w:jc w:val="center"/>
        <w:rPr/>
      </w:pPr>
      <w:r>
        <w:rPr/>
      </w:r>
    </w:p>
    <w:p>
      <w:pPr>
        <w:pStyle w:val="TextBody"/>
        <w:bidi w:val="0"/>
        <w:spacing w:lineRule="auto" w:line="319" w:before="0" w:after="0"/>
        <w:jc w:val="left"/>
        <w:rPr/>
      </w:pPr>
      <w:hyperlink w:anchor="ia6113348b5554c02ad708734aa29c322_130648">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319"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Charlotte, State of North Carolina, on October 13, 2026.</w:t>
      </w:r>
    </w:p>
    <w:tbl>
      <w:tblPr>
        <w:tblW w:w="4468" w:type="dxa"/>
        <w:jc w:val="left"/>
        <w:tblInd w:w="0" w:type="dxa"/>
        <w:tblLayout w:type="fixed"/>
        <w:tblCellMar>
          <w:top w:w="28" w:type="dxa"/>
          <w:left w:w="28" w:type="dxa"/>
          <w:bottom w:w="28" w:type="dxa"/>
          <w:right w:w="28" w:type="dxa"/>
        </w:tblCellMar>
      </w:tblPr>
      <w:tblGrid>
        <w:gridCol w:w="168"/>
        <w:gridCol w:w="148"/>
        <w:gridCol w:w="148"/>
        <w:gridCol w:w="1170"/>
        <w:gridCol w:w="1170"/>
        <w:gridCol w:w="166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4468" w:type="dxa"/>
            <w:gridSpan w:val="6"/>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 xml:space="preserve">NN, Inc. </w:t>
            </w:r>
          </w:p>
        </w:tc>
      </w:tr>
      <w:tr>
        <w:trPr/>
        <w:tc>
          <w:tcPr>
            <w:tcW w:w="46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00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 Harold C. Bevis</w:t>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Harold C. Bevis </w:t>
              <w:br/>
              <w:t xml:space="preserve">President, Chief Executive Officer and Director </w:t>
            </w:r>
          </w:p>
        </w:tc>
      </w:tr>
    </w:tbl>
    <w:p>
      <w:pPr>
        <w:pStyle w:val="TextBody"/>
        <w:bidi w:val="0"/>
        <w:spacing w:lineRule="auto" w:line="319" w:before="264" w:after="283"/>
        <w:jc w:val="center"/>
        <w:rPr/>
      </w:pPr>
      <w:bookmarkStart w:id="6" w:name="i894d5366c7a346988614661be0c0f640_7891"/>
      <w:bookmarkEnd w:id="6"/>
      <w:r>
        <w:rPr>
          <w:rFonts w:ascii="Times New Roman;serif" w:hAnsi="Times New Roman;serif"/>
          <w:b/>
          <w:color w:val="000000"/>
          <w:sz w:val="20"/>
        </w:rPr>
        <w:t>POWER OF ATTORNEY</w:t>
      </w:r>
      <w:r>
        <w:rPr>
          <w:color w:val="000000"/>
        </w:rPr>
        <w:t xml:space="preserve">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Each person whose signature appears below constitutes and appoints Harold C. Bevis and Christopher H. Bohnert, and each of them, as his/her true and lawful attorney-in-fact and agent, each acting alone, with full power of substitution and resubstitution, for him/her and in his/her name, place and stead, in any and all capacities, to sign any or all amendments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his/her substitute or substitutes, may lawfully do or cause to be done by virtue hereof. </w:t>
      </w:r>
    </w:p>
    <w:p>
      <w:pPr>
        <w:pStyle w:val="TextBody"/>
        <w:bidi w:val="0"/>
        <w:spacing w:lineRule="auto" w:line="319" w:before="16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this registration statement has been signed by the following persons in the capacities and on the dates indicated. </w:t>
      </w:r>
    </w:p>
    <w:tbl>
      <w:tblPr>
        <w:tblW w:w="7948" w:type="dxa"/>
        <w:jc w:val="left"/>
        <w:tblInd w:w="0" w:type="dxa"/>
        <w:tblLayout w:type="fixed"/>
        <w:tblCellMar>
          <w:top w:w="28" w:type="dxa"/>
          <w:left w:w="28" w:type="dxa"/>
          <w:bottom w:w="28" w:type="dxa"/>
          <w:right w:w="28" w:type="dxa"/>
        </w:tblCellMar>
      </w:tblPr>
      <w:tblGrid>
        <w:gridCol w:w="814"/>
        <w:gridCol w:w="716"/>
        <w:gridCol w:w="719"/>
        <w:gridCol w:w="1374"/>
        <w:gridCol w:w="1374"/>
        <w:gridCol w:w="1392"/>
        <w:gridCol w:w="454"/>
        <w:gridCol w:w="454"/>
        <w:gridCol w:w="651"/>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 xml:space="preserve">Name and Signature </w:t>
            </w:r>
          </w:p>
        </w:tc>
        <w:tc>
          <w:tcPr>
            <w:tcW w:w="4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 xml:space="preserve">Title </w:t>
            </w:r>
          </w:p>
        </w:tc>
        <w:tc>
          <w:tcPr>
            <w:tcW w:w="155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 xml:space="preserve">Date </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Harold C. Bevis</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President, Chief Executive Officer and Director </w:t>
              <w:br/>
              <w:t xml:space="preserve">(Principal Executive Officer) </w:t>
            </w:r>
          </w:p>
        </w:tc>
        <w:tc>
          <w:tcPr>
            <w:tcW w:w="15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13,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Harold C. Bevis</w:t>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H. Bohnert</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br/>
              <w:t xml:space="preserve">(Principal Financial and Accounting Officer) </w:t>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13,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H. Bohnert</w:t>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Jeri J. Harman</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Non-Executive Chairman, Director </w:t>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13,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Jeri J. Harman</w:t>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Raynard D. Benvenuti</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13,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Raynard D. Benvenuti</w:t>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Christina E. Carroll</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13,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Christina E. Carroll</w:t>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João Faria </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13,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João Faria </w:t>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Rajeev Gautam, Ph.D.</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13,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Rajeev Gautam, Ph.D.</w:t>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Thomas H. Wilson, Jr.</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13,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Thomas H. Wilson, Jr.</w:t>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tbl>
      <w:tblPr>
        <w:tblW w:w="1995" w:type="dxa"/>
        <w:jc w:val="left"/>
        <w:tblInd w:w="0" w:type="dxa"/>
        <w:tblLayout w:type="fixed"/>
        <w:tblCellMar>
          <w:top w:w="28" w:type="dxa"/>
          <w:left w:w="28" w:type="dxa"/>
          <w:bottom w:w="28" w:type="dxa"/>
          <w:right w:w="28" w:type="dxa"/>
        </w:tblCellMar>
      </w:tblPr>
      <w:tblGrid>
        <w:gridCol w:w="637"/>
        <w:gridCol w:w="561"/>
        <w:gridCol w:w="797"/>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tLeast" w:line="180" w:before="0" w:after="0"/>
              <w:jc w:val="right"/>
              <w:rPr>
                <w:rFonts w:ascii="Arial;sans-serif" w:hAnsi="Arial;sans-serif"/>
                <w:b w:val="false"/>
                <w:color w:val="000000"/>
                <w:sz w:val="14"/>
              </w:rPr>
            </w:pPr>
            <w:r>
              <w:rPr>
                <w:rFonts w:ascii="Arial;sans-serif" w:hAnsi="Arial;sans-serif"/>
                <w:b w:val="false"/>
                <w:color w:val="000000"/>
                <w:sz w:val="14"/>
              </w:rPr>
              <w:t>Dentons US LLP</w:t>
              <w:br/>
              <w:t>1221 Avenue of the Americas</w:t>
              <w:br/>
              <w:t>New York, NY 10020-1089</w:t>
              <w:br/>
              <w:t>P +1 212 768 6700</w:t>
            </w:r>
          </w:p>
          <w:p>
            <w:pPr>
              <w:pStyle w:val="TableContents"/>
              <w:bidi w:val="0"/>
              <w:spacing w:lineRule="atLeast" w:line="180" w:before="0" w:after="0"/>
              <w:jc w:val="right"/>
              <w:rPr>
                <w:rFonts w:ascii="Arial;sans-serif" w:hAnsi="Arial;sans-serif"/>
                <w:b w:val="false"/>
                <w:color w:val="000000"/>
                <w:sz w:val="14"/>
              </w:rPr>
            </w:pPr>
            <w:r>
              <w:rPr>
                <w:rFonts w:ascii="Arial;sans-serif" w:hAnsi="Arial;sans-serif"/>
                <w:b w:val="false"/>
                <w:color w:val="000000"/>
                <w:sz w:val="14"/>
              </w:rPr>
              <w:t>F +1 212 768 6800</w:t>
              <w:br/>
              <w:t>United States</w:t>
            </w:r>
          </w:p>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0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tbl>
      <w:tblPr>
        <w:tblW w:w="2186" w:type="dxa"/>
        <w:jc w:val="left"/>
        <w:tblInd w:w="0" w:type="dxa"/>
        <w:tblLayout w:type="fixed"/>
        <w:tblCellMar>
          <w:top w:w="28" w:type="dxa"/>
          <w:left w:w="28" w:type="dxa"/>
          <w:bottom w:w="28" w:type="dxa"/>
          <w:right w:w="28" w:type="dxa"/>
        </w:tblCellMar>
      </w:tblPr>
      <w:tblGrid>
        <w:gridCol w:w="700"/>
        <w:gridCol w:w="615"/>
        <w:gridCol w:w="871"/>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drawing>
                <wp:inline distT="0" distB="0" distL="0" distR="0">
                  <wp:extent cx="1295400" cy="32385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4"/>
                          <a:stretch>
                            <a:fillRect/>
                          </a:stretch>
                        </pic:blipFill>
                        <pic:spPr bwMode="auto">
                          <a:xfrm>
                            <a:off x="0" y="0"/>
                            <a:ext cx="1295400" cy="32385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October 13,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NN,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6210 Ardrey Kell Road, Suite 120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Charlotte, North Carolina 28277</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 NN,Inc. Registration Statement on Form S-3</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our capacity as special counsel to NN,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we have been asked to render this opinion in connection with a Registration Statement (the “</w:t>
      </w:r>
      <w:r>
        <w:rPr>
          <w:rFonts w:ascii="Times New Roman;serif" w:hAnsi="Times New Roman;serif"/>
          <w:b/>
          <w:color w:val="000000"/>
          <w:sz w:val="20"/>
        </w:rPr>
        <w:t>Registration Statement</w:t>
      </w:r>
      <w:r>
        <w:rPr>
          <w:color w:val="000000"/>
        </w:rPr>
        <w:t>”</w:t>
      </w:r>
      <w:r>
        <w:rPr>
          <w:rFonts w:ascii="Times New Roman;serif" w:hAnsi="Times New Roman;serif"/>
          <w:b w:val="false"/>
          <w:color w:val="000000"/>
          <w:sz w:val="20"/>
        </w:rPr>
        <w:t>) on Form S-3 filed by the Company with the Securities and Exchange Commission (the “</w:t>
      </w:r>
      <w:r>
        <w:rPr>
          <w:rFonts w:ascii="Times New Roman;serif" w:hAnsi="Times New Roman;serif"/>
          <w:b/>
          <w:color w:val="000000"/>
          <w:sz w:val="20"/>
        </w:rPr>
        <w:t>Commission</w:t>
      </w:r>
      <w:r>
        <w:rPr>
          <w:color w:val="000000"/>
        </w:rPr>
        <w:t>”</w:t>
      </w:r>
      <w:r>
        <w:rPr>
          <w:rFonts w:ascii="Times New Roman;serif" w:hAnsi="Times New Roman;serif"/>
          <w:b w:val="false"/>
          <w:color w:val="000000"/>
          <w:sz w:val="20"/>
        </w:rPr>
        <w:t>) under the Securities Act of 1933, as amended (the “</w:t>
      </w:r>
      <w:r>
        <w:rPr>
          <w:rFonts w:ascii="Times New Roman;serif" w:hAnsi="Times New Roman;serif"/>
          <w:b/>
          <w:color w:val="000000"/>
          <w:sz w:val="20"/>
        </w:rPr>
        <w:t>Act</w:t>
      </w:r>
      <w:r>
        <w:rPr>
          <w:color w:val="000000"/>
        </w:rPr>
        <w:t>”</w:t>
      </w:r>
      <w:r>
        <w:rPr>
          <w:rFonts w:ascii="Times New Roman;serif" w:hAnsi="Times New Roman;serif"/>
          <w:b w:val="false"/>
          <w:color w:val="000000"/>
          <w:sz w:val="20"/>
        </w:rPr>
        <w:t>), covering the resale of up to an aggregate of 16,100,000 shares of the Company’s common stock, par value $0.01 per share (the “</w:t>
      </w:r>
      <w:r>
        <w:rPr>
          <w:rFonts w:ascii="Times New Roman;serif" w:hAnsi="Times New Roman;serif"/>
          <w:b/>
          <w:color w:val="000000"/>
          <w:sz w:val="20"/>
        </w:rPr>
        <w:t>Common Stock</w:t>
      </w:r>
      <w:r>
        <w:rPr>
          <w:color w:val="000000"/>
        </w:rPr>
        <w:t>”</w:t>
      </w:r>
      <w:r>
        <w:rPr>
          <w:rFonts w:ascii="Times New Roman;serif" w:hAnsi="Times New Roman;serif"/>
          <w:b w:val="false"/>
          <w:color w:val="000000"/>
          <w:sz w:val="20"/>
        </w:rPr>
        <w:t>), consisting of (i) 11,275,605 shares of Common Stock (the “</w:t>
      </w:r>
      <w:r>
        <w:rPr>
          <w:rFonts w:ascii="Times New Roman;serif" w:hAnsi="Times New Roman;serif"/>
          <w:b/>
          <w:color w:val="000000"/>
          <w:sz w:val="20"/>
        </w:rPr>
        <w:t>Shares</w:t>
      </w:r>
      <w:r>
        <w:rPr>
          <w:color w:val="000000"/>
        </w:rPr>
        <w:t>”</w:t>
      </w:r>
      <w:r>
        <w:rPr>
          <w:rFonts w:ascii="Times New Roman;serif" w:hAnsi="Times New Roman;serif"/>
          <w:b w:val="false"/>
          <w:color w:val="000000"/>
          <w:sz w:val="20"/>
        </w:rPr>
        <w:t>) and (ii) 4,824,395 shares of Common Stock issuable upon the exercise of pre-funded warrants (the “</w:t>
      </w:r>
      <w:r>
        <w:rPr>
          <w:rFonts w:ascii="Times New Roman;serif" w:hAnsi="Times New Roman;serif"/>
          <w:b/>
          <w:color w:val="000000"/>
          <w:sz w:val="20"/>
        </w:rPr>
        <w:t>Pre-Funded Warrants</w:t>
      </w:r>
      <w:r>
        <w:rPr>
          <w:color w:val="000000"/>
        </w:rPr>
        <w:t xml:space="preserve">” </w:t>
      </w:r>
      <w:r>
        <w:rPr>
          <w:rFonts w:ascii="Times New Roman;serif" w:hAnsi="Times New Roman;serif"/>
          <w:b w:val="false"/>
          <w:color w:val="000000"/>
          <w:sz w:val="20"/>
        </w:rPr>
        <w:t>and shares of Common Stock underlying the Pre-Funded Warrants, the “</w:t>
      </w:r>
      <w:r>
        <w:rPr>
          <w:rFonts w:ascii="Times New Roman;serif" w:hAnsi="Times New Roman;serif"/>
          <w:b/>
          <w:color w:val="000000"/>
          <w:sz w:val="20"/>
        </w:rPr>
        <w:t>Pre-Funded Warrant Shares</w:t>
      </w:r>
      <w:r>
        <w:rPr>
          <w:color w:val="000000"/>
        </w:rPr>
        <w:t xml:space="preserve">” </w:t>
      </w:r>
      <w:r>
        <w:rPr>
          <w:rFonts w:ascii="Times New Roman;serif" w:hAnsi="Times New Roman;serif"/>
          <w:b w:val="false"/>
          <w:color w:val="000000"/>
          <w:sz w:val="20"/>
        </w:rPr>
        <w:t>and together with the Shares, the “</w:t>
      </w:r>
      <w:r>
        <w:rPr>
          <w:rFonts w:ascii="Times New Roman;serif" w:hAnsi="Times New Roman;serif"/>
          <w:b/>
          <w:color w:val="000000"/>
          <w:sz w:val="20"/>
        </w:rPr>
        <w:t>Shares</w:t>
      </w:r>
      <w:r>
        <w:rPr>
          <w:color w:val="000000"/>
        </w:rPr>
        <w:t>”</w:t>
      </w:r>
      <w:r>
        <w:rPr>
          <w:rFonts w:ascii="Times New Roman;serif" w:hAnsi="Times New Roman;serif"/>
          <w:b w:val="false"/>
          <w:color w:val="000000"/>
          <w:sz w:val="20"/>
        </w:rPr>
        <w:t>). The Shares and the Pre-Funded Warrants were issued pursuant to a Securities Purchase Agreement, dated October 1, 2026 by and among the Company and the purchasers named therein (the “</w:t>
      </w:r>
      <w:r>
        <w:rPr>
          <w:rFonts w:ascii="Times New Roman;serif" w:hAnsi="Times New Roman;serif"/>
          <w:b/>
          <w:color w:val="000000"/>
          <w:sz w:val="20"/>
        </w:rPr>
        <w:t>Purchase Agreement</w:t>
      </w:r>
      <w:r>
        <w:rPr>
          <w:color w:val="000000"/>
        </w:rPr>
        <w:t>”</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delivering this opinion to you at your request in accordance with the requirements of Item 601(b)(5) of Regulation S-K under the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rendering this opinion, we have examined and are familiar with the Company’s (i) certificate of incorporation and bylaws, each as amended and restated; (ii) the Registration Statement, including the Prospectus; (iii) corporate proceedings of the Company relating to the issuance of the securities described herein; (iv) the Purchase Agreement, (v) the Pre-Funded Warrants, and (vi) such other instruments and documents as we have deemed relevant under the circumstances.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making the aforesaid examinations, we have assumed the genuineness of all signatures and the conformity to original documents of all copies furnished to us as original or photostatic copies. We have also assumed that the corporate records furnished to us by the Company include all corporate proceedings taken by the Company to date. We have assumed without investigation that there has been no relevant change or development between the dates as of which the information cited in the preceding sentence was given and the date of this letter. As to certain factual matters, we have relied upon a certificate of officers of the Company and have not sought to independently verify such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the foregoing, and in reliance thereon, and subject to the qualifications, limitations and exceptions stated herein, we are of the opinion, having due regard for such legal considerations as we deem relevant, that: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Shares are validly issued, fully paid and nonassessable;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Pre-Funded Warrant Shares when issued in accordance with the Pre-Funded Warrants, will be validly issued, fully paid and nonassessable.</w:t>
      </w:r>
    </w:p>
    <w:p>
      <w:pPr>
        <w:pStyle w:val="TextBody"/>
        <w:bidi w:val="0"/>
        <w:spacing w:before="0" w:after="283"/>
        <w:jc w:val="left"/>
        <w:rPr/>
      </w:pPr>
      <w:r>
        <w:rPr/>
      </w:r>
    </w:p>
    <w:p>
      <w:pPr>
        <w:pStyle w:val="TextBody"/>
        <w:bidi w:val="0"/>
        <w:spacing w:lineRule="atLeast" w:line="180" w:before="0" w:after="0"/>
        <w:jc w:val="left"/>
        <w:rPr>
          <w:rFonts w:ascii="Arial;sans-serif" w:hAnsi="Arial;sans-serif"/>
          <w:b w:val="false"/>
          <w:color w:val="000000"/>
          <w:sz w:val="14"/>
        </w:rPr>
      </w:pPr>
      <w:r>
        <w:rPr>
          <w:rFonts w:ascii="Arial;sans-serif" w:hAnsi="Arial;sans-serif"/>
          <w:b w:val="false"/>
          <w:color w:val="000000"/>
          <w:sz w:val="14"/>
        </w:rPr>
        <w:t>NN, Inc.</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tLeast" w:line="180" w:before="0" w:after="0"/>
        <w:jc w:val="left"/>
        <w:rPr>
          <w:rFonts w:ascii="Arial;sans-serif" w:hAnsi="Arial;sans-serif"/>
          <w:b w:val="false"/>
          <w:color w:val="000000"/>
          <w:sz w:val="14"/>
        </w:rPr>
      </w:pPr>
      <w:r>
        <w:rPr>
          <w:rFonts w:ascii="Arial;sans-serif" w:hAnsi="Arial;sans-serif"/>
          <w:b w:val="false"/>
          <w:color w:val="000000"/>
          <w:sz w:val="14"/>
        </w:rPr>
        <w:t>Page 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opinion herein is expressed solely with respect to the Delaware General Corporation Law of the State of Delaware and the laws of the State of New York. Our opinion is based on these laws as in effect on the date hereof and as of the effective date of the Registration Statement, and we assume no obligation to revise or supplement this opinion after the effective date of the Registration Statement should the law be changed by legislative action, judicial decision or otherwise. Where our opinions expressed herein refer to events to occur at a future date, we have assumed that there will have been no changes in the relevant law or facts between the date hereof and such future date. Our opinions expressed herein are limited to the matters expressly stated herein and no opinion is implied or may be inferred beyond the matters expressly stated. Not in limitation of the foregoing, we are not rendering any opinion as to the compliance with any other federal or state law, rule or regulation relating to securities, or to the sale or issuance thereof.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hereby consent to the use of our opinion as Exhibit 5.1 to the Registration Statement and to the reference to this firm and this opinion under the heading “Legal Matters” in the Prospectus comprising a part of the Registration Statement and any amendment thereto. In giving such consent, we do not hereby admit that we come within the category of persons whose consent is required under Section 7 of the Act or the rules and regulations of the Commission thereunder.</w:t>
      </w:r>
    </w:p>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before="0" w:after="0"/>
        <w:jc w:val="center"/>
        <w:rPr/>
      </w:pPr>
      <w:r>
        <w:rPr/>
      </w:r>
    </w:p>
    <w:tbl>
      <w:tblPr>
        <w:tblW w:w="1754" w:type="dxa"/>
        <w:jc w:val="left"/>
        <w:tblInd w:w="0" w:type="dxa"/>
        <w:tblLayout w:type="fixed"/>
        <w:tblCellMar>
          <w:top w:w="28" w:type="dxa"/>
          <w:left w:w="28" w:type="dxa"/>
          <w:bottom w:w="28" w:type="dxa"/>
          <w:right w:w="28" w:type="dxa"/>
        </w:tblCellMar>
      </w:tblPr>
      <w:tblGrid>
        <w:gridCol w:w="561"/>
        <w:gridCol w:w="492"/>
        <w:gridCol w:w="701"/>
      </w:tblGrid>
      <w:tr>
        <w:trPr/>
        <w:tc>
          <w:tcPr>
            <w:tcW w:w="5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175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 Dentons US LLP</w:t>
            </w:r>
          </w:p>
        </w:tc>
      </w:tr>
      <w:tr>
        <w:trPr/>
        <w:tc>
          <w:tcPr>
            <w:tcW w:w="175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Dentons US LLP</w:t>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48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issued our reports dated March 4, 2026 with respect to the consolidated financial statements and internal control over financial reporting of NN, Inc.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w:t>
      </w:r>
    </w:p>
    <w:p>
      <w:pPr>
        <w:pStyle w:val="TextBody"/>
        <w:bidi w:val="0"/>
        <w:spacing w:lineRule="auto" w:line="288" w:before="360" w:after="360"/>
        <w:jc w:val="both"/>
        <w:rPr/>
      </w:pPr>
      <w:r>
        <w:rPr>
          <w:rFonts w:ascii="Arial;sans-serif" w:hAnsi="Arial;sans-serif"/>
          <w:b w:val="false"/>
          <w:color w:val="000000"/>
          <w:sz w:val="20"/>
        </w:rPr>
        <w:t>/s/ GRANT THORNTON LLP</w:t>
      </w:r>
      <w:r>
        <w:rPr>
          <w:color w:val="FF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Charlotte, North Carolina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October 13,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995" w:type="dxa"/>
        <w:jc w:val="left"/>
        <w:tblInd w:w="0" w:type="dxa"/>
        <w:tblLayout w:type="fixed"/>
        <w:tblCellMar>
          <w:top w:w="28" w:type="dxa"/>
          <w:left w:w="28" w:type="dxa"/>
          <w:bottom w:w="28" w:type="dxa"/>
          <w:right w:w="28" w:type="dxa"/>
        </w:tblCellMar>
      </w:tblPr>
      <w:tblGrid>
        <w:gridCol w:w="637"/>
        <w:gridCol w:w="561"/>
        <w:gridCol w:w="797"/>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tLeast" w:line="180" w:before="0" w:after="0"/>
              <w:jc w:val="right"/>
              <w:rPr>
                <w:rFonts w:ascii="Arial;sans-serif" w:hAnsi="Arial;sans-serif"/>
                <w:b w:val="false"/>
                <w:color w:val="000000"/>
                <w:sz w:val="14"/>
              </w:rPr>
            </w:pPr>
            <w:r>
              <w:rPr>
                <w:rFonts w:ascii="Arial;sans-serif" w:hAnsi="Arial;sans-serif"/>
                <w:b w:val="false"/>
                <w:color w:val="000000"/>
                <w:sz w:val="14"/>
              </w:rPr>
              <w:t>Dentons US LLP</w:t>
              <w:br/>
              <w:t>1221 Avenue of the Americas</w:t>
              <w:br/>
              <w:t>New York, NY 10020-1089</w:t>
              <w:br/>
              <w:t>P +1 212 768 6700</w:t>
            </w:r>
          </w:p>
          <w:p>
            <w:pPr>
              <w:pStyle w:val="TableContents"/>
              <w:bidi w:val="0"/>
              <w:spacing w:lineRule="atLeast" w:line="180" w:before="0" w:after="0"/>
              <w:jc w:val="right"/>
              <w:rPr>
                <w:rFonts w:ascii="Arial;sans-serif" w:hAnsi="Arial;sans-serif"/>
                <w:b w:val="false"/>
                <w:color w:val="000000"/>
                <w:sz w:val="14"/>
              </w:rPr>
            </w:pPr>
            <w:r>
              <w:rPr>
                <w:rFonts w:ascii="Arial;sans-serif" w:hAnsi="Arial;sans-serif"/>
                <w:b w:val="false"/>
                <w:color w:val="000000"/>
                <w:sz w:val="14"/>
              </w:rPr>
              <w:t>F +1 212 768 6800</w:t>
              <w:br/>
              <w:t>United States</w:t>
            </w:r>
          </w:p>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0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tbl>
      <w:tblPr>
        <w:tblW w:w="2186" w:type="dxa"/>
        <w:jc w:val="left"/>
        <w:tblInd w:w="0" w:type="dxa"/>
        <w:tblLayout w:type="fixed"/>
        <w:tblCellMar>
          <w:top w:w="28" w:type="dxa"/>
          <w:left w:w="28" w:type="dxa"/>
          <w:bottom w:w="28" w:type="dxa"/>
          <w:right w:w="28" w:type="dxa"/>
        </w:tblCellMar>
      </w:tblPr>
      <w:tblGrid>
        <w:gridCol w:w="700"/>
        <w:gridCol w:w="615"/>
        <w:gridCol w:w="871"/>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drawing>
                <wp:inline distT="0" distB="0" distL="0" distR="0">
                  <wp:extent cx="1295400" cy="323850"/>
                  <wp:effectExtent l="0" t="0" r="0" b="0"/>
                  <wp:docPr id="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
                          <pic:cNvPicPr>
                            <a:picLocks noChangeAspect="1" noChangeArrowheads="1"/>
                          </pic:cNvPicPr>
                        </pic:nvPicPr>
                        <pic:blipFill>
                          <a:blip r:embed="rId35"/>
                          <a:stretch>
                            <a:fillRect/>
                          </a:stretch>
                        </pic:blipFill>
                        <pic:spPr bwMode="auto">
                          <a:xfrm>
                            <a:off x="0" y="0"/>
                            <a:ext cx="1295400" cy="32385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October 13,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NN,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6210 Ardrey Kell Road, Suite 120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Charlotte, North Carolina 28277</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 NN,Inc. Registration Statement on Form S-3</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our capacity as special counsel to NN,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we have been asked to render this opinion in connection with a Registration Statement (the “</w:t>
      </w:r>
      <w:r>
        <w:rPr>
          <w:rFonts w:ascii="Times New Roman;serif" w:hAnsi="Times New Roman;serif"/>
          <w:b/>
          <w:color w:val="000000"/>
          <w:sz w:val="20"/>
        </w:rPr>
        <w:t>Registration Statement</w:t>
      </w:r>
      <w:r>
        <w:rPr>
          <w:color w:val="000000"/>
        </w:rPr>
        <w:t>”</w:t>
      </w:r>
      <w:r>
        <w:rPr>
          <w:rFonts w:ascii="Times New Roman;serif" w:hAnsi="Times New Roman;serif"/>
          <w:b w:val="false"/>
          <w:color w:val="000000"/>
          <w:sz w:val="20"/>
        </w:rPr>
        <w:t>) on Form S-3 filed by the Company with the Securities and Exchange Commission (the “</w:t>
      </w:r>
      <w:r>
        <w:rPr>
          <w:rFonts w:ascii="Times New Roman;serif" w:hAnsi="Times New Roman;serif"/>
          <w:b/>
          <w:color w:val="000000"/>
          <w:sz w:val="20"/>
        </w:rPr>
        <w:t>Commission</w:t>
      </w:r>
      <w:r>
        <w:rPr>
          <w:color w:val="000000"/>
        </w:rPr>
        <w:t>”</w:t>
      </w:r>
      <w:r>
        <w:rPr>
          <w:rFonts w:ascii="Times New Roman;serif" w:hAnsi="Times New Roman;serif"/>
          <w:b w:val="false"/>
          <w:color w:val="000000"/>
          <w:sz w:val="20"/>
        </w:rPr>
        <w:t>) under the Securities Act of 1933, as amended (the “</w:t>
      </w:r>
      <w:r>
        <w:rPr>
          <w:rFonts w:ascii="Times New Roman;serif" w:hAnsi="Times New Roman;serif"/>
          <w:b/>
          <w:color w:val="000000"/>
          <w:sz w:val="20"/>
        </w:rPr>
        <w:t>Act</w:t>
      </w:r>
      <w:r>
        <w:rPr>
          <w:color w:val="000000"/>
        </w:rPr>
        <w:t>”</w:t>
      </w:r>
      <w:r>
        <w:rPr>
          <w:rFonts w:ascii="Times New Roman;serif" w:hAnsi="Times New Roman;serif"/>
          <w:b w:val="false"/>
          <w:color w:val="000000"/>
          <w:sz w:val="20"/>
        </w:rPr>
        <w:t>), covering the resale of up to an aggregate of 16,100,000 shares of the Company’s common stock, par value $0.01 per share (the “</w:t>
      </w:r>
      <w:r>
        <w:rPr>
          <w:rFonts w:ascii="Times New Roman;serif" w:hAnsi="Times New Roman;serif"/>
          <w:b/>
          <w:color w:val="000000"/>
          <w:sz w:val="20"/>
        </w:rPr>
        <w:t>Common Stock</w:t>
      </w:r>
      <w:r>
        <w:rPr>
          <w:color w:val="000000"/>
        </w:rPr>
        <w:t>”</w:t>
      </w:r>
      <w:r>
        <w:rPr>
          <w:rFonts w:ascii="Times New Roman;serif" w:hAnsi="Times New Roman;serif"/>
          <w:b w:val="false"/>
          <w:color w:val="000000"/>
          <w:sz w:val="20"/>
        </w:rPr>
        <w:t>), consisting of (i) 11,275,605 shares of Common Stock (the “</w:t>
      </w:r>
      <w:r>
        <w:rPr>
          <w:rFonts w:ascii="Times New Roman;serif" w:hAnsi="Times New Roman;serif"/>
          <w:b/>
          <w:color w:val="000000"/>
          <w:sz w:val="20"/>
        </w:rPr>
        <w:t>Shares</w:t>
      </w:r>
      <w:r>
        <w:rPr>
          <w:color w:val="000000"/>
        </w:rPr>
        <w:t>”</w:t>
      </w:r>
      <w:r>
        <w:rPr>
          <w:rFonts w:ascii="Times New Roman;serif" w:hAnsi="Times New Roman;serif"/>
          <w:b w:val="false"/>
          <w:color w:val="000000"/>
          <w:sz w:val="20"/>
        </w:rPr>
        <w:t>) and (ii) 4,824,395 shares of Common Stock issuable upon the exercise of pre-funded warrants (the “</w:t>
      </w:r>
      <w:r>
        <w:rPr>
          <w:rFonts w:ascii="Times New Roman;serif" w:hAnsi="Times New Roman;serif"/>
          <w:b/>
          <w:color w:val="000000"/>
          <w:sz w:val="20"/>
        </w:rPr>
        <w:t>Pre-Funded Warrants</w:t>
      </w:r>
      <w:r>
        <w:rPr>
          <w:color w:val="000000"/>
        </w:rPr>
        <w:t xml:space="preserve">” </w:t>
      </w:r>
      <w:r>
        <w:rPr>
          <w:rFonts w:ascii="Times New Roman;serif" w:hAnsi="Times New Roman;serif"/>
          <w:b w:val="false"/>
          <w:color w:val="000000"/>
          <w:sz w:val="20"/>
        </w:rPr>
        <w:t>and shares of Common Stock underlying the Pre-Funded Warrants, the “</w:t>
      </w:r>
      <w:r>
        <w:rPr>
          <w:rFonts w:ascii="Times New Roman;serif" w:hAnsi="Times New Roman;serif"/>
          <w:b/>
          <w:color w:val="000000"/>
          <w:sz w:val="20"/>
        </w:rPr>
        <w:t>Pre-Funded Warrant Shares</w:t>
      </w:r>
      <w:r>
        <w:rPr>
          <w:color w:val="000000"/>
        </w:rPr>
        <w:t xml:space="preserve">” </w:t>
      </w:r>
      <w:r>
        <w:rPr>
          <w:rFonts w:ascii="Times New Roman;serif" w:hAnsi="Times New Roman;serif"/>
          <w:b w:val="false"/>
          <w:color w:val="000000"/>
          <w:sz w:val="20"/>
        </w:rPr>
        <w:t>and together with the Shares, the “</w:t>
      </w:r>
      <w:r>
        <w:rPr>
          <w:rFonts w:ascii="Times New Roman;serif" w:hAnsi="Times New Roman;serif"/>
          <w:b/>
          <w:color w:val="000000"/>
          <w:sz w:val="20"/>
        </w:rPr>
        <w:t>Shares</w:t>
      </w:r>
      <w:r>
        <w:rPr>
          <w:color w:val="000000"/>
        </w:rPr>
        <w:t>”</w:t>
      </w:r>
      <w:r>
        <w:rPr>
          <w:rFonts w:ascii="Times New Roman;serif" w:hAnsi="Times New Roman;serif"/>
          <w:b w:val="false"/>
          <w:color w:val="000000"/>
          <w:sz w:val="20"/>
        </w:rPr>
        <w:t>). The Shares and the Pre-Funded Warrants were issued pursuant to a Securities Purchase Agreement, dated October 1, 2026 by and among the Company and the purchasers named therein (the “</w:t>
      </w:r>
      <w:r>
        <w:rPr>
          <w:rFonts w:ascii="Times New Roman;serif" w:hAnsi="Times New Roman;serif"/>
          <w:b/>
          <w:color w:val="000000"/>
          <w:sz w:val="20"/>
        </w:rPr>
        <w:t>Purchase Agreement</w:t>
      </w:r>
      <w:r>
        <w:rPr>
          <w:color w:val="000000"/>
        </w:rPr>
        <w:t>”</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delivering this opinion to you at your request in accordance with the requirements of Item 601(b)(5) of Regulation S-K under the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rendering this opinion, we have examined and are familiar with the Company’s (i) certificate of incorporation and bylaws, each as amended and restated; (ii) the Registration Statement, including the Prospectus; (iii) corporate proceedings of the Company relating to the issuance of the securities described herein; (iv) the Purchase Agreement, (v) the Pre-Funded Warrants, and (vi) such other instruments and documents as we have deemed relevant under the circumstances.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making the aforesaid examinations, we have assumed the genuineness of all signatures and the conformity to original documents of all copies furnished to us as original or photostatic copies. We have also assumed that the corporate records furnished to us by the Company include all corporate proceedings taken by the Company to date. We have assumed without investigation that there has been no relevant change or development between the dates as of which the information cited in the preceding sentence was given and the date of this letter. As to certain factual matters, we have relied upon a certificate of officers of the Company and have not sought to independently verify such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the foregoing, and in reliance thereon, and subject to the qualifications, limitations and exceptions stated herein, we are of the opinion, having due regard for such legal considerations as we deem relevant, that: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Shares are validly issued, fully paid and nonassessable;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Pre-Funded Warrant Shares when issued in accordance with the Pre-Funded Warrants, will be validly issued, fully paid and nonassessable.</w:t>
      </w:r>
    </w:p>
    <w:p>
      <w:pPr>
        <w:pStyle w:val="TextBody"/>
        <w:bidi w:val="0"/>
        <w:spacing w:before="0" w:after="283"/>
        <w:jc w:val="left"/>
        <w:rPr/>
      </w:pPr>
      <w:r>
        <w:rPr/>
      </w:r>
    </w:p>
    <w:p>
      <w:pPr>
        <w:pStyle w:val="TextBody"/>
        <w:bidi w:val="0"/>
        <w:spacing w:lineRule="atLeast" w:line="180" w:before="0" w:after="0"/>
        <w:jc w:val="left"/>
        <w:rPr>
          <w:rFonts w:ascii="Arial;sans-serif" w:hAnsi="Arial;sans-serif"/>
          <w:b w:val="false"/>
          <w:color w:val="000000"/>
          <w:sz w:val="14"/>
        </w:rPr>
      </w:pPr>
      <w:r>
        <w:rPr>
          <w:rFonts w:ascii="Arial;sans-serif" w:hAnsi="Arial;sans-serif"/>
          <w:b w:val="false"/>
          <w:color w:val="000000"/>
          <w:sz w:val="14"/>
        </w:rPr>
        <w:t>NN, Inc.</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tLeast" w:line="180" w:before="0" w:after="0"/>
        <w:jc w:val="left"/>
        <w:rPr>
          <w:rFonts w:ascii="Arial;sans-serif" w:hAnsi="Arial;sans-serif"/>
          <w:b w:val="false"/>
          <w:color w:val="000000"/>
          <w:sz w:val="14"/>
        </w:rPr>
      </w:pPr>
      <w:r>
        <w:rPr>
          <w:rFonts w:ascii="Arial;sans-serif" w:hAnsi="Arial;sans-serif"/>
          <w:b w:val="false"/>
          <w:color w:val="000000"/>
          <w:sz w:val="14"/>
        </w:rPr>
        <w:t>Page 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opinion herein is expressed solely with respect to the Delaware General Corporation Law of the State of Delaware and the laws of the State of New York. Our opinion is based on these laws as in effect on the date hereof and as of the effective date of the Registration Statement, and we assume no obligation to revise or supplement this opinion after the effective date of the Registration Statement should the law be changed by legislative action, judicial decision or otherwise. Where our opinions expressed herein refer to events to occur at a future date, we have assumed that there will have been no changes in the relevant law or facts between the date hereof and such future date. Our opinions expressed herein are limited to the matters expressly stated herein and no opinion is implied or may be inferred beyond the matters expressly stated. Not in limitation of the foregoing, we are not rendering any opinion as to the compliance with any other federal or state law, rule or regulation relating to securities, or to the sale or issuance thereof.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hereby consent to the use of our opinion as Exhibit 5.1 to the Registration Statement and to the reference to this firm and this opinion under the heading “Legal Matters” in the Prospectus comprising a part of the Registration Statement and any amendment thereto. In giving such consent, we do not hereby admit that we come within the category of persons whose consent is required under Section 7 of the Act or the rules and regulations of the Commission thereunder.</w:t>
      </w:r>
    </w:p>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before="0" w:after="0"/>
        <w:jc w:val="center"/>
        <w:rPr/>
      </w:pPr>
      <w:r>
        <w:rPr/>
      </w:r>
    </w:p>
    <w:tbl>
      <w:tblPr>
        <w:tblW w:w="1754" w:type="dxa"/>
        <w:jc w:val="left"/>
        <w:tblInd w:w="0" w:type="dxa"/>
        <w:tblLayout w:type="fixed"/>
        <w:tblCellMar>
          <w:top w:w="28" w:type="dxa"/>
          <w:left w:w="28" w:type="dxa"/>
          <w:bottom w:w="28" w:type="dxa"/>
          <w:right w:w="28" w:type="dxa"/>
        </w:tblCellMar>
      </w:tblPr>
      <w:tblGrid>
        <w:gridCol w:w="561"/>
        <w:gridCol w:w="492"/>
        <w:gridCol w:w="701"/>
      </w:tblGrid>
      <w:tr>
        <w:trPr/>
        <w:tc>
          <w:tcPr>
            <w:tcW w:w="5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175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 Dentons US LLP</w:t>
            </w:r>
          </w:p>
        </w:tc>
      </w:tr>
      <w:tr>
        <w:trPr/>
        <w:tc>
          <w:tcPr>
            <w:tcW w:w="175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Dentons US LLP</w:t>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7" w:name="exfilingfees.htm"/>
      <w:bookmarkStart w:id="8" w:name="ksexfilingfees"/>
      <w:bookmarkStart w:id="9" w:name="exfilingfees.htm"/>
      <w:bookmarkStart w:id="10" w:name="ksexfilingfees"/>
      <w:bookmarkEnd w:id="9"/>
      <w:bookmarkEnd w:id="10"/>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tbl>
      <w:tblPr>
        <w:tblW w:w="3470" w:type="dxa"/>
        <w:jc w:val="left"/>
        <w:tblInd w:w="0" w:type="dxa"/>
        <w:tblLayout w:type="fixed"/>
        <w:tblCellMar>
          <w:top w:w="28" w:type="dxa"/>
          <w:left w:w="28" w:type="dxa"/>
          <w:bottom w:w="28" w:type="dxa"/>
          <w:right w:w="28" w:type="dxa"/>
        </w:tblCellMar>
      </w:tblPr>
      <w:tblGrid>
        <w:gridCol w:w="3316"/>
        <w:gridCol w:w="154"/>
      </w:tblGrid>
      <w:tr>
        <w:trPr/>
        <w:tc>
          <w:tcPr>
            <w:tcW w:w="34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b/>
              </w:rPr>
            </w:pPr>
            <w:r>
              <w:rPr>
                <w:b/>
              </w:rPr>
              <w:t xml:space="preserve">NN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16,100,000 </w:t>
            </w:r>
          </w:p>
        </w:tc>
        <w:tc>
          <w:tcPr>
            <w:tcW w:w="1156" w:type="dxa"/>
            <w:tcBorders/>
            <w:shd w:fill="E7E7E2" w:val="clear"/>
            <w:vAlign w:val="center"/>
          </w:tcPr>
          <w:p>
            <w:pPr>
              <w:pStyle w:val="TableContents"/>
              <w:bidi w:val="0"/>
              <w:spacing w:before="0" w:after="283"/>
              <w:jc w:val="right"/>
              <w:rPr/>
            </w:pPr>
            <w:r>
              <w:rPr/>
              <w:t xml:space="preserve">$ 4.16 </w:t>
            </w:r>
          </w:p>
        </w:tc>
        <w:tc>
          <w:tcPr>
            <w:tcW w:w="1666" w:type="dxa"/>
            <w:tcBorders/>
            <w:shd w:fill="E7E7E2" w:val="clear"/>
            <w:vAlign w:val="center"/>
          </w:tcPr>
          <w:p>
            <w:pPr>
              <w:pStyle w:val="TableContents"/>
              <w:bidi w:val="0"/>
              <w:spacing w:before="0" w:after="283"/>
              <w:jc w:val="right"/>
              <w:rPr/>
            </w:pPr>
            <w:r>
              <w:rPr/>
              <w:t xml:space="preserve">$ 66,976,000.00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$ 5,826.91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$ 66,976,000.00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$ 5,826.91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3" w:name="TotalPreviouslyPaidAmt"/>
            <w:bookmarkEnd w:id="1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4" w:name="TotalOffsetAmt"/>
            <w:bookmarkEnd w:id="1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5" w:name="NetFeeAmt"/>
            <w:bookmarkEnd w:id="15"/>
            <w:r>
              <w:rPr/>
              <w:t xml:space="preserve">$ 5,826.91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5"/>
        <w:gridCol w:w="8709"/>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This registration statement registers the resale of shares of common stock by the selling stockholders pursuant to the prospectus contained herein. Pursuant to Rule 416(a) promulgated under the Securities Act of 1933, as amended (the "Securities Act"), this registration statement shall also cover any additional shares of common stock, par value $0.01 per share ("Common Stock") of NN, Inc. that become issuable by reason of any stock dividend, stock split, recapitalization or other similar transaction with respect to the shares of Common Stock being registered pursuant to this registration statement. The proposed maximum offering price per share of Common Stock is estimated in accordance with Rule 457(c) promulgated under the Securities Act solely for the purpose of calculating the registration fee and is based upon a per share price of $4.16, which is the average of the high and low prices per share of the Common Stock on October 6, 2026, as reported on The Nasdaq Global Select Market.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918541/000091854126000105/nnbr-20261001.htm" TargetMode="External"/><Relationship Id="rId4" Type="http://schemas.openxmlformats.org/officeDocument/2006/relationships/hyperlink" Target="https://www.sec.gov/ix?doc=/Archives/edgar/data/918541/000091854126000006/nnbr-20251231.htm" TargetMode="External"/><Relationship Id="rId5" Type="http://schemas.openxmlformats.org/officeDocument/2006/relationships/hyperlink" Target="https://www.sec.gov/ix?doc=/Archives/edgar/data/918541/000091854126000026/nnbr-20260406.htm" TargetMode="External"/><Relationship Id="rId6" Type="http://schemas.openxmlformats.org/officeDocument/2006/relationships/hyperlink" Target="https://www.sec.gov/ix?doc=/Archives/edgar/data/918541/000091854126000033/nnbr-20260331.htm" TargetMode="External"/><Relationship Id="rId7" Type="http://schemas.openxmlformats.org/officeDocument/2006/relationships/hyperlink" Target="https://www.sec.gov/ix?doc=/Archives/edgar/data/0000918541/000091854126000064/nnbr-20260630.htm" TargetMode="External"/><Relationship Id="rId8" Type="http://schemas.openxmlformats.org/officeDocument/2006/relationships/hyperlink" Target="https://www.sec.gov/ix?doc=/Archives/edgar/data/918541/000110465926004834/tm263328d1_8k.htm" TargetMode="External"/><Relationship Id="rId9" Type="http://schemas.openxmlformats.org/officeDocument/2006/relationships/hyperlink" Target="https://www.sec.gov/ix?doc=/Archives/edgar/data/918541/000110465926008723/tm264468d1_8k.htm" TargetMode="External"/><Relationship Id="rId10" Type="http://schemas.openxmlformats.org/officeDocument/2006/relationships/hyperlink" Target="https://www.sec.gov/ix?doc=/Archives/edgar/data/918541/000091854126000046/nnbr-20260520.htm" TargetMode="External"/><Relationship Id="rId11" Type="http://schemas.openxmlformats.org/officeDocument/2006/relationships/hyperlink" Target="https://www.sec.gov/ix?doc=/Archives/edgar/data/918541/000091854126000046/nnbr-20260520.htm" TargetMode="External"/><Relationship Id="rId12" Type="http://schemas.openxmlformats.org/officeDocument/2006/relationships/hyperlink" Target="https://www.sec.gov/ix?doc=/Archives/edgar/data/918541/000110465926073458/tm2617739d1_8k.htm" TargetMode="External"/><Relationship Id="rId13" Type="http://schemas.openxmlformats.org/officeDocument/2006/relationships/hyperlink" Target="https://www.sec.gov/ix?doc=/Archives/edgar/data/918541/000110465926079868/tm2615004d6_8k.htm" TargetMode="External"/><Relationship Id="rId14" Type="http://schemas.openxmlformats.org/officeDocument/2006/relationships/hyperlink" Target="https://www.sec.gov/ix?doc=/Archives/edgar/data/918541/000110465926079868/tm2615004d6_8k.htm" TargetMode="External"/><Relationship Id="rId15" Type="http://schemas.openxmlformats.org/officeDocument/2006/relationships/hyperlink" Target="https://www.sec.gov/ix?doc=/Archives/edgar/data/0000918541/000110465926079868/tm2615004d6_8k.htm" TargetMode="External"/><Relationship Id="rId16" Type="http://schemas.openxmlformats.org/officeDocument/2006/relationships/hyperlink" Target="https://www.sec.gov/ix?doc=/Archives/edgar/data/0000918541/000110465926086257/tm2621157d1_8k.htm" TargetMode="External"/><Relationship Id="rId17" Type="http://schemas.openxmlformats.org/officeDocument/2006/relationships/hyperlink" Target="https://www.sec.gov/ix?doc=/Archives/edgar/data/0000918541/000091854126000054/nnbr-20260723.htm" TargetMode="External"/><Relationship Id="rId18" Type="http://schemas.openxmlformats.org/officeDocument/2006/relationships/hyperlink" Target="https://www.sec.gov/ix?doc=/Archives/edgar/data/0000918541/000091854126000054/nnbr-20260723.htm" TargetMode="External"/><Relationship Id="rId19" Type="http://schemas.openxmlformats.org/officeDocument/2006/relationships/hyperlink" Target="https://www.sec.gov/ix?doc=/Archives/edgar/data/0000918541/000091854126000054/nnbr-20260723.htm" TargetMode="External"/><Relationship Id="rId20" Type="http://schemas.openxmlformats.org/officeDocument/2006/relationships/hyperlink" Target="https://www.sec.gov/ix?doc=/Archives/edgar/data/0000918541/000091854126000057/nnbr-20260729.htm" TargetMode="External"/><Relationship Id="rId21" Type="http://schemas.openxmlformats.org/officeDocument/2006/relationships/hyperlink" Target="https://www.sec.gov/ix?doc=/Archives/edgar/data/0000918541/000091854126000057/nnbr-20260729.htm" TargetMode="External"/><Relationship Id="rId22" Type="http://schemas.openxmlformats.org/officeDocument/2006/relationships/hyperlink" Target="https://www.sec.gov/ix?doc=/Archives/edgar/data/0000918541/000091854126000072/nnbr-20260820.htm" TargetMode="External"/><Relationship Id="rId23" Type="http://schemas.openxmlformats.org/officeDocument/2006/relationships/hyperlink" Target="https://www.sec.gov/ix?doc=/Archives/edgar/data/0000918541/000091854126000072/nnbr-20260820.htm" TargetMode="External"/><Relationship Id="rId24" Type="http://schemas.openxmlformats.org/officeDocument/2006/relationships/hyperlink" Target="https://www.sec.gov/ix?doc=/Archives/edgar/data/0000918541/000091854126000072/nnbr-20260820.htm" TargetMode="External"/><Relationship Id="rId25" Type="http://schemas.openxmlformats.org/officeDocument/2006/relationships/hyperlink" Target="https://www.sec.gov/ix?doc=/Archives/edgar/data/0000918541/000091854126000105/nnbr-20261001.htm" TargetMode="External"/><Relationship Id="rId26" Type="http://schemas.openxmlformats.org/officeDocument/2006/relationships/hyperlink" Target="https://www.sec.gov/ix?doc=/Archives/edgar/data/0000918541/000091854126000107/nnbr-20261007.htm" TargetMode="External"/><Relationship Id="rId27" Type="http://schemas.openxmlformats.org/officeDocument/2006/relationships/hyperlink" Target="https://www.sec.gov/Archives/edgar/data/918541/000091854121000003/q42020ex45.htm" TargetMode="External"/><Relationship Id="rId28" Type="http://schemas.openxmlformats.org/officeDocument/2006/relationships/hyperlink" Target="https://www.sec.gov/ix?doc=/Archives/edgar/data/918541/000091854121000003/nnbr-20201231.htm" TargetMode="External"/><Relationship Id="rId29" Type="http://schemas.openxmlformats.org/officeDocument/2006/relationships/hyperlink" Target="https://www.sec.gov/Archives/edgar/data/918541/000091854126000100/nn-restatedcharter.htm" TargetMode="External"/><Relationship Id="rId30" Type="http://schemas.openxmlformats.org/officeDocument/2006/relationships/hyperlink" Target="https://www.sec.gov/Archives/edgar/data/918541/000091854123000004/amendedandrestatedbylaws20.htm" TargetMode="External"/><Relationship Id="rId31" Type="http://schemas.openxmlformats.org/officeDocument/2006/relationships/hyperlink" Target="https://www.sec.gov/Archives/edgar/data/918541/000110465926079868/tm2615004d6_ex10-1.htm" TargetMode="External"/><Relationship Id="rId32" Type="http://schemas.openxmlformats.org/officeDocument/2006/relationships/hyperlink" Target="https://www.sec.gov/Archives/edgar/data/918541/000110465926079868/tm2615004d6_ex10-2.htm" TargetMode="External"/><Relationship Id="rId33" Type="http://schemas.openxmlformats.org/officeDocument/2006/relationships/hyperlink" Target="https://www.sec.gov/Archives/edgar/data/918541/000091854126000105/formofpre-fundedwarrants.htm" TargetMode="External"/><Relationship Id="rId34" Type="http://schemas.openxmlformats.org/officeDocument/2006/relationships/image" Target="media/image2.png"/><Relationship Id="rId35" Type="http://schemas.openxmlformats.org/officeDocument/2006/relationships/image" Target="media/image2.pn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13785</Words>
  <Characters>74928</Characters>
  <CharactersWithSpaces>88736</CharactersWithSpaces>
  <Paragraphs>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