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559"/>
        <w:spacing w:after="0"/>
        <w:rPr>
          <w:sz w:val="20"/>
          <w:szCs w:val="20"/>
          <w:color w:val="auto"/>
        </w:rPr>
      </w:pPr>
      <w:r>
        <w:rPr>
          <w:rFonts w:ascii="Arial" w:cs="Arial" w:eastAsia="Arial" w:hAnsi="Arial"/>
          <w:sz w:val="22"/>
          <w:szCs w:val="22"/>
          <w:color w:val="auto"/>
        </w:rPr>
        <w:t>UNITED STATES</w:t>
      </w:r>
    </w:p>
    <w:p>
      <w:pPr>
        <w:jc w:val="center"/>
        <w:ind w:right="-55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55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56" w:lineRule="exact"/>
        <w:rPr>
          <w:sz w:val="24"/>
          <w:szCs w:val="24"/>
          <w:color w:val="auto"/>
        </w:rPr>
      </w:pPr>
    </w:p>
    <w:p>
      <w:pPr>
        <w:ind w:left="5040"/>
        <w:spacing w:after="0"/>
        <w:rPr>
          <w:sz w:val="20"/>
          <w:szCs w:val="20"/>
          <w:color w:val="auto"/>
        </w:rPr>
      </w:pPr>
      <w:r>
        <w:rPr>
          <w:rFonts w:ascii="Arial" w:cs="Arial" w:eastAsia="Arial" w:hAnsi="Arial"/>
          <w:sz w:val="29"/>
          <w:szCs w:val="29"/>
          <w:color w:val="auto"/>
        </w:rPr>
        <w:t>FORM 8-K</w:t>
      </w:r>
    </w:p>
    <w:p>
      <w:pPr>
        <w:spacing w:after="0" w:line="200" w:lineRule="exact"/>
        <w:rPr>
          <w:sz w:val="24"/>
          <w:szCs w:val="24"/>
          <w:color w:val="auto"/>
        </w:rPr>
      </w:pPr>
    </w:p>
    <w:p>
      <w:pPr>
        <w:spacing w:after="0" w:line="300" w:lineRule="exact"/>
        <w:rPr>
          <w:sz w:val="24"/>
          <w:szCs w:val="24"/>
          <w:color w:val="auto"/>
        </w:rPr>
      </w:pPr>
    </w:p>
    <w:p>
      <w:pPr>
        <w:ind w:left="4940"/>
        <w:spacing w:after="0"/>
        <w:rPr>
          <w:sz w:val="20"/>
          <w:szCs w:val="20"/>
          <w:color w:val="auto"/>
        </w:rPr>
      </w:pPr>
      <w:r>
        <w:rPr>
          <w:rFonts w:ascii="Arial" w:cs="Arial" w:eastAsia="Arial" w:hAnsi="Arial"/>
          <w:sz w:val="18"/>
          <w:szCs w:val="18"/>
          <w:color w:val="auto"/>
        </w:rPr>
        <w:t>CURRENT REPORT</w:t>
      </w:r>
    </w:p>
    <w:p>
      <w:pPr>
        <w:spacing w:after="0" w:line="200" w:lineRule="exact"/>
        <w:rPr>
          <w:sz w:val="24"/>
          <w:szCs w:val="24"/>
          <w:color w:val="auto"/>
        </w:rPr>
      </w:pPr>
    </w:p>
    <w:p>
      <w:pPr>
        <w:spacing w:after="0" w:line="288" w:lineRule="exact"/>
        <w:rPr>
          <w:sz w:val="24"/>
          <w:szCs w:val="24"/>
          <w:color w:val="auto"/>
        </w:rPr>
      </w:pPr>
    </w:p>
    <w:p>
      <w:pPr>
        <w:ind w:left="1600"/>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Date of Report (Date of earliest event reported): January 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323850</wp:posOffset>
            </wp:positionV>
            <wp:extent cx="565785" cy="5575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ind w:left="5060"/>
        <w:spacing w:after="0"/>
        <w:rPr>
          <w:sz w:val="20"/>
          <w:szCs w:val="20"/>
          <w:color w:val="auto"/>
        </w:rPr>
      </w:pPr>
      <w:r>
        <w:rPr>
          <w:rFonts w:ascii="Arial" w:cs="Arial" w:eastAsia="Arial" w:hAnsi="Arial"/>
          <w:sz w:val="32"/>
          <w:szCs w:val="32"/>
          <w:b w:val="1"/>
          <w:bCs w:val="1"/>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tbl>
      <w:tblPr>
        <w:tblLayout w:type="fixed"/>
        <w:tblInd w:w="124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p>
        </w:tc>
        <w:tc>
          <w:tcPr>
            <w:tcW w:w="6220" w:type="dxa"/>
            <w:vAlign w:val="bottom"/>
            <w:gridSpan w:val="2"/>
          </w:tcPr>
          <w:p>
            <w:pPr>
              <w:jc w:val="center"/>
              <w:ind w:right="2250"/>
              <w:spacing w:after="0"/>
              <w:rPr>
                <w:sz w:val="20"/>
                <w:szCs w:val="20"/>
                <w:color w:val="auto"/>
              </w:rPr>
            </w:pPr>
            <w:r>
              <w:rPr>
                <w:rFonts w:ascii="Arial" w:cs="Arial" w:eastAsia="Arial" w:hAnsi="Arial"/>
                <w:sz w:val="18"/>
                <w:szCs w:val="18"/>
                <w:color w:val="auto"/>
                <w:w w:val="90"/>
              </w:rPr>
              <w:t>(Exact name of registrant as specified in its charter)</w:t>
            </w:r>
          </w:p>
        </w:tc>
        <w:tc>
          <w:tcPr>
            <w:tcW w:w="0" w:type="dxa"/>
            <w:vAlign w:val="bottom"/>
          </w:tcPr>
          <w:p>
            <w:pPr>
              <w:spacing w:after="0"/>
              <w:rPr>
                <w:sz w:val="1"/>
                <w:szCs w:val="1"/>
                <w:color w:val="auto"/>
              </w:rPr>
            </w:pPr>
          </w:p>
        </w:tc>
      </w:tr>
      <w:tr>
        <w:trPr>
          <w:trHeight w:val="445"/>
        </w:trPr>
        <w:tc>
          <w:tcPr>
            <w:tcW w:w="2540" w:type="dxa"/>
            <w:vAlign w:val="bottom"/>
          </w:tcPr>
          <w:p>
            <w:pPr>
              <w:jc w:val="center"/>
              <w:ind w:left="230"/>
              <w:spacing w:after="0"/>
              <w:rPr>
                <w:sz w:val="20"/>
                <w:szCs w:val="20"/>
                <w:color w:val="auto"/>
              </w:rPr>
            </w:pPr>
            <w:r>
              <w:rPr>
                <w:rFonts w:ascii="Arial" w:cs="Arial" w:eastAsia="Arial" w:hAnsi="Arial"/>
                <w:sz w:val="18"/>
                <w:szCs w:val="18"/>
                <w:color w:val="auto"/>
                <w:w w:val="92"/>
              </w:rPr>
              <w:t>Delaware</w:t>
            </w:r>
          </w:p>
        </w:tc>
        <w:tc>
          <w:tcPr>
            <w:tcW w:w="3320" w:type="dxa"/>
            <w:vAlign w:val="bottom"/>
          </w:tcPr>
          <w:p>
            <w:pPr>
              <w:jc w:val="center"/>
              <w:ind w:left="430"/>
              <w:spacing w:after="0"/>
              <w:rPr>
                <w:sz w:val="20"/>
                <w:szCs w:val="20"/>
                <w:color w:val="auto"/>
              </w:rPr>
            </w:pPr>
            <w:r>
              <w:rPr>
                <w:rFonts w:ascii="Arial" w:cs="Arial" w:eastAsia="Arial" w:hAnsi="Arial"/>
                <w:sz w:val="18"/>
                <w:szCs w:val="18"/>
                <w:color w:val="auto"/>
                <w:w w:val="90"/>
              </w:rPr>
              <w:t>0-23486</w:t>
            </w:r>
          </w:p>
        </w:tc>
        <w:tc>
          <w:tcPr>
            <w:tcW w:w="2900" w:type="dxa"/>
            <w:vAlign w:val="bottom"/>
          </w:tcPr>
          <w:p>
            <w:pPr>
              <w:jc w:val="right"/>
              <w:ind w:right="730"/>
              <w:spacing w:after="0"/>
              <w:rPr>
                <w:sz w:val="20"/>
                <w:szCs w:val="20"/>
                <w:color w:val="auto"/>
              </w:rPr>
            </w:pPr>
            <w:r>
              <w:rPr>
                <w:rFonts w:ascii="Arial" w:cs="Arial" w:eastAsia="Arial" w:hAnsi="Arial"/>
                <w:sz w:val="18"/>
                <w:szCs w:val="18"/>
                <w:color w:val="auto"/>
              </w:rPr>
              <w:t>62-1096725</w:t>
            </w:r>
          </w:p>
        </w:tc>
        <w:tc>
          <w:tcPr>
            <w:tcW w:w="0" w:type="dxa"/>
            <w:vAlign w:val="bottom"/>
          </w:tcPr>
          <w:p>
            <w:pPr>
              <w:spacing w:after="0"/>
              <w:rPr>
                <w:sz w:val="1"/>
                <w:szCs w:val="1"/>
                <w:color w:val="auto"/>
              </w:rPr>
            </w:pPr>
          </w:p>
        </w:tc>
      </w:tr>
      <w:tr>
        <w:trPr>
          <w:trHeight w:val="216"/>
        </w:trPr>
        <w:tc>
          <w:tcPr>
            <w:tcW w:w="2540" w:type="dxa"/>
            <w:vAlign w:val="bottom"/>
          </w:tcPr>
          <w:p>
            <w:pPr>
              <w:jc w:val="center"/>
              <w:ind w:left="230"/>
              <w:spacing w:after="0"/>
              <w:rPr>
                <w:sz w:val="20"/>
                <w:szCs w:val="20"/>
                <w:color w:val="auto"/>
              </w:rPr>
            </w:pPr>
            <w:r>
              <w:rPr>
                <w:rFonts w:ascii="Arial" w:cs="Arial" w:eastAsia="Arial" w:hAnsi="Arial"/>
                <w:sz w:val="18"/>
                <w:szCs w:val="18"/>
                <w:color w:val="auto"/>
                <w:w w:val="93"/>
              </w:rPr>
              <w:t>(State or other jurisdiction of</w:t>
            </w:r>
          </w:p>
        </w:tc>
        <w:tc>
          <w:tcPr>
            <w:tcW w:w="3320" w:type="dxa"/>
            <w:vAlign w:val="bottom"/>
            <w:vMerge w:val="restart"/>
          </w:tcPr>
          <w:p>
            <w:pPr>
              <w:jc w:val="center"/>
              <w:ind w:left="450"/>
              <w:spacing w:after="0"/>
              <w:rPr>
                <w:sz w:val="20"/>
                <w:szCs w:val="20"/>
                <w:color w:val="auto"/>
              </w:rPr>
            </w:pPr>
            <w:r>
              <w:rPr>
                <w:rFonts w:ascii="Arial" w:cs="Arial" w:eastAsia="Arial" w:hAnsi="Arial"/>
                <w:sz w:val="18"/>
                <w:szCs w:val="18"/>
                <w:color w:val="auto"/>
                <w:w w:val="92"/>
              </w:rPr>
              <w:t>(Commission File Number)</w:t>
            </w:r>
          </w:p>
        </w:tc>
        <w:tc>
          <w:tcPr>
            <w:tcW w:w="2900" w:type="dxa"/>
            <w:vAlign w:val="bottom"/>
            <w:vMerge w:val="restart"/>
          </w:tcPr>
          <w:p>
            <w:pPr>
              <w:jc w:val="center"/>
              <w:ind w:left="33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122"/>
        </w:trPr>
        <w:tc>
          <w:tcPr>
            <w:tcW w:w="2540" w:type="dxa"/>
            <w:vAlign w:val="bottom"/>
            <w:vMerge w:val="restart"/>
          </w:tcPr>
          <w:p>
            <w:pPr>
              <w:jc w:val="center"/>
              <w:ind w:left="230"/>
              <w:spacing w:after="0"/>
              <w:rPr>
                <w:sz w:val="20"/>
                <w:szCs w:val="20"/>
                <w:color w:val="auto"/>
              </w:rPr>
            </w:pPr>
            <w:r>
              <w:rPr>
                <w:rFonts w:ascii="Arial" w:cs="Arial" w:eastAsia="Arial" w:hAnsi="Arial"/>
                <w:sz w:val="18"/>
                <w:szCs w:val="18"/>
                <w:color w:val="auto"/>
                <w:w w:val="92"/>
              </w:rPr>
              <w:t>incorporation)</w:t>
            </w:r>
          </w:p>
        </w:tc>
        <w:tc>
          <w:tcPr>
            <w:tcW w:w="3320" w:type="dxa"/>
            <w:vAlign w:val="bottom"/>
            <w:vMerge w:val="continue"/>
          </w:tcPr>
          <w:p>
            <w:pPr>
              <w:spacing w:after="0"/>
              <w:rPr>
                <w:sz w:val="10"/>
                <w:szCs w:val="10"/>
                <w:color w:val="auto"/>
              </w:rPr>
            </w:pPr>
          </w:p>
        </w:tc>
        <w:tc>
          <w:tcPr>
            <w:tcW w:w="2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40" w:type="dxa"/>
            <w:vAlign w:val="bottom"/>
            <w:vMerge w:val="continue"/>
          </w:tcPr>
          <w:p>
            <w:pPr>
              <w:spacing w:after="0"/>
              <w:rPr>
                <w:sz w:val="9"/>
                <w:szCs w:val="9"/>
                <w:color w:val="auto"/>
              </w:rPr>
            </w:pPr>
          </w:p>
        </w:tc>
        <w:tc>
          <w:tcPr>
            <w:tcW w:w="33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540" w:type="dxa"/>
            <w:vAlign w:val="bottom"/>
          </w:tcPr>
          <w:p>
            <w:pPr>
              <w:jc w:val="center"/>
              <w:ind w:left="230"/>
              <w:spacing w:after="0"/>
              <w:rPr>
                <w:sz w:val="20"/>
                <w:szCs w:val="20"/>
                <w:color w:val="auto"/>
              </w:rPr>
            </w:pPr>
            <w:r>
              <w:rPr>
                <w:rFonts w:ascii="Arial" w:cs="Arial" w:eastAsia="Arial" w:hAnsi="Arial"/>
                <w:sz w:val="18"/>
                <w:szCs w:val="18"/>
                <w:color w:val="auto"/>
                <w:w w:val="90"/>
              </w:rPr>
              <w:t>2000 Waters Edge Drive</w:t>
            </w:r>
          </w:p>
        </w:tc>
        <w:tc>
          <w:tcPr>
            <w:tcW w:w="33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jc w:val="center"/>
              <w:ind w:left="210"/>
              <w:spacing w:after="0"/>
              <w:rPr>
                <w:sz w:val="20"/>
                <w:szCs w:val="20"/>
                <w:color w:val="auto"/>
              </w:rPr>
            </w:pPr>
            <w:r>
              <w:rPr>
                <w:rFonts w:ascii="Arial" w:cs="Arial" w:eastAsia="Arial" w:hAnsi="Arial"/>
                <w:sz w:val="18"/>
                <w:szCs w:val="18"/>
                <w:color w:val="auto"/>
                <w:w w:val="86"/>
              </w:rPr>
              <w:t>Johnson City, Tennessee</w:t>
            </w:r>
          </w:p>
        </w:tc>
        <w:tc>
          <w:tcPr>
            <w:tcW w:w="3320" w:type="dxa"/>
            <w:vAlign w:val="bottom"/>
          </w:tcPr>
          <w:p>
            <w:pPr>
              <w:spacing w:after="0"/>
              <w:rPr>
                <w:sz w:val="18"/>
                <w:szCs w:val="18"/>
                <w:color w:val="auto"/>
              </w:rPr>
            </w:pPr>
          </w:p>
        </w:tc>
        <w:tc>
          <w:tcPr>
            <w:tcW w:w="2900" w:type="dxa"/>
            <w:vAlign w:val="bottom"/>
          </w:tcPr>
          <w:p>
            <w:pPr>
              <w:jc w:val="right"/>
              <w:ind w:right="930"/>
              <w:spacing w:after="0"/>
              <w:rPr>
                <w:sz w:val="20"/>
                <w:szCs w:val="20"/>
                <w:color w:val="auto"/>
              </w:rPr>
            </w:pPr>
            <w:r>
              <w:rPr>
                <w:rFonts w:ascii="Arial" w:cs="Arial" w:eastAsia="Arial" w:hAnsi="Arial"/>
                <w:sz w:val="18"/>
                <w:szCs w:val="18"/>
                <w:color w:val="auto"/>
              </w:rPr>
              <w:t>37604</w:t>
            </w:r>
          </w:p>
        </w:tc>
        <w:tc>
          <w:tcPr>
            <w:tcW w:w="0" w:type="dxa"/>
            <w:vAlign w:val="bottom"/>
          </w:tcPr>
          <w:p>
            <w:pPr>
              <w:spacing w:after="0"/>
              <w:rPr>
                <w:sz w:val="1"/>
                <w:szCs w:val="1"/>
                <w:color w:val="auto"/>
              </w:rPr>
            </w:pPr>
          </w:p>
        </w:tc>
      </w:tr>
      <w:tr>
        <w:trPr>
          <w:trHeight w:val="230"/>
        </w:trPr>
        <w:tc>
          <w:tcPr>
            <w:tcW w:w="5860" w:type="dxa"/>
            <w:vAlign w:val="bottom"/>
            <w:gridSpan w:val="2"/>
          </w:tcPr>
          <w:p>
            <w:pPr>
              <w:jc w:val="center"/>
              <w:ind w:right="291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33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(423)743-9151</w:t>
      </w:r>
    </w:p>
    <w:p>
      <w:pPr>
        <w:spacing w:after="0" w:line="200" w:lineRule="exact"/>
        <w:rPr>
          <w:sz w:val="24"/>
          <w:szCs w:val="24"/>
          <w:color w:val="auto"/>
        </w:rPr>
      </w:pPr>
    </w:p>
    <w:p>
      <w:pPr>
        <w:spacing w:after="0" w:line="29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(17CFT 230.425)</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(17CFT 240.14a-12)</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(17CFT 240.14d-2(b))</w:t>
      </w: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13c-4(c) under the Exchange Act (17CFT 240.13c-4(c))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553085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0860"/>
          </w:cols>
          <w:pgMar w:left="240" w:top="1440" w:right="7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Published as Exhibit 99.1 is NN Inc.'s press release dated January 7, 2010 announcing the closure of its manufacturing facility in Tempe, Arizona.</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following exhibit is furnished pursuant to Item 8.01, is not considered "filed" under the Securities Exchange Act of 1934, as amended, and shall not be incorporated by reference into any of the previous or future filings of NN, Inc. under the Securities Act of 1933, as amended, or the Exchange Act.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Number Description of Exhibit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of NN, Inc. dated January 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94" w:right="25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color w:val="auto"/>
        </w:rPr>
        <w:t>SIGNATURES</w:t>
      </w:r>
    </w:p>
    <w:p>
      <w:pPr>
        <w:spacing w:after="0" w:line="200" w:lineRule="exact"/>
        <w:rPr>
          <w:sz w:val="20"/>
          <w:szCs w:val="20"/>
          <w:color w:val="auto"/>
        </w:rPr>
      </w:pP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NN, INC.</w:t>
      </w:r>
    </w:p>
    <w:p>
      <w:pPr>
        <w:spacing w:after="0" w:line="225"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 January 7, 2010</w:t>
      </w:r>
      <w:r>
        <w:rPr>
          <w:sz w:val="20"/>
          <w:szCs w:val="20"/>
          <w:color w:val="auto"/>
        </w:rPr>
        <w:tab/>
      </w:r>
      <w:r>
        <w:rPr>
          <w:rFonts w:ascii="Arial" w:cs="Arial" w:eastAsia="Arial" w:hAnsi="Arial"/>
          <w:sz w:val="17"/>
          <w:szCs w:val="17"/>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 : William C. Kelly, Jr.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 : Vice President and Chief Administrative Officer</w:t>
      </w:r>
    </w:p>
    <w:p>
      <w:pPr>
        <w:sectPr>
          <w:pgSz w:w="11900" w:h="16838" w:orient="portrait"/>
          <w:cols w:equalWidth="0" w:num="1">
            <w:col w:w="11220"/>
          </w:cols>
          <w:pgMar w:left="240" w:top="854" w:right="439" w:bottom="1440" w:gutter="0" w:footer="0" w:header="0"/>
        </w:sectPr>
      </w:pPr>
    </w:p>
    <w:bookmarkStart w:id="4" w:name="page5"/>
    <w:bookmarkEnd w:id="4"/>
    <w:p>
      <w:pPr>
        <w:ind w:left="8860"/>
        <w:spacing w:after="0"/>
        <w:rPr>
          <w:sz w:val="20"/>
          <w:szCs w:val="20"/>
          <w:color w:val="auto"/>
        </w:rPr>
      </w:pPr>
      <w:r>
        <w:rPr>
          <w:rFonts w:ascii="Arial" w:cs="Arial" w:eastAsia="Arial" w:hAnsi="Arial"/>
          <w:sz w:val="22"/>
          <w:szCs w:val="22"/>
          <w:b w:val="1"/>
          <w:bCs w:val="1"/>
          <w:color w:val="auto"/>
        </w:rPr>
        <w:t>EXHIBIT 99.1</w:t>
      </w:r>
    </w:p>
    <w:p>
      <w:pPr>
        <w:sectPr>
          <w:pgSz w:w="11900" w:h="16838" w:orient="portrait"/>
          <w:cols w:equalWidth="0" w:num="1">
            <w:col w:w="10220"/>
          </w:cols>
          <w:pgMar w:left="1440" w:top="112"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5208905</wp:posOffset>
            </wp:positionH>
            <wp:positionV relativeFrom="page">
              <wp:posOffset>88900</wp:posOffset>
            </wp:positionV>
            <wp:extent cx="2195195" cy="6089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95195" cy="60896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852170</wp:posOffset>
            </wp:positionV>
            <wp:extent cx="2084070"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08407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520"/>
        <w:spacing w:after="0"/>
        <w:rPr>
          <w:sz w:val="20"/>
          <w:szCs w:val="20"/>
          <w:color w:val="auto"/>
        </w:rPr>
      </w:pPr>
      <w:r>
        <w:rPr>
          <w:rFonts w:ascii="Arial" w:cs="Arial" w:eastAsia="Arial" w:hAnsi="Arial"/>
          <w:sz w:val="18"/>
          <w:szCs w:val="18"/>
          <w:color w:val="auto"/>
        </w:rPr>
        <w:t>RE: NN, Inc.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 Waters Edge Drive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Johnson City, TN 37604</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gridSpan w:val="3"/>
          </w:tcPr>
          <w:p>
            <w:pPr>
              <w:spacing w:after="0"/>
              <w:rPr>
                <w:sz w:val="20"/>
                <w:szCs w:val="20"/>
                <w:color w:val="auto"/>
              </w:rPr>
            </w:pPr>
            <w:r>
              <w:rPr>
                <w:rFonts w:ascii="Arial" w:cs="Arial" w:eastAsia="Arial" w:hAnsi="Arial"/>
                <w:sz w:val="18"/>
                <w:szCs w:val="18"/>
                <w:color w:val="auto"/>
              </w:rPr>
              <w:t>FOR FURTHER INFORMATION:</w:t>
            </w:r>
          </w:p>
        </w:tc>
        <w:tc>
          <w:tcPr>
            <w:tcW w:w="112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19"/>
        </w:trPr>
        <w:tc>
          <w:tcPr>
            <w:tcW w:w="6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AT THE COMPANY</w:t>
            </w:r>
          </w:p>
        </w:tc>
        <w:tc>
          <w:tcPr>
            <w:tcW w:w="4220" w:type="dxa"/>
            <w:vAlign w:val="bottom"/>
            <w:gridSpan w:val="2"/>
          </w:tcPr>
          <w:p>
            <w:pPr>
              <w:ind w:left="1120"/>
              <w:spacing w:after="0"/>
              <w:rPr>
                <w:sz w:val="20"/>
                <w:szCs w:val="20"/>
                <w:color w:val="auto"/>
              </w:rPr>
            </w:pPr>
            <w:r>
              <w:rPr>
                <w:rFonts w:ascii="Arial" w:cs="Arial" w:eastAsia="Arial" w:hAnsi="Arial"/>
                <w:sz w:val="18"/>
                <w:szCs w:val="18"/>
                <w:b w:val="1"/>
                <w:bCs w:val="1"/>
                <w:color w:val="auto"/>
              </w:rPr>
              <w:t>AT FINANCIAL RELATIONS BOARD</w:t>
            </w:r>
          </w:p>
        </w:tc>
      </w:tr>
      <w:tr>
        <w:trPr>
          <w:trHeight w:val="20"/>
        </w:trPr>
        <w:tc>
          <w:tcPr>
            <w:tcW w:w="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r>
      <w:tr>
        <w:trPr>
          <w:trHeight w:val="222"/>
        </w:trPr>
        <w:tc>
          <w:tcPr>
            <w:tcW w:w="4640" w:type="dxa"/>
            <w:vAlign w:val="bottom"/>
            <w:gridSpan w:val="3"/>
          </w:tcPr>
          <w:p>
            <w:pPr>
              <w:ind w:left="40"/>
              <w:spacing w:after="0"/>
              <w:rPr>
                <w:sz w:val="20"/>
                <w:szCs w:val="20"/>
                <w:color w:val="auto"/>
              </w:rPr>
            </w:pPr>
            <w:r>
              <w:rPr>
                <w:rFonts w:ascii="Arial" w:cs="Arial" w:eastAsia="Arial" w:hAnsi="Arial"/>
                <w:sz w:val="18"/>
                <w:szCs w:val="18"/>
                <w:color w:val="auto"/>
              </w:rPr>
              <w:t>Will Kelly</w:t>
            </w:r>
          </w:p>
        </w:tc>
        <w:tc>
          <w:tcPr>
            <w:tcW w:w="11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Marilynn Meek</w:t>
            </w:r>
          </w:p>
        </w:tc>
      </w:tr>
      <w:tr>
        <w:trPr>
          <w:trHeight w:val="216"/>
        </w:trPr>
        <w:tc>
          <w:tcPr>
            <w:tcW w:w="4640" w:type="dxa"/>
            <w:vAlign w:val="bottom"/>
            <w:gridSpan w:val="3"/>
          </w:tcPr>
          <w:p>
            <w:pPr>
              <w:ind w:left="40"/>
              <w:spacing w:after="0"/>
              <w:rPr>
                <w:sz w:val="20"/>
                <w:szCs w:val="20"/>
                <w:color w:val="auto"/>
              </w:rPr>
            </w:pPr>
            <w:r>
              <w:rPr>
                <w:rFonts w:ascii="Arial" w:cs="Arial" w:eastAsia="Arial" w:hAnsi="Arial"/>
                <w:sz w:val="18"/>
                <w:szCs w:val="18"/>
                <w:color w:val="auto"/>
              </w:rPr>
              <w:t>Vice President and Chief Administrative Officer</w:t>
            </w:r>
          </w:p>
        </w:tc>
        <w:tc>
          <w:tcPr>
            <w:tcW w:w="11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(General info)</w:t>
            </w:r>
          </w:p>
        </w:tc>
      </w:tr>
      <w:tr>
        <w:trPr>
          <w:trHeight w:val="230"/>
        </w:trPr>
        <w:tc>
          <w:tcPr>
            <w:tcW w:w="1680" w:type="dxa"/>
            <w:vAlign w:val="bottom"/>
            <w:gridSpan w:val="2"/>
          </w:tcPr>
          <w:p>
            <w:pPr>
              <w:ind w:left="60"/>
              <w:spacing w:after="0"/>
              <w:rPr>
                <w:sz w:val="20"/>
                <w:szCs w:val="20"/>
                <w:color w:val="auto"/>
              </w:rPr>
            </w:pPr>
            <w:r>
              <w:rPr>
                <w:rFonts w:ascii="Arial" w:cs="Arial" w:eastAsia="Arial" w:hAnsi="Arial"/>
                <w:sz w:val="18"/>
                <w:szCs w:val="18"/>
                <w:color w:val="auto"/>
              </w:rPr>
              <w:t>(423)743-9151</w:t>
            </w:r>
          </w:p>
        </w:tc>
        <w:tc>
          <w:tcPr>
            <w:tcW w:w="2960" w:type="dxa"/>
            <w:vAlign w:val="bottom"/>
          </w:tcPr>
          <w:p>
            <w:pPr>
              <w:spacing w:after="0"/>
              <w:rPr>
                <w:sz w:val="20"/>
                <w:szCs w:val="20"/>
                <w:color w:val="auto"/>
              </w:rPr>
            </w:pPr>
          </w:p>
        </w:tc>
        <w:tc>
          <w:tcPr>
            <w:tcW w:w="4220" w:type="dxa"/>
            <w:vAlign w:val="bottom"/>
            <w:gridSpan w:val="2"/>
          </w:tcPr>
          <w:p>
            <w:pPr>
              <w:ind w:left="1120"/>
              <w:spacing w:after="0"/>
              <w:rPr>
                <w:sz w:val="20"/>
                <w:szCs w:val="20"/>
                <w:color w:val="auto"/>
              </w:rPr>
            </w:pPr>
            <w:r>
              <w:rPr>
                <w:rFonts w:ascii="Arial" w:cs="Arial" w:eastAsia="Arial" w:hAnsi="Arial"/>
                <w:sz w:val="18"/>
                <w:szCs w:val="18"/>
                <w:color w:val="auto"/>
              </w:rPr>
              <w:t>(212)827-3773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January 7, 2010</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TO CLOSE TEMPE ARIZONA MANUFACTURING FACILITY; APPROXIMATELY 130 EMPLOYEES IMPACTED</w:t>
      </w:r>
    </w:p>
    <w:p>
      <w:pPr>
        <w:spacing w:after="0" w:line="25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Johnson City, Tenn., January 7, 2010 – NN, Inc. (Nasdaq: NNBR) </w:t>
      </w:r>
      <w:r>
        <w:rPr>
          <w:rFonts w:ascii="Arial" w:cs="Arial" w:eastAsia="Arial" w:hAnsi="Arial"/>
          <w:sz w:val="18"/>
          <w:szCs w:val="18"/>
          <w:color w:val="auto"/>
        </w:rPr>
        <w:t>today announced it will close its manufacturing facility located in Tempe, Arizona. The</w:t>
      </w:r>
      <w:r>
        <w:rPr>
          <w:rFonts w:ascii="Arial" w:cs="Arial" w:eastAsia="Arial" w:hAnsi="Arial"/>
          <w:sz w:val="18"/>
          <w:szCs w:val="18"/>
          <w:b w:val="1"/>
          <w:bCs w:val="1"/>
          <w:color w:val="auto"/>
        </w:rPr>
        <w:t xml:space="preserve"> </w:t>
      </w:r>
      <w:r>
        <w:rPr>
          <w:rFonts w:ascii="Arial" w:cs="Arial" w:eastAsia="Arial" w:hAnsi="Arial"/>
          <w:sz w:val="18"/>
          <w:szCs w:val="18"/>
          <w:color w:val="auto"/>
        </w:rPr>
        <w:t>Tempe facility which was acquired in the 2006 acquisition of Whirlaway Corporation had sales of approximately $12.0 million for calendar year 2009. Whirlaway produces a variety of high-precision metal components including fluid control components and assemblies, shafts and other precision metal parts. The closing will impact approximately 130 employees.</w:t>
      </w:r>
    </w:p>
    <w:p>
      <w:pPr>
        <w:spacing w:after="0" w:line="21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Roderick R. Baty, Chairman and Chief Executive Officer of NN, commented, “We are saddened to make this very difficult decision. However, current economic conditions coupled with the long-term manufacturing strategy for our Whirlaway business necessitate a consolidation of our manufacturing resources in Ohio. We anticipate a portion of the current production and products will be consolidated into our remaining two facilities in Wellington, Ohio. During this transition, we will work closely with our customers to ensure continuity in the supply of their products. We expect to incur cash charges of approximately $2.5 million in severance, equipment relocation and other closing costs during the first three quarters of 2010.”</w:t>
      </w:r>
    </w:p>
    <w:p>
      <w:pPr>
        <w:spacing w:after="0" w:line="20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Thomas G. Zupan, President of Whirlaway, said, “We deeply regret having to make this decision and acknowledge the impact this has on our outstanding employees in Tempe. For a limited period, we will provide ongoing support in the form of severance payments, continuation of benefits and assistance in outplacement efforts. I would like to thank these employees for their commitment and service to Whirlaway and NN and greatly appreciate their ongoing support during this time of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 w:name="page7"/>
    <w:bookmarkEnd w:id="6"/>
    <w:p>
      <w:pPr>
        <w:ind w:right="28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markets on a global basis. Headquartered in Johnson City, Tennessee, NN has 12 manufacturing plants in the United States, Western Europe, Eastern Europe and China. NN, Inc. had sales of US $425 million in 2008.</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2008.</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sectPr>
      <w:pgSz w:w="11900" w:h="16838" w:orient="portrait"/>
      <w:cols w:equalWidth="0" w:num="1">
        <w:col w:w="11400"/>
      </w:cols>
      <w:pgMar w:left="240" w:top="36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2019-12-10T12:29:28Z</dcterms:created>
  <dcterms:modified xsi:type="dcterms:W3CDTF">2019-12-10T12:29:28Z</dcterms:modified>
</cp:coreProperties>
</file>