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b w:val="1"/>
          <w:bCs w:val="1"/>
          <w:color w:val="auto"/>
        </w:rPr>
        <w:t>================================================================================</w:t>
      </w:r>
    </w:p>
    <w:p>
      <w:pPr>
        <w:spacing w:after="0" w:line="17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Washington, D.C. 20549</w:t>
      </w:r>
    </w:p>
    <w:p>
      <w:pPr>
        <w:spacing w:after="0" w:line="335" w:lineRule="exact"/>
        <w:rPr>
          <w:sz w:val="24"/>
          <w:szCs w:val="24"/>
          <w:color w:val="auto"/>
        </w:rPr>
      </w:pPr>
    </w:p>
    <w:p>
      <w:pPr>
        <w:ind w:left="3000"/>
        <w:spacing w:after="0"/>
        <w:rPr>
          <w:sz w:val="20"/>
          <w:szCs w:val="20"/>
          <w:color w:val="auto"/>
        </w:rPr>
      </w:pPr>
      <w:r>
        <w:rPr>
          <w:rFonts w:ascii="Courier New" w:cs="Courier New" w:eastAsia="Courier New" w:hAnsi="Courier New"/>
          <w:sz w:val="14"/>
          <w:szCs w:val="14"/>
          <w:b w:val="1"/>
          <w:bCs w:val="1"/>
          <w:color w:val="auto"/>
        </w:rPr>
        <w:t>FORM 10-Q/A</w:t>
      </w:r>
    </w:p>
    <w:p>
      <w:pPr>
        <w:spacing w:after="0" w:line="6" w:lineRule="exact"/>
        <w:rPr>
          <w:sz w:val="24"/>
          <w:szCs w:val="24"/>
          <w:color w:val="auto"/>
        </w:rPr>
      </w:pPr>
    </w:p>
    <w:p>
      <w:pPr>
        <w:ind w:left="2140"/>
        <w:spacing w:after="0"/>
        <w:rPr>
          <w:sz w:val="20"/>
          <w:szCs w:val="20"/>
          <w:color w:val="auto"/>
        </w:rPr>
      </w:pPr>
      <w:r>
        <w:rPr>
          <w:rFonts w:ascii="Courier New" w:cs="Courier New" w:eastAsia="Courier New" w:hAnsi="Courier New"/>
          <w:sz w:val="14"/>
          <w:szCs w:val="14"/>
          <w:b w:val="1"/>
          <w:bCs w:val="1"/>
          <w:color w:val="auto"/>
        </w:rPr>
        <w:t>(Amendment No. 1 to Form 10-Q)</w:t>
      </w:r>
    </w:p>
    <w:p>
      <w:pPr>
        <w:spacing w:after="0" w:line="335" w:lineRule="exact"/>
        <w:rPr>
          <w:sz w:val="24"/>
          <w:szCs w:val="24"/>
          <w:color w:val="auto"/>
        </w:rPr>
      </w:pPr>
    </w:p>
    <w:p>
      <w:pPr>
        <w:ind w:right="4159"/>
        <w:spacing w:after="0" w:line="251" w:lineRule="auto"/>
        <w:rPr>
          <w:sz w:val="20"/>
          <w:szCs w:val="20"/>
          <w:color w:val="auto"/>
        </w:rPr>
      </w:pPr>
      <w:r>
        <w:rPr>
          <w:rFonts w:ascii="Courier New" w:cs="Courier New" w:eastAsia="Courier New" w:hAnsi="Courier New"/>
          <w:sz w:val="14"/>
          <w:szCs w:val="14"/>
          <w:color w:val="auto"/>
        </w:rPr>
        <w:t>/X/ QUARTERLY REPORT PURSUANT TO SECTION 13 OR 15(d) OF THE SECURITIES EXCHANGE ACT OF 1934</w:t>
      </w:r>
    </w:p>
    <w:p>
      <w:pPr>
        <w:spacing w:after="0" w:line="16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 xml:space="preserve">For the quarterly period ended </w:t>
      </w:r>
      <w:r>
        <w:rPr>
          <w:rFonts w:ascii="Courier New" w:cs="Courier New" w:eastAsia="Courier New" w:hAnsi="Courier New"/>
          <w:sz w:val="14"/>
          <w:szCs w:val="14"/>
          <w:b w:val="1"/>
          <w:bCs w:val="1"/>
          <w:u w:val="single" w:color="auto"/>
          <w:color w:val="auto"/>
        </w:rPr>
        <w:t>September 30, 2002</w:t>
      </w:r>
    </w:p>
    <w:p>
      <w:pPr>
        <w:spacing w:after="0" w:line="170" w:lineRule="exact"/>
        <w:rPr>
          <w:sz w:val="24"/>
          <w:szCs w:val="24"/>
          <w:color w:val="auto"/>
        </w:rPr>
      </w:pPr>
    </w:p>
    <w:p>
      <w:pPr>
        <w:ind w:left="3340"/>
        <w:spacing w:after="0"/>
        <w:rPr>
          <w:sz w:val="20"/>
          <w:szCs w:val="20"/>
          <w:color w:val="auto"/>
        </w:rPr>
      </w:pPr>
      <w:r>
        <w:rPr>
          <w:rFonts w:ascii="Courier New" w:cs="Courier New" w:eastAsia="Courier New" w:hAnsi="Courier New"/>
          <w:sz w:val="14"/>
          <w:szCs w:val="14"/>
          <w:color w:val="auto"/>
        </w:rPr>
        <w:t>OR</w:t>
      </w:r>
    </w:p>
    <w:p>
      <w:pPr>
        <w:spacing w:after="0" w:line="170" w:lineRule="exact"/>
        <w:rPr>
          <w:sz w:val="24"/>
          <w:szCs w:val="24"/>
          <w:color w:val="auto"/>
        </w:rPr>
      </w:pPr>
    </w:p>
    <w:p>
      <w:pPr>
        <w:ind w:right="4079" w:firstLine="8"/>
        <w:spacing w:after="0" w:line="251" w:lineRule="auto"/>
        <w:tabs>
          <w:tab w:leader="none" w:pos="17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1"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335" w:lineRule="exact"/>
        <w:rPr>
          <w:sz w:val="24"/>
          <w:szCs w:val="24"/>
          <w:color w:val="auto"/>
        </w:rPr>
      </w:pPr>
    </w:p>
    <w:p>
      <w:pPr>
        <w:ind w:left="2140"/>
        <w:spacing w:after="0"/>
        <w:rPr>
          <w:sz w:val="20"/>
          <w:szCs w:val="20"/>
          <w:color w:val="auto"/>
        </w:rPr>
      </w:pPr>
      <w:r>
        <w:rPr>
          <w:rFonts w:ascii="Courier New" w:cs="Courier New" w:eastAsia="Courier New" w:hAnsi="Courier New"/>
          <w:sz w:val="14"/>
          <w:szCs w:val="14"/>
          <w:color w:val="auto"/>
        </w:rPr>
        <w:t xml:space="preserve">Commission File Number </w:t>
      </w:r>
      <w:r>
        <w:rPr>
          <w:rFonts w:ascii="Courier New" w:cs="Courier New" w:eastAsia="Courier New" w:hAnsi="Courier New"/>
          <w:sz w:val="14"/>
          <w:szCs w:val="14"/>
          <w:u w:val="single" w:color="auto"/>
          <w:color w:val="auto"/>
        </w:rPr>
        <w:t>0-23486</w:t>
      </w:r>
    </w:p>
    <w:p>
      <w:pPr>
        <w:spacing w:after="0" w:line="335"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b w:val="1"/>
          <w:bCs w:val="1"/>
          <w:color w:val="auto"/>
        </w:rPr>
        <w:t>NN, Inc.</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41" w:orient="portrait"/>
          <w:cols w:equalWidth="0" w:num="1">
            <w:col w:w="10239"/>
          </w:cols>
          <w:pgMar w:left="220" w:top="229" w:right="1440" w:bottom="0" w:gutter="0" w:footer="0" w:header="0"/>
        </w:sectPr>
      </w:pPr>
    </w:p>
    <w:p>
      <w:pPr>
        <w:spacing w:after="0" w:line="170"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b w:val="1"/>
          <w:bCs w:val="1"/>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b w:val="1"/>
          <w:bCs w:val="1"/>
          <w:color w:val="auto"/>
        </w:rPr>
        <w:t>62-1096725</w:t>
      </w:r>
    </w:p>
    <w:p>
      <w:pPr>
        <w:spacing w:after="0" w:line="6"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0" w:lineRule="exact"/>
        <w:rPr>
          <w:sz w:val="24"/>
          <w:szCs w:val="24"/>
          <w:color w:val="auto"/>
        </w:rPr>
      </w:pPr>
    </w:p>
    <w:p>
      <w:pPr>
        <w:sectPr>
          <w:pgSz w:w="11900" w:h="16841" w:orient="portrait"/>
          <w:cols w:equalWidth="0" w:num="2">
            <w:col w:w="4240" w:space="720"/>
            <w:col w:w="5279"/>
          </w:cols>
          <w:pgMar w:left="220" w:top="229" w:right="1440" w:bottom="0" w:gutter="0" w:footer="0" w:header="0"/>
          <w:type w:val="continuous"/>
        </w:sectPr>
      </w:pPr>
    </w:p>
    <w:p>
      <w:pPr>
        <w:ind w:left="2480"/>
        <w:spacing w:after="0"/>
        <w:rPr>
          <w:sz w:val="20"/>
          <w:szCs w:val="20"/>
          <w:color w:val="auto"/>
        </w:rPr>
      </w:pPr>
      <w:r>
        <w:rPr>
          <w:rFonts w:ascii="Courier New" w:cs="Courier New" w:eastAsia="Courier New" w:hAnsi="Courier New"/>
          <w:sz w:val="14"/>
          <w:szCs w:val="14"/>
          <w:b w:val="1"/>
          <w:bCs w:val="1"/>
          <w:color w:val="auto"/>
        </w:rPr>
        <w:t>2000 Waters Edge Drive</w:t>
      </w:r>
    </w:p>
    <w:p>
      <w:pPr>
        <w:spacing w:after="0" w:line="6" w:lineRule="exact"/>
        <w:rPr>
          <w:sz w:val="24"/>
          <w:szCs w:val="24"/>
          <w:color w:val="auto"/>
        </w:rPr>
      </w:pPr>
    </w:p>
    <w:p>
      <w:pPr>
        <w:ind w:left="2580"/>
        <w:spacing w:after="0"/>
        <w:rPr>
          <w:sz w:val="20"/>
          <w:szCs w:val="20"/>
          <w:color w:val="auto"/>
        </w:rPr>
      </w:pPr>
      <w:r>
        <w:rPr>
          <w:rFonts w:ascii="Courier New" w:cs="Courier New" w:eastAsia="Courier New" w:hAnsi="Courier New"/>
          <w:sz w:val="14"/>
          <w:szCs w:val="14"/>
          <w:b w:val="1"/>
          <w:bCs w:val="1"/>
          <w:color w:val="auto"/>
        </w:rPr>
        <w:t>Building C, Suite 12</w:t>
      </w:r>
    </w:p>
    <w:p>
      <w:pPr>
        <w:spacing w:after="0" w:line="6"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b w:val="1"/>
          <w:bCs w:val="1"/>
          <w:color w:val="auto"/>
        </w:rPr>
        <w:t>Johnson City, Tennessee 37604</w:t>
      </w:r>
    </w:p>
    <w:p>
      <w:pPr>
        <w:spacing w:after="0" w:line="6"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pacing w:after="0" w:line="17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b w:val="1"/>
          <w:bCs w:val="1"/>
          <w:color w:val="auto"/>
        </w:rPr>
        <w:t>(423) 743-9151</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to be filed by Section 13</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c>
          <w:tcPr>
            <w:tcW w:w="4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15(d) of the Securities Exchange Act of 1934 during</w:t>
            </w:r>
          </w:p>
        </w:tc>
      </w:tr>
      <w:tr>
        <w:trPr>
          <w:trHeight w:val="164"/>
        </w:trPr>
        <w:tc>
          <w:tcPr>
            <w:tcW w:w="1420" w:type="dxa"/>
            <w:vAlign w:val="bottom"/>
          </w:tcPr>
          <w:p>
            <w:pPr>
              <w:spacing w:after="0"/>
              <w:rPr>
                <w:sz w:val="20"/>
                <w:szCs w:val="20"/>
                <w:color w:val="auto"/>
              </w:rPr>
            </w:pPr>
            <w:r>
              <w:rPr>
                <w:rFonts w:ascii="Courier New" w:cs="Courier New" w:eastAsia="Courier New" w:hAnsi="Courier New"/>
                <w:sz w:val="14"/>
                <w:szCs w:val="14"/>
                <w:color w:val="auto"/>
              </w:rPr>
              <w:t>the preceding 12</w:t>
            </w:r>
          </w:p>
        </w:tc>
        <w:tc>
          <w:tcPr>
            <w:tcW w:w="1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months (or for</w:t>
            </w:r>
          </w:p>
        </w:tc>
        <w:tc>
          <w:tcPr>
            <w:tcW w:w="4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such shorter period that the registrant was</w:t>
            </w:r>
          </w:p>
        </w:tc>
      </w:tr>
      <w:tr>
        <w:trPr>
          <w:trHeight w:val="164"/>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required to file</w:t>
            </w:r>
          </w:p>
        </w:tc>
        <w:tc>
          <w:tcPr>
            <w:tcW w:w="1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such reports),</w:t>
            </w:r>
          </w:p>
        </w:tc>
        <w:tc>
          <w:tcPr>
            <w:tcW w:w="4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(2) has been subject to such filing</w:t>
            </w:r>
          </w:p>
        </w:tc>
      </w:tr>
      <w:tr>
        <w:trPr>
          <w:trHeight w:val="133"/>
        </w:trPr>
        <w:tc>
          <w:tcPr>
            <w:tcW w:w="1420" w:type="dxa"/>
            <w:vAlign w:val="bottom"/>
          </w:tcPr>
          <w:p>
            <w:pPr>
              <w:spacing w:after="0" w:line="133" w:lineRule="exact"/>
              <w:rPr>
                <w:sz w:val="20"/>
                <w:szCs w:val="20"/>
                <w:color w:val="auto"/>
              </w:rPr>
            </w:pPr>
            <w:r>
              <w:rPr>
                <w:rFonts w:ascii="Courier New" w:cs="Courier New" w:eastAsia="Courier New" w:hAnsi="Courier New"/>
                <w:sz w:val="14"/>
                <w:szCs w:val="14"/>
                <w:color w:val="auto"/>
              </w:rPr>
              <w:t>requirements for</w:t>
            </w:r>
          </w:p>
        </w:tc>
        <w:tc>
          <w:tcPr>
            <w:tcW w:w="760" w:type="dxa"/>
            <w:vAlign w:val="bottom"/>
          </w:tcPr>
          <w:p>
            <w:pPr>
              <w:ind w:left="40"/>
              <w:spacing w:after="0" w:line="133" w:lineRule="exact"/>
              <w:rPr>
                <w:sz w:val="20"/>
                <w:szCs w:val="20"/>
                <w:color w:val="auto"/>
              </w:rPr>
            </w:pPr>
            <w:r>
              <w:rPr>
                <w:rFonts w:ascii="Courier New" w:cs="Courier New" w:eastAsia="Courier New" w:hAnsi="Courier New"/>
                <w:sz w:val="14"/>
                <w:szCs w:val="14"/>
                <w:color w:val="auto"/>
              </w:rPr>
              <w:t>the past</w:t>
            </w:r>
          </w:p>
        </w:tc>
        <w:tc>
          <w:tcPr>
            <w:tcW w:w="260" w:type="dxa"/>
            <w:vAlign w:val="bottom"/>
          </w:tcPr>
          <w:p>
            <w:pPr>
              <w:ind w:left="60"/>
              <w:spacing w:after="0" w:line="133" w:lineRule="exact"/>
              <w:rPr>
                <w:sz w:val="20"/>
                <w:szCs w:val="20"/>
                <w:color w:val="auto"/>
              </w:rPr>
            </w:pPr>
            <w:r>
              <w:rPr>
                <w:rFonts w:ascii="Courier New" w:cs="Courier New" w:eastAsia="Courier New" w:hAnsi="Courier New"/>
                <w:sz w:val="14"/>
                <w:szCs w:val="14"/>
                <w:color w:val="auto"/>
              </w:rPr>
              <w:t>90</w:t>
            </w:r>
          </w:p>
        </w:tc>
        <w:tc>
          <w:tcPr>
            <w:tcW w:w="900" w:type="dxa"/>
            <w:vAlign w:val="bottom"/>
            <w:gridSpan w:val="2"/>
          </w:tcPr>
          <w:p>
            <w:pPr>
              <w:ind w:left="40"/>
              <w:spacing w:after="0" w:line="133" w:lineRule="exact"/>
              <w:rPr>
                <w:sz w:val="20"/>
                <w:szCs w:val="20"/>
                <w:color w:val="auto"/>
              </w:rPr>
            </w:pPr>
            <w:r>
              <w:rPr>
                <w:rFonts w:ascii="Courier New" w:cs="Courier New" w:eastAsia="Courier New" w:hAnsi="Courier New"/>
                <w:sz w:val="14"/>
                <w:szCs w:val="14"/>
                <w:color w:val="auto"/>
              </w:rPr>
              <w:t>days. Yes</w:t>
            </w:r>
          </w:p>
        </w:tc>
        <w:tc>
          <w:tcPr>
            <w:tcW w:w="420" w:type="dxa"/>
            <w:vAlign w:val="bottom"/>
            <w:tcBorders>
              <w:bottom w:val="single" w:sz="8" w:color="auto"/>
            </w:tcBorders>
          </w:tcPr>
          <w:p>
            <w:pPr>
              <w:ind w:left="180"/>
              <w:spacing w:after="0" w:line="133" w:lineRule="exact"/>
              <w:rPr>
                <w:sz w:val="20"/>
                <w:szCs w:val="20"/>
                <w:color w:val="auto"/>
              </w:rPr>
            </w:pPr>
            <w:r>
              <w:rPr>
                <w:rFonts w:ascii="Courier New" w:cs="Courier New" w:eastAsia="Courier New" w:hAnsi="Courier New"/>
                <w:sz w:val="14"/>
                <w:szCs w:val="14"/>
                <w:b w:val="1"/>
                <w:bCs w:val="1"/>
                <w:color w:val="auto"/>
              </w:rPr>
              <w:t>X</w:t>
            </w:r>
          </w:p>
        </w:tc>
        <w:tc>
          <w:tcPr>
            <w:tcW w:w="3080" w:type="dxa"/>
            <w:vAlign w:val="bottom"/>
          </w:tcPr>
          <w:p>
            <w:pPr>
              <w:ind w:left="180"/>
              <w:spacing w:after="0" w:line="133" w:lineRule="exact"/>
              <w:rPr>
                <w:sz w:val="20"/>
                <w:szCs w:val="20"/>
                <w:color w:val="auto"/>
              </w:rPr>
            </w:pPr>
            <w:r>
              <w:rPr>
                <w:rFonts w:ascii="Courier New" w:cs="Courier New" w:eastAsia="Courier New" w:hAnsi="Courier New"/>
                <w:sz w:val="14"/>
                <w:szCs w:val="14"/>
                <w:color w:val="auto"/>
              </w:rPr>
              <w:t>No _____</w:t>
            </w:r>
          </w:p>
        </w:tc>
      </w:tr>
    </w:tbl>
    <w:p>
      <w:pPr>
        <w:spacing w:after="0" w:line="188" w:lineRule="exact"/>
        <w:rPr>
          <w:sz w:val="24"/>
          <w:szCs w:val="24"/>
          <w:color w:val="auto"/>
        </w:rPr>
      </w:pPr>
    </w:p>
    <w:p>
      <w:pPr>
        <w:jc w:val="both"/>
        <w:ind w:right="3399"/>
        <w:spacing w:after="0" w:line="251" w:lineRule="auto"/>
        <w:rPr>
          <w:sz w:val="20"/>
          <w:szCs w:val="20"/>
          <w:color w:val="auto"/>
        </w:rPr>
      </w:pPr>
      <w:r>
        <w:rPr>
          <w:rFonts w:ascii="Courier New" w:cs="Courier New" w:eastAsia="Courier New" w:hAnsi="Courier New"/>
          <w:sz w:val="14"/>
          <w:szCs w:val="14"/>
          <w:color w:val="auto"/>
        </w:rPr>
        <w:t>As of November, 14, 2002 there were 15,367,773 of the registrant's common stock, par value $0.01 per share, outstanding.</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335" w:lineRule="exact"/>
        <w:rPr>
          <w:sz w:val="24"/>
          <w:szCs w:val="24"/>
          <w:color w:val="auto"/>
        </w:rPr>
      </w:pPr>
    </w:p>
    <w:p>
      <w:pPr>
        <w:ind w:left="3340"/>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29805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2740"/>
        <w:spacing w:after="0"/>
        <w:rPr>
          <w:sz w:val="20"/>
          <w:szCs w:val="20"/>
          <w:color w:val="auto"/>
        </w:rPr>
      </w:pPr>
      <w:r>
        <w:rPr>
          <w:rFonts w:ascii="Courier New" w:cs="Courier New" w:eastAsia="Courier New" w:hAnsi="Courier New"/>
          <w:sz w:val="14"/>
          <w:szCs w:val="14"/>
          <w:color w:val="auto"/>
        </w:rPr>
        <w:t>EXPLANATORY NOTE</w:t>
      </w:r>
    </w:p>
    <w:p>
      <w:pPr>
        <w:spacing w:after="0" w:line="170" w:lineRule="exact"/>
        <w:rPr>
          <w:sz w:val="24"/>
          <w:szCs w:val="24"/>
          <w:color w:val="auto"/>
        </w:rPr>
      </w:pPr>
    </w:p>
    <w:p>
      <w:pPr>
        <w:ind w:right="3639"/>
        <w:spacing w:after="0" w:line="249" w:lineRule="auto"/>
        <w:rPr>
          <w:sz w:val="20"/>
          <w:szCs w:val="20"/>
          <w:color w:val="auto"/>
        </w:rPr>
      </w:pPr>
      <w:r>
        <w:rPr>
          <w:rFonts w:ascii="Courier New" w:cs="Courier New" w:eastAsia="Courier New" w:hAnsi="Courier New"/>
          <w:sz w:val="14"/>
          <w:szCs w:val="14"/>
          <w:color w:val="auto"/>
        </w:rPr>
        <w:t>This Amendment No. 1 to the Company's Quarterly Report on Form 10-Q for the period ended September 30, 2002 is being filed solely to include the certification required by Section 906 of the Sarbanes-Oxley Act of 2002. No other revisions have been made to the Company's Quarterly Report on Form 10-Q filed on November 14, 2002.</w:t>
      </w:r>
    </w:p>
    <w:p>
      <w:pPr>
        <w:spacing w:after="0" w:line="328"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Part II. Other Information</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Item 6.Exhibits and Reports on Form 8-K.</w:t>
      </w:r>
    </w:p>
    <w:p>
      <w:pPr>
        <w:spacing w:after="0" w:line="170" w:lineRule="exact"/>
        <w:rPr>
          <w:sz w:val="24"/>
          <w:szCs w:val="2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by Item 601 of Regulation S-K</w:t>
      </w:r>
    </w:p>
    <w:p>
      <w:pPr>
        <w:spacing w:after="0" w:line="170" w:lineRule="exact"/>
        <w:rPr>
          <w:rFonts w:ascii="Courier New" w:cs="Courier New" w:eastAsia="Courier New" w:hAnsi="Courier New"/>
          <w:sz w:val="14"/>
          <w:szCs w:val="14"/>
          <w:color w:val="auto"/>
        </w:rPr>
      </w:pPr>
    </w:p>
    <w:p>
      <w:pPr>
        <w:ind w:left="860" w:right="3479" w:hanging="428"/>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10.1 Amendment No. 3 dated July 31, 2002 to Credit Agreement among NN, Inc., as the Borrower, the Lenders identified therein, Bank One, Kentucky, N A, as Co-Agent, and AmSouth Bank as Administrative Agent (incorporated by reference to Exhibit 10.1 of the Company's Quarterly Report on Form 10-Q for the period ended June 30, 2002).</w:t>
      </w:r>
    </w:p>
    <w:p>
      <w:pPr>
        <w:spacing w:after="0" w:line="163" w:lineRule="exact"/>
        <w:rPr>
          <w:rFonts w:ascii="Courier New" w:cs="Courier New" w:eastAsia="Courier New" w:hAnsi="Courier New"/>
          <w:sz w:val="14"/>
          <w:szCs w:val="14"/>
          <w:color w:val="auto"/>
        </w:rPr>
      </w:pPr>
    </w:p>
    <w:p>
      <w:pPr>
        <w:ind w:left="860" w:right="3559" w:hanging="428"/>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10.2 Amendment No. 2 dated July 12, 2002 to Credit Agreement among NN, Inc., as the Borrower, the Lenders identified therein, Bank One, Kentucky, N A, as Co-Agent, and AmSouth Bank as Administrative Agent (incorporated by reference to Exhibit 10.9 of the Company's Registration Statement on Form S-3/A filed July 15, 2002).</w:t>
      </w:r>
    </w:p>
    <w:p>
      <w:pPr>
        <w:spacing w:after="0" w:line="163" w:lineRule="exact"/>
        <w:rPr>
          <w:rFonts w:ascii="Courier New" w:cs="Courier New" w:eastAsia="Courier New" w:hAnsi="Courier New"/>
          <w:sz w:val="14"/>
          <w:szCs w:val="14"/>
          <w:color w:val="auto"/>
        </w:rPr>
      </w:pPr>
    </w:p>
    <w:p>
      <w:pPr>
        <w:ind w:left="860" w:right="3639" w:hanging="42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99.1 Certifications pursuant to Section 906 of the Sarbanes-Oxley Act of 2002.</w:t>
      </w:r>
    </w:p>
    <w:p>
      <w:pPr>
        <w:spacing w:after="0" w:line="16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0" w:lineRule="exact"/>
        <w:rPr>
          <w:rFonts w:ascii="Courier New" w:cs="Courier New" w:eastAsia="Courier New" w:hAnsi="Courier New"/>
          <w:sz w:val="14"/>
          <w:szCs w:val="14"/>
          <w:color w:val="auto"/>
        </w:rPr>
      </w:pPr>
    </w:p>
    <w:p>
      <w:pPr>
        <w:ind w:left="440" w:right="40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Form 8-K on July 18, 2002 announcing its second quarter earnings.</w:t>
      </w:r>
    </w:p>
    <w:p>
      <w:pPr>
        <w:spacing w:after="0" w:line="161" w:lineRule="exact"/>
        <w:rPr>
          <w:rFonts w:ascii="Courier New" w:cs="Courier New" w:eastAsia="Courier New" w:hAnsi="Courier New"/>
          <w:sz w:val="14"/>
          <w:szCs w:val="14"/>
          <w:color w:val="auto"/>
        </w:rPr>
      </w:pPr>
    </w:p>
    <w:p>
      <w:pPr>
        <w:jc w:val="both"/>
        <w:ind w:left="440" w:right="38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Form 8-K on August 6, 2002 announcing that, due to unfavorable market conditions, it has postponed the proposed follow-on public offering of its common stock.</w:t>
      </w:r>
    </w:p>
    <w:p>
      <w:pPr>
        <w:spacing w:after="0" w:line="16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Form 8-K on September 26, 2002 announcing it filed a</w:t>
      </w:r>
    </w:p>
    <w:p>
      <w:pPr>
        <w:sectPr>
          <w:pgSz w:w="11900" w:h="16841" w:orient="portrait"/>
          <w:cols w:equalWidth="0" w:num="1">
            <w:col w:w="10239"/>
          </w:cols>
          <w:pgMar w:left="220" w:top="229" w:right="1440" w:bottom="0" w:gutter="0" w:footer="0" w:header="0"/>
          <w:type w:val="continuous"/>
        </w:sectPr>
      </w:pPr>
    </w:p>
    <w:bookmarkStart w:id="1" w:name="page2"/>
    <w:bookmarkEnd w:id="1"/>
    <w:p>
      <w:pPr>
        <w:ind w:left="440"/>
        <w:spacing w:after="0"/>
        <w:rPr>
          <w:sz w:val="20"/>
          <w:szCs w:val="20"/>
          <w:color w:val="auto"/>
        </w:rPr>
      </w:pPr>
      <w:r>
        <w:rPr>
          <w:rFonts w:ascii="Courier New" w:cs="Courier New" w:eastAsia="Courier New" w:hAnsi="Courier New"/>
          <w:sz w:val="14"/>
          <w:szCs w:val="14"/>
          <w:color w:val="auto"/>
        </w:rPr>
        <w:t>shelf registration statement with the Securities and Exchange Commission.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29805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b w:val="1"/>
          <w:bCs w:val="1"/>
          <w:color w:val="auto"/>
        </w:rPr>
        <w:t>SIGNATURES</w:t>
      </w:r>
    </w:p>
    <w:p>
      <w:pPr>
        <w:spacing w:after="0" w:line="335" w:lineRule="exact"/>
        <w:rPr>
          <w:sz w:val="20"/>
          <w:szCs w:val="20"/>
          <w:color w:val="auto"/>
        </w:rPr>
      </w:pPr>
    </w:p>
    <w:p>
      <w:pPr>
        <w:jc w:val="both"/>
        <w:ind w:right="4079"/>
        <w:spacing w:after="0" w:line="250"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Date:</w:t>
        <w:tab/>
        <w:t>November 15, 2002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19" w:firstLine="769"/>
        <w:spacing w:after="0" w:line="251" w:lineRule="auto"/>
        <w:rPr>
          <w:sz w:val="20"/>
          <w:szCs w:val="20"/>
          <w:color w:val="auto"/>
        </w:rPr>
      </w:pPr>
      <w:r>
        <w:rPr>
          <w:rFonts w:ascii="Courier New" w:cs="Courier New" w:eastAsia="Courier New" w:hAnsi="Courier New"/>
          <w:sz w:val="14"/>
          <w:szCs w:val="14"/>
          <w:color w:val="auto"/>
        </w:rPr>
        <w:t>/s/ William C. Kelly, Jr. -------------------------------------------------</w:t>
      </w:r>
    </w:p>
    <w:p>
      <w:pPr>
        <w:spacing w:after="0" w:line="161" w:lineRule="exact"/>
        <w:rPr>
          <w:sz w:val="20"/>
          <w:szCs w:val="20"/>
          <w:color w:val="auto"/>
        </w:rPr>
      </w:pPr>
    </w:p>
    <w:p>
      <w:pPr>
        <w:sectPr>
          <w:pgSz w:w="11900" w:h="16838" w:orient="portrait"/>
          <w:cols w:equalWidth="0" w:num="2">
            <w:col w:w="2320" w:space="500"/>
            <w:col w:w="7419"/>
          </w:cols>
          <w:pgMar w:left="220" w:top="141" w:right="1440" w:bottom="0" w:gutter="0" w:footer="0" w:header="0"/>
          <w:type w:val="continuous"/>
        </w:sectPr>
      </w:pPr>
    </w:p>
    <w:p>
      <w:pPr>
        <w:ind w:left="3940"/>
        <w:spacing w:after="0"/>
        <w:rPr>
          <w:sz w:val="20"/>
          <w:szCs w:val="20"/>
          <w:color w:val="auto"/>
        </w:rPr>
      </w:pPr>
      <w:r>
        <w:rPr>
          <w:rFonts w:ascii="Courier New" w:cs="Courier New" w:eastAsia="Courier New" w:hAnsi="Courier New"/>
          <w:sz w:val="14"/>
          <w:szCs w:val="14"/>
          <w:color w:val="auto"/>
        </w:rPr>
        <w:t>William C. Kelly, Jr.</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Treasurer, Secretary and Chief Accounting Officer</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(Principal Accounting Officer)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29805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b w:val="1"/>
          <w:bCs w:val="1"/>
          <w:color w:val="auto"/>
        </w:rPr>
        <w:t>CERTIFICATIONS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Roderick R. Baty, certify that:</w:t>
      </w:r>
    </w:p>
    <w:p>
      <w:pPr>
        <w:spacing w:after="0" w:line="170"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10-Q/A of NN, Inc.;</w:t>
      </w:r>
    </w:p>
    <w:p>
      <w:pPr>
        <w:spacing w:after="0" w:line="170" w:lineRule="exact"/>
        <w:rPr>
          <w:rFonts w:ascii="Courier New" w:cs="Courier New" w:eastAsia="Courier New" w:hAnsi="Courier New"/>
          <w:sz w:val="14"/>
          <w:szCs w:val="14"/>
          <w:color w:val="auto"/>
        </w:rPr>
      </w:pPr>
    </w:p>
    <w:p>
      <w:pPr>
        <w:ind w:left="440" w:right="3479" w:hanging="432"/>
        <w:spacing w:after="0" w:line="249"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63" w:lineRule="exact"/>
        <w:rPr>
          <w:rFonts w:ascii="Courier New" w:cs="Courier New" w:eastAsia="Courier New" w:hAnsi="Courier New"/>
          <w:sz w:val="14"/>
          <w:szCs w:val="14"/>
          <w:color w:val="auto"/>
        </w:rPr>
      </w:pPr>
    </w:p>
    <w:p>
      <w:pPr>
        <w:ind w:left="440" w:right="3559" w:hanging="432"/>
        <w:spacing w:after="0" w:line="249"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3" w:lineRule="exact"/>
        <w:rPr>
          <w:rFonts w:ascii="Courier New" w:cs="Courier New" w:eastAsia="Courier New" w:hAnsi="Courier New"/>
          <w:sz w:val="14"/>
          <w:szCs w:val="14"/>
          <w:color w:val="auto"/>
        </w:rPr>
      </w:pPr>
    </w:p>
    <w:p>
      <w:pPr>
        <w:ind w:left="440" w:right="3399"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spacing w:after="0" w:line="161" w:lineRule="exact"/>
        <w:rPr>
          <w:rFonts w:ascii="Courier New" w:cs="Courier New" w:eastAsia="Courier New" w:hAnsi="Courier New"/>
          <w:sz w:val="14"/>
          <w:szCs w:val="14"/>
          <w:color w:val="auto"/>
        </w:rPr>
      </w:pPr>
    </w:p>
    <w:p>
      <w:pPr>
        <w:ind w:left="860" w:right="3479" w:hanging="425"/>
        <w:spacing w:after="0" w:line="249" w:lineRule="auto"/>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3" w:lineRule="exact"/>
        <w:rPr>
          <w:rFonts w:ascii="Courier New" w:cs="Courier New" w:eastAsia="Courier New" w:hAnsi="Courier New"/>
          <w:sz w:val="14"/>
          <w:szCs w:val="14"/>
          <w:color w:val="auto"/>
        </w:rPr>
      </w:pPr>
    </w:p>
    <w:p>
      <w:pPr>
        <w:ind w:left="860" w:right="3399" w:hanging="425"/>
        <w:spacing w:after="0" w:line="250" w:lineRule="auto"/>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as of a date within 90 days prior to the filing date of this quarterly report (the "Evaluation Date"); and</w:t>
      </w:r>
    </w:p>
    <w:p>
      <w:pPr>
        <w:spacing w:after="0" w:line="161" w:lineRule="exact"/>
        <w:rPr>
          <w:rFonts w:ascii="Courier New" w:cs="Courier New" w:eastAsia="Courier New" w:hAnsi="Courier New"/>
          <w:sz w:val="14"/>
          <w:szCs w:val="14"/>
          <w:color w:val="auto"/>
        </w:rPr>
      </w:pPr>
    </w:p>
    <w:p>
      <w:pPr>
        <w:ind w:left="860" w:right="3479" w:hanging="425"/>
        <w:spacing w:after="0" w:line="250" w:lineRule="auto"/>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quarterly report our conclusions about the effectiveness of this disclosure controls and procedures based on our evaluation as of the Evaluation Date;</w:t>
      </w:r>
    </w:p>
    <w:p>
      <w:pPr>
        <w:spacing w:after="0" w:line="161" w:lineRule="exact"/>
        <w:rPr>
          <w:rFonts w:ascii="Courier New" w:cs="Courier New" w:eastAsia="Courier New" w:hAnsi="Courier New"/>
          <w:sz w:val="14"/>
          <w:szCs w:val="14"/>
          <w:color w:val="auto"/>
        </w:rPr>
      </w:pPr>
    </w:p>
    <w:p>
      <w:pPr>
        <w:ind w:left="440" w:right="3559" w:hanging="432"/>
        <w:spacing w:after="0" w:line="249"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63" w:lineRule="exact"/>
        <w:rPr>
          <w:rFonts w:ascii="Courier New" w:cs="Courier New" w:eastAsia="Courier New" w:hAnsi="Courier New"/>
          <w:sz w:val="14"/>
          <w:szCs w:val="14"/>
          <w:color w:val="auto"/>
        </w:rPr>
      </w:pPr>
    </w:p>
    <w:p>
      <w:pPr>
        <w:ind w:left="860" w:right="3639" w:hanging="425"/>
        <w:spacing w:after="0" w:line="249" w:lineRule="auto"/>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3" w:lineRule="exact"/>
        <w:rPr>
          <w:rFonts w:ascii="Courier New" w:cs="Courier New" w:eastAsia="Courier New" w:hAnsi="Courier New"/>
          <w:sz w:val="14"/>
          <w:szCs w:val="14"/>
          <w:color w:val="auto"/>
        </w:rPr>
      </w:pPr>
    </w:p>
    <w:p>
      <w:pPr>
        <w:ind w:left="860" w:right="3479" w:hanging="425"/>
        <w:spacing w:after="0" w:line="250" w:lineRule="auto"/>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controls; and</w:t>
      </w:r>
    </w:p>
    <w:p>
      <w:pPr>
        <w:spacing w:after="0" w:line="161" w:lineRule="exact"/>
        <w:rPr>
          <w:rFonts w:ascii="Courier New" w:cs="Courier New" w:eastAsia="Courier New" w:hAnsi="Courier New"/>
          <w:sz w:val="14"/>
          <w:szCs w:val="14"/>
          <w:color w:val="auto"/>
        </w:rPr>
      </w:pPr>
    </w:p>
    <w:p>
      <w:pPr>
        <w:ind w:left="440" w:right="3399" w:hanging="432"/>
        <w:spacing w:after="0" w:line="249"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6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Date:</w:t>
        <w:tab/>
        <w:t>November 15, 2002</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/s/ Roderick R. Baty</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Roderick R. Baty</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1">
            <w:col w:w="10239"/>
          </w:cols>
          <w:pgMar w:left="220" w:top="141" w:right="1440" w:bottom="0" w:gutter="0" w:footer="0" w:header="0"/>
          <w:type w:val="continuous"/>
        </w:sectPr>
      </w:pPr>
    </w:p>
    <w:bookmarkStart w:id="2" w:name="page3"/>
    <w:bookmarkEnd w:id="2"/>
    <w:p>
      <w:pPr>
        <w:ind w:left="334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29805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David L. Dyckman, certify that:</w:t>
      </w:r>
    </w:p>
    <w:p>
      <w:pPr>
        <w:spacing w:after="0" w:line="170"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10-Q/A of NN, Inc.;</w:t>
      </w:r>
    </w:p>
    <w:p>
      <w:pPr>
        <w:spacing w:after="0" w:line="170" w:lineRule="exact"/>
        <w:rPr>
          <w:rFonts w:ascii="Courier New" w:cs="Courier New" w:eastAsia="Courier New" w:hAnsi="Courier New"/>
          <w:sz w:val="14"/>
          <w:szCs w:val="14"/>
          <w:color w:val="auto"/>
        </w:rPr>
      </w:pPr>
    </w:p>
    <w:p>
      <w:pPr>
        <w:ind w:left="440" w:right="3479" w:hanging="432"/>
        <w:spacing w:after="0" w:line="249"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63" w:lineRule="exact"/>
        <w:rPr>
          <w:rFonts w:ascii="Courier New" w:cs="Courier New" w:eastAsia="Courier New" w:hAnsi="Courier New"/>
          <w:sz w:val="14"/>
          <w:szCs w:val="14"/>
          <w:color w:val="auto"/>
        </w:rPr>
      </w:pPr>
    </w:p>
    <w:p>
      <w:pPr>
        <w:ind w:left="440" w:right="3559" w:hanging="432"/>
        <w:spacing w:after="0" w:line="249"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3" w:lineRule="exact"/>
        <w:rPr>
          <w:rFonts w:ascii="Courier New" w:cs="Courier New" w:eastAsia="Courier New" w:hAnsi="Courier New"/>
          <w:sz w:val="14"/>
          <w:szCs w:val="14"/>
          <w:color w:val="auto"/>
        </w:rPr>
      </w:pPr>
    </w:p>
    <w:p>
      <w:pPr>
        <w:ind w:left="440" w:right="3399"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spacing w:after="0" w:line="161" w:lineRule="exact"/>
        <w:rPr>
          <w:rFonts w:ascii="Courier New" w:cs="Courier New" w:eastAsia="Courier New" w:hAnsi="Courier New"/>
          <w:sz w:val="14"/>
          <w:szCs w:val="14"/>
          <w:color w:val="auto"/>
        </w:rPr>
      </w:pPr>
    </w:p>
    <w:p>
      <w:pPr>
        <w:ind w:left="860" w:right="3479" w:hanging="425"/>
        <w:spacing w:after="0" w:line="249" w:lineRule="auto"/>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3" w:lineRule="exact"/>
        <w:rPr>
          <w:rFonts w:ascii="Courier New" w:cs="Courier New" w:eastAsia="Courier New" w:hAnsi="Courier New"/>
          <w:sz w:val="14"/>
          <w:szCs w:val="14"/>
          <w:color w:val="auto"/>
        </w:rPr>
      </w:pPr>
    </w:p>
    <w:p>
      <w:pPr>
        <w:ind w:left="860" w:right="3399" w:hanging="425"/>
        <w:spacing w:after="0" w:line="250" w:lineRule="auto"/>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as of a date within 90 days prior to the filing date of this quarterly report (the "Evaluation Date"); and</w:t>
      </w:r>
    </w:p>
    <w:p>
      <w:pPr>
        <w:spacing w:after="0" w:line="161" w:lineRule="exact"/>
        <w:rPr>
          <w:rFonts w:ascii="Courier New" w:cs="Courier New" w:eastAsia="Courier New" w:hAnsi="Courier New"/>
          <w:sz w:val="14"/>
          <w:szCs w:val="14"/>
          <w:color w:val="auto"/>
        </w:rPr>
      </w:pPr>
    </w:p>
    <w:p>
      <w:pPr>
        <w:ind w:left="860" w:right="3479" w:hanging="425"/>
        <w:spacing w:after="0" w:line="250" w:lineRule="auto"/>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quarterly report our conclusions about the effectiveness of this disclosure controls and procedures based on our evaluation as of the Evaluation Date;</w:t>
      </w:r>
    </w:p>
    <w:p>
      <w:pPr>
        <w:spacing w:after="0" w:line="161" w:lineRule="exact"/>
        <w:rPr>
          <w:rFonts w:ascii="Courier New" w:cs="Courier New" w:eastAsia="Courier New" w:hAnsi="Courier New"/>
          <w:sz w:val="14"/>
          <w:szCs w:val="14"/>
          <w:color w:val="auto"/>
        </w:rPr>
      </w:pPr>
    </w:p>
    <w:p>
      <w:pPr>
        <w:ind w:left="440" w:right="3559" w:hanging="432"/>
        <w:spacing w:after="0" w:line="249"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63" w:lineRule="exact"/>
        <w:rPr>
          <w:rFonts w:ascii="Courier New" w:cs="Courier New" w:eastAsia="Courier New" w:hAnsi="Courier New"/>
          <w:sz w:val="14"/>
          <w:szCs w:val="14"/>
          <w:color w:val="auto"/>
        </w:rPr>
      </w:pPr>
    </w:p>
    <w:p>
      <w:pPr>
        <w:ind w:left="860" w:right="3639" w:hanging="425"/>
        <w:spacing w:after="0" w:line="249" w:lineRule="auto"/>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3" w:lineRule="exact"/>
        <w:rPr>
          <w:rFonts w:ascii="Courier New" w:cs="Courier New" w:eastAsia="Courier New" w:hAnsi="Courier New"/>
          <w:sz w:val="14"/>
          <w:szCs w:val="14"/>
          <w:color w:val="auto"/>
        </w:rPr>
      </w:pPr>
    </w:p>
    <w:p>
      <w:pPr>
        <w:ind w:left="860" w:right="3479" w:hanging="425"/>
        <w:spacing w:after="0" w:line="250" w:lineRule="auto"/>
        <w:tabs>
          <w:tab w:leader="none" w:pos="8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controls; and</w:t>
      </w:r>
    </w:p>
    <w:p>
      <w:pPr>
        <w:spacing w:after="0" w:line="161" w:lineRule="exact"/>
        <w:rPr>
          <w:rFonts w:ascii="Courier New" w:cs="Courier New" w:eastAsia="Courier New" w:hAnsi="Courier New"/>
          <w:sz w:val="14"/>
          <w:szCs w:val="14"/>
          <w:color w:val="auto"/>
        </w:rPr>
      </w:pPr>
    </w:p>
    <w:p>
      <w:pPr>
        <w:ind w:left="440" w:right="3399" w:hanging="432"/>
        <w:spacing w:after="0" w:line="249"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6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Date:</w:t>
        <w:tab/>
        <w:t>November 15, 2002</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/s/ David L. Dyckman</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David L. Dyckman</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Chief Financial Officer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306" w:right="1440" w:bottom="1440" w:gutter="0" w:footer="0" w:header="0"/>
        </w:sectPr>
      </w:pPr>
    </w:p>
    <w:bookmarkStart w:id="3" w:name="page4"/>
    <w:bookmarkEnd w:id="3"/>
    <w:p>
      <w:pPr>
        <w:ind w:left="5820"/>
        <w:spacing w:after="0"/>
        <w:rPr>
          <w:sz w:val="20"/>
          <w:szCs w:val="20"/>
          <w:color w:val="auto"/>
        </w:rPr>
      </w:pPr>
      <w:r>
        <w:rPr>
          <w:rFonts w:ascii="Courier New" w:cs="Courier New" w:eastAsia="Courier New" w:hAnsi="Courier New"/>
          <w:sz w:val="14"/>
          <w:szCs w:val="14"/>
          <w:b w:val="1"/>
          <w:bCs w:val="1"/>
          <w:color w:val="auto"/>
        </w:rPr>
        <w:t>Exhibit 99.1</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Exhibit 99.1</w:t>
      </w:r>
    </w:p>
    <w:p>
      <w:pPr>
        <w:spacing w:after="0" w:line="170" w:lineRule="exact"/>
        <w:rPr>
          <w:sz w:val="20"/>
          <w:szCs w:val="20"/>
          <w:color w:val="auto"/>
        </w:rPr>
      </w:pPr>
    </w:p>
    <w:p>
      <w:pPr>
        <w:jc w:val="center"/>
        <w:ind w:right="4600"/>
        <w:spacing w:after="0"/>
        <w:rPr>
          <w:sz w:val="20"/>
          <w:szCs w:val="20"/>
          <w:color w:val="auto"/>
        </w:rPr>
      </w:pPr>
      <w:r>
        <w:rPr>
          <w:rFonts w:ascii="Courier New" w:cs="Courier New" w:eastAsia="Courier New" w:hAnsi="Courier New"/>
          <w:sz w:val="14"/>
          <w:szCs w:val="14"/>
          <w:b w:val="1"/>
          <w:bCs w:val="1"/>
          <w:color w:val="auto"/>
        </w:rPr>
        <w:t>CERTIFICATION PURSUANT TO</w:t>
      </w:r>
    </w:p>
    <w:p>
      <w:pPr>
        <w:spacing w:after="0" w:line="6" w:lineRule="exact"/>
        <w:rPr>
          <w:sz w:val="20"/>
          <w:szCs w:val="20"/>
          <w:color w:val="auto"/>
        </w:rPr>
      </w:pPr>
    </w:p>
    <w:p>
      <w:pPr>
        <w:jc w:val="center"/>
        <w:ind w:right="4600"/>
        <w:spacing w:after="0"/>
        <w:rPr>
          <w:sz w:val="20"/>
          <w:szCs w:val="20"/>
          <w:color w:val="auto"/>
        </w:rPr>
      </w:pPr>
      <w:r>
        <w:rPr>
          <w:rFonts w:ascii="Courier New" w:cs="Courier New" w:eastAsia="Courier New" w:hAnsi="Courier New"/>
          <w:sz w:val="14"/>
          <w:szCs w:val="14"/>
          <w:b w:val="1"/>
          <w:bCs w:val="1"/>
          <w:color w:val="auto"/>
        </w:rPr>
        <w:t>SECTION 906 OF THE SARBANES-OXLEY ACT OF 2002</w:t>
      </w:r>
    </w:p>
    <w:p>
      <w:pPr>
        <w:spacing w:after="0" w:line="335" w:lineRule="exact"/>
        <w:rPr>
          <w:sz w:val="20"/>
          <w:szCs w:val="20"/>
          <w:color w:val="auto"/>
        </w:rPr>
      </w:pPr>
    </w:p>
    <w:p>
      <w:pPr>
        <w:jc w:val="both"/>
        <w:ind w:right="4700" w:firstLine="427"/>
        <w:spacing w:after="0" w:line="249"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quarterly period ended September 30, 2002, as filed with the Securities and Exchange Commission on the date hereof (the "Report"), the undersigned, in the capacities and dates indicated below, hereby certify pursuant to 18 U.S.C. ss. 1350, as adopted pursuant to ss. 906 of the Sarbanes-Oxley Act of 2002, that, to our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/s/ Roderick R. Baty</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Roderick R. Baty</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Chairman, President and Chief Executive Officer</w:t>
      </w:r>
    </w:p>
    <w:p>
      <w:pPr>
        <w:spacing w:after="0" w:line="200" w:lineRule="exact"/>
        <w:rPr>
          <w:sz w:val="20"/>
          <w:szCs w:val="20"/>
          <w:color w:val="auto"/>
        </w:rPr>
      </w:pPr>
    </w:p>
    <w:p>
      <w:pPr>
        <w:spacing w:after="0" w:line="29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/s/ David L. Dyckman</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David L. Dyckman</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Chief Financial Officer</w:t>
      </w:r>
    </w:p>
    <w:sectPr>
      <w:pgSz w:w="11900" w:h="16838" w:orient="portrait"/>
      <w:cols w:equalWidth="0" w:num="1">
        <w:col w:w="11540"/>
      </w:cols>
      <w:pgMar w:left="220" w:top="30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2019-12-14T03:15:52Z</dcterms:created>
  <dcterms:modified xsi:type="dcterms:W3CDTF">2019-12-14T03:15:52Z</dcterms:modified>
</cp:coreProperties>
</file>