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17"/>
          <w:szCs w:val="17"/>
          <w:color w:val="auto"/>
        </w:rPr>
        <w:t>UNITED STATES</w:t>
      </w:r>
    </w:p>
    <w:p>
      <w:pPr>
        <w:spacing w:after="0" w:line="18" w:lineRule="exact"/>
        <w:rPr>
          <w:sz w:val="24"/>
          <w:szCs w:val="24"/>
          <w:color w:val="auto"/>
        </w:rPr>
      </w:pPr>
    </w:p>
    <w:p>
      <w:pPr>
        <w:jc w:val="center"/>
        <w:ind w:right="-239"/>
        <w:spacing w:after="0"/>
        <w:rPr>
          <w:sz w:val="20"/>
          <w:szCs w:val="20"/>
          <w:color w:val="auto"/>
        </w:rPr>
      </w:pPr>
      <w:r>
        <w:rPr>
          <w:rFonts w:ascii="Arial" w:cs="Arial" w:eastAsia="Arial" w:hAnsi="Arial"/>
          <w:sz w:val="17"/>
          <w:szCs w:val="17"/>
          <w:color w:val="auto"/>
        </w:rPr>
        <w:t>SECURITIES AND EXCHANGE COMMISSION</w:t>
      </w:r>
    </w:p>
    <w:p>
      <w:pPr>
        <w:spacing w:after="0" w:line="12" w:lineRule="exact"/>
        <w:rPr>
          <w:sz w:val="24"/>
          <w:szCs w:val="24"/>
          <w:color w:val="auto"/>
        </w:rPr>
      </w:pPr>
    </w:p>
    <w:p>
      <w:pPr>
        <w:jc w:val="center"/>
        <w:ind w:right="-239"/>
        <w:spacing w:after="0"/>
        <w:rPr>
          <w:sz w:val="20"/>
          <w:szCs w:val="20"/>
          <w:color w:val="auto"/>
        </w:rPr>
      </w:pPr>
      <w:r>
        <w:rPr>
          <w:rFonts w:ascii="Arial" w:cs="Arial" w:eastAsia="Arial" w:hAnsi="Arial"/>
          <w:sz w:val="14"/>
          <w:szCs w:val="14"/>
          <w:color w:val="auto"/>
        </w:rPr>
        <w:t>Washington, D.C. 20549</w:t>
      </w:r>
    </w:p>
    <w:p>
      <w:pPr>
        <w:spacing w:after="0" w:line="185"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FORM 10-Q</w:t>
      </w:r>
    </w:p>
    <w:p>
      <w:pPr>
        <w:spacing w:after="0" w:line="198" w:lineRule="exact"/>
        <w:rPr>
          <w:sz w:val="24"/>
          <w:szCs w:val="24"/>
          <w:color w:val="auto"/>
        </w:rPr>
      </w:pPr>
    </w:p>
    <w:p>
      <w:pPr>
        <w:jc w:val="center"/>
        <w:ind w:left="4600" w:right="2540" w:hanging="1819"/>
        <w:spacing w:after="0" w:line="590" w:lineRule="auto"/>
        <w:tabs>
          <w:tab w:leader="none" w:pos="2909"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QUARTERLY REPORT PURSUANT TO SECTION 13 OR 15(d) OF THE SECURITIES EXCHANGE ACT OF 1934 For the quarterly period ended </w:t>
      </w:r>
      <w:r>
        <w:rPr>
          <w:rFonts w:ascii="Arial" w:cs="Arial" w:eastAsia="Arial" w:hAnsi="Arial"/>
          <w:sz w:val="12"/>
          <w:szCs w:val="12"/>
          <w:b w:val="1"/>
          <w:bCs w:val="1"/>
          <w:u w:val="single" w:color="auto"/>
          <w:color w:val="auto"/>
        </w:rPr>
        <w:t>March 31, 2007</w:t>
      </w:r>
    </w:p>
    <w:p>
      <w:pPr>
        <w:spacing w:after="0" w:line="294" w:lineRule="exact"/>
        <w:rPr>
          <w:sz w:val="24"/>
          <w:szCs w:val="24"/>
          <w:color w:val="auto"/>
        </w:rPr>
      </w:pPr>
    </w:p>
    <w:p>
      <w:pPr>
        <w:jc w:val="center"/>
        <w:ind w:left="4380" w:right="2520" w:hanging="1605"/>
        <w:spacing w:after="0" w:line="563" w:lineRule="auto"/>
        <w:tabs>
          <w:tab w:leader="none" w:pos="2885" w:val="left"/>
        </w:tabs>
        <w:numPr>
          <w:ilvl w:val="0"/>
          <w:numId w:val="2"/>
        </w:numPr>
        <w:rPr>
          <w:rFonts w:ascii="Arial" w:cs="Arial" w:eastAsia="Arial" w:hAnsi="Arial"/>
          <w:sz w:val="12"/>
          <w:szCs w:val="12"/>
          <w:color w:val="auto"/>
        </w:rPr>
      </w:pPr>
      <w:r>
        <w:rPr>
          <w:rFonts w:ascii="Arial" w:cs="Arial" w:eastAsia="Arial" w:hAnsi="Arial"/>
          <w:sz w:val="12"/>
          <w:szCs w:val="12"/>
          <w:color w:val="auto"/>
        </w:rPr>
        <w:t>TRANSITION REPORT PURSUANT TO SECTION 13 OR 15(d) OF THE SECURITIES EXCHANGE ACT OF 1934 For the transition period from _________ to _________</w:t>
      </w:r>
    </w:p>
    <w:p>
      <w:pPr>
        <w:spacing w:after="0" w:line="1" w:lineRule="exact"/>
        <w:rPr>
          <w:rFonts w:ascii="Arial" w:cs="Arial" w:eastAsia="Arial" w:hAnsi="Arial"/>
          <w:sz w:val="12"/>
          <w:szCs w:val="12"/>
          <w:color w:val="auto"/>
        </w:rPr>
      </w:pPr>
    </w:p>
    <w:p>
      <w:pPr>
        <w:ind w:left="4900"/>
        <w:spacing w:after="0"/>
        <w:rPr>
          <w:rFonts w:ascii="Arial" w:cs="Arial" w:eastAsia="Arial" w:hAnsi="Arial"/>
          <w:sz w:val="12"/>
          <w:szCs w:val="12"/>
          <w:color w:val="auto"/>
        </w:rPr>
      </w:pPr>
      <w:r>
        <w:rPr>
          <w:rFonts w:ascii="Arial" w:cs="Arial" w:eastAsia="Arial" w:hAnsi="Arial"/>
          <w:sz w:val="12"/>
          <w:szCs w:val="12"/>
          <w:color w:val="auto"/>
        </w:rPr>
        <w:t xml:space="preserve">Commission File Number </w:t>
      </w:r>
      <w:r>
        <w:rPr>
          <w:rFonts w:ascii="Arial" w:cs="Arial" w:eastAsia="Arial" w:hAnsi="Arial"/>
          <w:sz w:val="12"/>
          <w:szCs w:val="12"/>
          <w:u w:val="single" w:color="auto"/>
          <w:color w:val="auto"/>
        </w:rPr>
        <w:t>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3455035</wp:posOffset>
            </wp:positionH>
            <wp:positionV relativeFrom="paragraph">
              <wp:posOffset>123825</wp:posOffset>
            </wp:positionV>
            <wp:extent cx="377190" cy="371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7190" cy="371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tbl>
      <w:tblPr>
        <w:tblLayout w:type="fixed"/>
        <w:tblInd w:w="2300" w:type="dxa"/>
        <w:tblCellMar>
          <w:top w:w="0" w:type="dxa"/>
          <w:left w:w="0" w:type="dxa"/>
          <w:bottom w:w="0" w:type="dxa"/>
          <w:right w:w="0" w:type="dxa"/>
        </w:tblCellMar>
      </w:tblPr>
      <w:tr>
        <w:trPr>
          <w:trHeight w:val="361"/>
        </w:trPr>
        <w:tc>
          <w:tcPr>
            <w:tcW w:w="1720" w:type="dxa"/>
            <w:vAlign w:val="bottom"/>
          </w:tcPr>
          <w:p>
            <w:pPr>
              <w:spacing w:after="0"/>
              <w:rPr>
                <w:sz w:val="24"/>
                <w:szCs w:val="24"/>
                <w:color w:val="auto"/>
              </w:rPr>
            </w:pPr>
          </w:p>
        </w:tc>
        <w:tc>
          <w:tcPr>
            <w:tcW w:w="5020" w:type="dxa"/>
            <w:vAlign w:val="bottom"/>
          </w:tcPr>
          <w:p>
            <w:pPr>
              <w:jc w:val="center"/>
              <w:ind w:right="1511"/>
              <w:spacing w:after="0"/>
              <w:rPr>
                <w:sz w:val="20"/>
                <w:szCs w:val="20"/>
                <w:color w:val="auto"/>
              </w:rPr>
            </w:pPr>
            <w:r>
              <w:rPr>
                <w:rFonts w:ascii="Arial" w:cs="Arial" w:eastAsia="Arial" w:hAnsi="Arial"/>
                <w:sz w:val="29"/>
                <w:szCs w:val="29"/>
                <w:b w:val="1"/>
                <w:bCs w:val="1"/>
                <w:color w:val="auto"/>
                <w:w w:val="96"/>
              </w:rPr>
              <w:t>NN, Inc.</w:t>
            </w:r>
          </w:p>
        </w:tc>
      </w:tr>
      <w:tr>
        <w:trPr>
          <w:trHeight w:val="153"/>
        </w:trPr>
        <w:tc>
          <w:tcPr>
            <w:tcW w:w="1720" w:type="dxa"/>
            <w:vAlign w:val="bottom"/>
          </w:tcPr>
          <w:p>
            <w:pPr>
              <w:spacing w:after="0"/>
              <w:rPr>
                <w:sz w:val="13"/>
                <w:szCs w:val="13"/>
                <w:color w:val="auto"/>
              </w:rPr>
            </w:pPr>
          </w:p>
        </w:tc>
        <w:tc>
          <w:tcPr>
            <w:tcW w:w="5020" w:type="dxa"/>
            <w:vAlign w:val="bottom"/>
          </w:tcPr>
          <w:p>
            <w:pPr>
              <w:jc w:val="center"/>
              <w:ind w:right="1511"/>
              <w:spacing w:after="0"/>
              <w:rPr>
                <w:sz w:val="20"/>
                <w:szCs w:val="20"/>
                <w:color w:val="auto"/>
              </w:rPr>
            </w:pPr>
            <w:r>
              <w:rPr>
                <w:rFonts w:ascii="Arial" w:cs="Arial" w:eastAsia="Arial" w:hAnsi="Arial"/>
                <w:sz w:val="12"/>
                <w:szCs w:val="12"/>
                <w:color w:val="auto"/>
                <w:w w:val="90"/>
              </w:rPr>
              <w:t>(Exact name of registrant as specified in its charter)</w:t>
            </w:r>
          </w:p>
        </w:tc>
      </w:tr>
      <w:tr>
        <w:trPr>
          <w:trHeight w:val="520"/>
        </w:trPr>
        <w:tc>
          <w:tcPr>
            <w:tcW w:w="1720" w:type="dxa"/>
            <w:vAlign w:val="bottom"/>
          </w:tcPr>
          <w:p>
            <w:pPr>
              <w:jc w:val="center"/>
              <w:ind w:right="261"/>
              <w:spacing w:after="0"/>
              <w:rPr>
                <w:sz w:val="20"/>
                <w:szCs w:val="20"/>
                <w:color w:val="auto"/>
              </w:rPr>
            </w:pPr>
            <w:r>
              <w:rPr>
                <w:rFonts w:ascii="Arial" w:cs="Arial" w:eastAsia="Arial" w:hAnsi="Arial"/>
                <w:sz w:val="12"/>
                <w:szCs w:val="12"/>
                <w:b w:val="1"/>
                <w:bCs w:val="1"/>
                <w:color w:val="auto"/>
                <w:w w:val="91"/>
              </w:rPr>
              <w:t>Delaware</w:t>
            </w:r>
          </w:p>
        </w:tc>
        <w:tc>
          <w:tcPr>
            <w:tcW w:w="5020" w:type="dxa"/>
            <w:vAlign w:val="bottom"/>
          </w:tcPr>
          <w:p>
            <w:pPr>
              <w:jc w:val="right"/>
              <w:ind w:right="191"/>
              <w:spacing w:after="0"/>
              <w:rPr>
                <w:sz w:val="20"/>
                <w:szCs w:val="20"/>
                <w:color w:val="auto"/>
              </w:rPr>
            </w:pPr>
            <w:r>
              <w:rPr>
                <w:rFonts w:ascii="Arial" w:cs="Arial" w:eastAsia="Arial" w:hAnsi="Arial"/>
                <w:sz w:val="12"/>
                <w:szCs w:val="12"/>
                <w:b w:val="1"/>
                <w:bCs w:val="1"/>
                <w:color w:val="auto"/>
              </w:rPr>
              <w:t>62-1096725</w:t>
            </w:r>
          </w:p>
        </w:tc>
      </w:tr>
      <w:tr>
        <w:trPr>
          <w:trHeight w:val="162"/>
        </w:trPr>
        <w:tc>
          <w:tcPr>
            <w:tcW w:w="1720" w:type="dxa"/>
            <w:vAlign w:val="bottom"/>
          </w:tcPr>
          <w:p>
            <w:pPr>
              <w:jc w:val="center"/>
              <w:ind w:right="261"/>
              <w:spacing w:after="0"/>
              <w:rPr>
                <w:sz w:val="20"/>
                <w:szCs w:val="20"/>
                <w:color w:val="auto"/>
              </w:rPr>
            </w:pPr>
            <w:r>
              <w:rPr>
                <w:rFonts w:ascii="Arial" w:cs="Arial" w:eastAsia="Arial" w:hAnsi="Arial"/>
                <w:sz w:val="12"/>
                <w:szCs w:val="12"/>
                <w:color w:val="auto"/>
                <w:w w:val="90"/>
              </w:rPr>
              <w:t>(State or other jurisdiction of</w:t>
            </w:r>
          </w:p>
        </w:tc>
        <w:tc>
          <w:tcPr>
            <w:tcW w:w="5020" w:type="dxa"/>
            <w:vAlign w:val="bottom"/>
          </w:tcPr>
          <w:p>
            <w:pPr>
              <w:jc w:val="center"/>
              <w:ind w:left="3871"/>
              <w:spacing w:after="0"/>
              <w:rPr>
                <w:sz w:val="20"/>
                <w:szCs w:val="20"/>
                <w:color w:val="auto"/>
              </w:rPr>
            </w:pPr>
            <w:r>
              <w:rPr>
                <w:rFonts w:ascii="Arial" w:cs="Arial" w:eastAsia="Arial" w:hAnsi="Arial"/>
                <w:sz w:val="12"/>
                <w:szCs w:val="12"/>
                <w:color w:val="auto"/>
                <w:w w:val="90"/>
              </w:rPr>
              <w:t>(I.R.S. Employer</w:t>
            </w:r>
          </w:p>
        </w:tc>
      </w:tr>
      <w:tr>
        <w:trPr>
          <w:trHeight w:val="162"/>
        </w:trPr>
        <w:tc>
          <w:tcPr>
            <w:tcW w:w="1720" w:type="dxa"/>
            <w:vAlign w:val="bottom"/>
          </w:tcPr>
          <w:p>
            <w:pPr>
              <w:jc w:val="center"/>
              <w:ind w:right="261"/>
              <w:spacing w:after="0"/>
              <w:rPr>
                <w:sz w:val="20"/>
                <w:szCs w:val="20"/>
                <w:color w:val="auto"/>
              </w:rPr>
            </w:pPr>
            <w:r>
              <w:rPr>
                <w:rFonts w:ascii="Arial" w:cs="Arial" w:eastAsia="Arial" w:hAnsi="Arial"/>
                <w:sz w:val="12"/>
                <w:szCs w:val="12"/>
                <w:color w:val="auto"/>
                <w:w w:val="89"/>
              </w:rPr>
              <w:t>incorporation or organization)</w:t>
            </w:r>
          </w:p>
        </w:tc>
        <w:tc>
          <w:tcPr>
            <w:tcW w:w="5020" w:type="dxa"/>
            <w:vAlign w:val="bottom"/>
          </w:tcPr>
          <w:p>
            <w:pPr>
              <w:jc w:val="center"/>
              <w:ind w:left="3871"/>
              <w:spacing w:after="0"/>
              <w:rPr>
                <w:sz w:val="20"/>
                <w:szCs w:val="20"/>
                <w:color w:val="auto"/>
              </w:rPr>
            </w:pPr>
            <w:r>
              <w:rPr>
                <w:rFonts w:ascii="Arial" w:cs="Arial" w:eastAsia="Arial" w:hAnsi="Arial"/>
                <w:sz w:val="12"/>
                <w:szCs w:val="12"/>
                <w:color w:val="auto"/>
                <w:w w:val="91"/>
              </w:rPr>
              <w:t>Identification Number)</w:t>
            </w:r>
          </w:p>
        </w:tc>
      </w:tr>
      <w:tr>
        <w:trPr>
          <w:trHeight w:val="317"/>
        </w:trPr>
        <w:tc>
          <w:tcPr>
            <w:tcW w:w="1720" w:type="dxa"/>
            <w:vAlign w:val="bottom"/>
          </w:tcPr>
          <w:p>
            <w:pPr>
              <w:spacing w:after="0"/>
              <w:rPr>
                <w:sz w:val="24"/>
                <w:szCs w:val="24"/>
                <w:color w:val="auto"/>
              </w:rPr>
            </w:pPr>
          </w:p>
        </w:tc>
        <w:tc>
          <w:tcPr>
            <w:tcW w:w="5020" w:type="dxa"/>
            <w:vAlign w:val="bottom"/>
          </w:tcPr>
          <w:p>
            <w:pPr>
              <w:jc w:val="right"/>
              <w:ind w:right="2471"/>
              <w:spacing w:after="0"/>
              <w:rPr>
                <w:sz w:val="20"/>
                <w:szCs w:val="20"/>
                <w:color w:val="auto"/>
              </w:rPr>
            </w:pPr>
            <w:r>
              <w:rPr>
                <w:rFonts w:ascii="Arial" w:cs="Arial" w:eastAsia="Arial" w:hAnsi="Arial"/>
                <w:sz w:val="14"/>
                <w:szCs w:val="14"/>
                <w:b w:val="1"/>
                <w:bCs w:val="1"/>
                <w:color w:val="auto"/>
              </w:rPr>
              <w:t>2000 Waters Edge Drive</w:t>
            </w:r>
          </w:p>
        </w:tc>
      </w:tr>
      <w:tr>
        <w:trPr>
          <w:trHeight w:val="181"/>
        </w:trPr>
        <w:tc>
          <w:tcPr>
            <w:tcW w:w="1720" w:type="dxa"/>
            <w:vAlign w:val="bottom"/>
          </w:tcPr>
          <w:p>
            <w:pPr>
              <w:spacing w:after="0"/>
              <w:rPr>
                <w:sz w:val="15"/>
                <w:szCs w:val="15"/>
                <w:color w:val="auto"/>
              </w:rPr>
            </w:pPr>
          </w:p>
        </w:tc>
        <w:tc>
          <w:tcPr>
            <w:tcW w:w="5020" w:type="dxa"/>
            <w:vAlign w:val="bottom"/>
          </w:tcPr>
          <w:p>
            <w:pPr>
              <w:jc w:val="right"/>
              <w:ind w:right="2671"/>
              <w:spacing w:after="0"/>
              <w:rPr>
                <w:sz w:val="20"/>
                <w:szCs w:val="20"/>
                <w:color w:val="auto"/>
              </w:rPr>
            </w:pPr>
            <w:r>
              <w:rPr>
                <w:rFonts w:ascii="Arial" w:cs="Arial" w:eastAsia="Arial" w:hAnsi="Arial"/>
                <w:sz w:val="14"/>
                <w:szCs w:val="14"/>
                <w:b w:val="1"/>
                <w:bCs w:val="1"/>
                <w:color w:val="auto"/>
              </w:rPr>
              <w:t>Building C, Suite 12</w:t>
            </w:r>
          </w:p>
        </w:tc>
      </w:tr>
      <w:tr>
        <w:trPr>
          <w:trHeight w:val="146"/>
        </w:trPr>
        <w:tc>
          <w:tcPr>
            <w:tcW w:w="1720" w:type="dxa"/>
            <w:vAlign w:val="bottom"/>
          </w:tcPr>
          <w:p>
            <w:pPr>
              <w:spacing w:after="0"/>
              <w:rPr>
                <w:sz w:val="12"/>
                <w:szCs w:val="12"/>
                <w:color w:val="auto"/>
              </w:rPr>
            </w:pPr>
          </w:p>
        </w:tc>
        <w:tc>
          <w:tcPr>
            <w:tcW w:w="5020" w:type="dxa"/>
            <w:vAlign w:val="bottom"/>
          </w:tcPr>
          <w:p>
            <w:pPr>
              <w:jc w:val="center"/>
              <w:ind w:right="1511"/>
              <w:spacing w:after="0"/>
              <w:rPr>
                <w:sz w:val="20"/>
                <w:szCs w:val="20"/>
                <w:color w:val="auto"/>
              </w:rPr>
            </w:pPr>
            <w:r>
              <w:rPr>
                <w:rFonts w:ascii="Arial" w:cs="Arial" w:eastAsia="Arial" w:hAnsi="Arial"/>
                <w:sz w:val="12"/>
                <w:szCs w:val="12"/>
                <w:b w:val="1"/>
                <w:bCs w:val="1"/>
                <w:color w:val="auto"/>
                <w:w w:val="85"/>
              </w:rPr>
              <w:t>Johnson City, Tennessee 37604</w:t>
            </w:r>
          </w:p>
        </w:tc>
      </w:tr>
      <w:tr>
        <w:trPr>
          <w:trHeight w:val="148"/>
        </w:trPr>
        <w:tc>
          <w:tcPr>
            <w:tcW w:w="1720" w:type="dxa"/>
            <w:vAlign w:val="bottom"/>
          </w:tcPr>
          <w:p>
            <w:pPr>
              <w:spacing w:after="0"/>
              <w:rPr>
                <w:sz w:val="12"/>
                <w:szCs w:val="12"/>
                <w:color w:val="auto"/>
              </w:rPr>
            </w:pPr>
          </w:p>
        </w:tc>
        <w:tc>
          <w:tcPr>
            <w:tcW w:w="5020" w:type="dxa"/>
            <w:vAlign w:val="bottom"/>
          </w:tcPr>
          <w:p>
            <w:pPr>
              <w:jc w:val="center"/>
              <w:ind w:right="1531"/>
              <w:spacing w:after="0"/>
              <w:rPr>
                <w:sz w:val="20"/>
                <w:szCs w:val="20"/>
                <w:color w:val="auto"/>
              </w:rPr>
            </w:pPr>
            <w:r>
              <w:rPr>
                <w:rFonts w:ascii="Arial" w:cs="Arial" w:eastAsia="Arial" w:hAnsi="Arial"/>
                <w:sz w:val="12"/>
                <w:szCs w:val="12"/>
                <w:color w:val="auto"/>
                <w:w w:val="90"/>
              </w:rPr>
              <w:t>(Address of principal executive offices, including zip code)</w:t>
            </w:r>
          </w:p>
        </w:tc>
      </w:tr>
      <w:tr>
        <w:trPr>
          <w:trHeight w:val="317"/>
        </w:trPr>
        <w:tc>
          <w:tcPr>
            <w:tcW w:w="1720" w:type="dxa"/>
            <w:vAlign w:val="bottom"/>
          </w:tcPr>
          <w:p>
            <w:pPr>
              <w:spacing w:after="0"/>
              <w:rPr>
                <w:sz w:val="24"/>
                <w:szCs w:val="24"/>
                <w:color w:val="auto"/>
              </w:rPr>
            </w:pPr>
          </w:p>
        </w:tc>
        <w:tc>
          <w:tcPr>
            <w:tcW w:w="5020" w:type="dxa"/>
            <w:vAlign w:val="bottom"/>
          </w:tcPr>
          <w:p>
            <w:pPr>
              <w:jc w:val="center"/>
              <w:ind w:right="1491"/>
              <w:spacing w:after="0"/>
              <w:rPr>
                <w:sz w:val="20"/>
                <w:szCs w:val="20"/>
                <w:color w:val="auto"/>
              </w:rPr>
            </w:pPr>
            <w:r>
              <w:rPr>
                <w:rFonts w:ascii="Arial" w:cs="Arial" w:eastAsia="Arial" w:hAnsi="Arial"/>
                <w:sz w:val="12"/>
                <w:szCs w:val="12"/>
                <w:b w:val="1"/>
                <w:bCs w:val="1"/>
                <w:color w:val="auto"/>
                <w:w w:val="90"/>
              </w:rPr>
              <w:t>(423) 743-9151</w:t>
            </w:r>
          </w:p>
        </w:tc>
      </w:tr>
      <w:tr>
        <w:trPr>
          <w:trHeight w:val="153"/>
        </w:trPr>
        <w:tc>
          <w:tcPr>
            <w:tcW w:w="1720" w:type="dxa"/>
            <w:vAlign w:val="bottom"/>
          </w:tcPr>
          <w:p>
            <w:pPr>
              <w:spacing w:after="0"/>
              <w:rPr>
                <w:sz w:val="13"/>
                <w:szCs w:val="13"/>
                <w:color w:val="auto"/>
              </w:rPr>
            </w:pPr>
          </w:p>
        </w:tc>
        <w:tc>
          <w:tcPr>
            <w:tcW w:w="5020" w:type="dxa"/>
            <w:vAlign w:val="bottom"/>
          </w:tcPr>
          <w:p>
            <w:pPr>
              <w:jc w:val="center"/>
              <w:ind w:right="1531"/>
              <w:spacing w:after="0"/>
              <w:rPr>
                <w:sz w:val="20"/>
                <w:szCs w:val="20"/>
                <w:color w:val="auto"/>
              </w:rPr>
            </w:pPr>
            <w:r>
              <w:rPr>
                <w:rFonts w:ascii="Arial" w:cs="Arial" w:eastAsia="Arial" w:hAnsi="Arial"/>
                <w:sz w:val="12"/>
                <w:szCs w:val="12"/>
                <w:color w:val="auto"/>
                <w:w w:val="90"/>
              </w:rPr>
              <w:t>(Registrant’s telephone number, including area code)</w:t>
            </w:r>
          </w:p>
        </w:tc>
      </w:tr>
    </w:tbl>
    <w:p>
      <w:pPr>
        <w:spacing w:after="0" w:line="351" w:lineRule="exact"/>
        <w:rPr>
          <w:sz w:val="24"/>
          <w:szCs w:val="24"/>
          <w:color w:val="auto"/>
        </w:rPr>
      </w:pPr>
    </w:p>
    <w:p>
      <w:pPr>
        <w:spacing w:after="0"/>
        <w:rPr>
          <w:sz w:val="20"/>
          <w:szCs w:val="20"/>
          <w:color w:val="auto"/>
        </w:rPr>
      </w:pPr>
      <w:r>
        <w:rPr>
          <w:rFonts w:ascii="Arial" w:cs="Arial" w:eastAsia="Arial" w:hAnsi="Arial"/>
          <w:sz w:val="10"/>
          <w:szCs w:val="10"/>
          <w:color w:val="auto"/>
        </w:rPr>
        <w:t>Indicate by check mark whether the registrant (1) has filed all reports required to be filed by Section 13 or 15(d) of the Securities Exchange Act of 1934 during the preceding 12 months (or for such shorter period that the registrant was</w:t>
      </w:r>
    </w:p>
    <w:p>
      <w:pPr>
        <w:spacing w:after="0" w:line="56" w:lineRule="exact"/>
        <w:rPr>
          <w:sz w:val="24"/>
          <w:szCs w:val="24"/>
          <w:color w:val="auto"/>
        </w:rPr>
      </w:pPr>
    </w:p>
    <w:p>
      <w:pPr>
        <w:spacing w:after="0"/>
        <w:tabs>
          <w:tab w:leader="none" w:pos="5020" w:val="left"/>
          <w:tab w:leader="none" w:pos="6020" w:val="left"/>
        </w:tabs>
        <w:rPr>
          <w:sz w:val="20"/>
          <w:szCs w:val="20"/>
          <w:color w:val="auto"/>
        </w:rPr>
      </w:pPr>
      <w:r>
        <w:rPr>
          <w:rFonts w:ascii="Arial" w:cs="Arial" w:eastAsia="Arial" w:hAnsi="Arial"/>
          <w:sz w:val="11"/>
          <w:szCs w:val="11"/>
          <w:color w:val="auto"/>
        </w:rPr>
        <w:t>required to file such reports), and (2) has been subject to such filing requirements for the past 90 days.</w:t>
      </w:r>
      <w:r>
        <w:rPr>
          <w:sz w:val="20"/>
          <w:szCs w:val="20"/>
          <w:color w:val="auto"/>
        </w:rPr>
        <w:tab/>
      </w:r>
      <w:r>
        <w:rPr>
          <w:rFonts w:ascii="Arial" w:cs="Arial" w:eastAsia="Arial" w:hAnsi="Arial"/>
          <w:sz w:val="12"/>
          <w:szCs w:val="12"/>
          <w:color w:val="auto"/>
        </w:rPr>
        <w:t>Yes x</w:t>
      </w:r>
      <w:r>
        <w:rPr>
          <w:sz w:val="20"/>
          <w:szCs w:val="20"/>
          <w:color w:val="auto"/>
        </w:rPr>
        <w:tab/>
      </w:r>
      <w:r>
        <w:rPr>
          <w:rFonts w:ascii="Arial" w:cs="Arial" w:eastAsia="Arial" w:hAnsi="Arial"/>
          <w:sz w:val="11"/>
          <w:szCs w:val="11"/>
          <w:color w:val="auto"/>
        </w:rPr>
        <w:t>No o</w:t>
      </w:r>
    </w:p>
    <w:p>
      <w:pPr>
        <w:spacing w:after="0" w:line="195"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45" w:lineRule="exact"/>
        <w:rPr>
          <w:sz w:val="24"/>
          <w:szCs w:val="24"/>
          <w:color w:val="auto"/>
        </w:rPr>
      </w:pPr>
    </w:p>
    <w:p>
      <w:pPr>
        <w:spacing w:after="0"/>
        <w:tabs>
          <w:tab w:leader="none" w:pos="2220" w:val="left"/>
          <w:tab w:leader="none" w:pos="4220" w:val="left"/>
        </w:tabs>
        <w:rPr>
          <w:sz w:val="20"/>
          <w:szCs w:val="20"/>
          <w:color w:val="auto"/>
        </w:rPr>
      </w:pPr>
      <w:r>
        <w:rPr>
          <w:rFonts w:ascii="Arial" w:cs="Arial" w:eastAsia="Arial" w:hAnsi="Arial"/>
          <w:sz w:val="12"/>
          <w:szCs w:val="12"/>
          <w:color w:val="auto"/>
        </w:rPr>
        <w:t>Large accelerated filer o</w:t>
      </w:r>
      <w:r>
        <w:rPr>
          <w:sz w:val="20"/>
          <w:szCs w:val="20"/>
          <w:color w:val="auto"/>
        </w:rPr>
        <w:tab/>
      </w:r>
      <w:r>
        <w:rPr>
          <w:rFonts w:ascii="Arial" w:cs="Arial" w:eastAsia="Arial" w:hAnsi="Arial"/>
          <w:sz w:val="12"/>
          <w:szCs w:val="12"/>
          <w:color w:val="auto"/>
        </w:rPr>
        <w:t>Accelerated filer x</w:t>
      </w:r>
      <w:r>
        <w:rPr>
          <w:sz w:val="20"/>
          <w:szCs w:val="20"/>
          <w:color w:val="auto"/>
        </w:rPr>
        <w:tab/>
      </w:r>
      <w:r>
        <w:rPr>
          <w:rFonts w:ascii="Arial" w:cs="Arial" w:eastAsia="Arial" w:hAnsi="Arial"/>
          <w:sz w:val="11"/>
          <w:szCs w:val="11"/>
          <w:color w:val="auto"/>
        </w:rPr>
        <w:t>Non-accelerated filer o</w:t>
      </w:r>
    </w:p>
    <w:p>
      <w:pPr>
        <w:sectPr>
          <w:pgSz w:w="11900" w:h="16838" w:orient="portrait"/>
          <w:cols w:equalWidth="0" w:num="1">
            <w:col w:w="11220"/>
          </w:cols>
          <w:pgMar w:left="220" w:top="552" w:right="459" w:bottom="1440" w:gutter="0" w:footer="0" w:header="0"/>
        </w:sectPr>
      </w:pPr>
    </w:p>
    <w:p>
      <w:pPr>
        <w:spacing w:after="0" w:line="222" w:lineRule="exact"/>
        <w:rPr>
          <w:sz w:val="24"/>
          <w:szCs w:val="24"/>
          <w:color w:val="auto"/>
        </w:rPr>
      </w:pPr>
    </w:p>
    <w:p>
      <w:pPr>
        <w:spacing w:after="0"/>
        <w:rPr>
          <w:sz w:val="20"/>
          <w:szCs w:val="20"/>
          <w:color w:val="auto"/>
        </w:rPr>
      </w:pPr>
      <w:r>
        <w:rPr>
          <w:rFonts w:ascii="Arial" w:cs="Arial" w:eastAsia="Arial" w:hAnsi="Arial"/>
          <w:sz w:val="10"/>
          <w:szCs w:val="10"/>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0"/>
          <w:szCs w:val="10"/>
          <w:color w:val="auto"/>
        </w:rPr>
        <w:t>Yes o</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1"/>
          <w:szCs w:val="11"/>
          <w:color w:val="auto"/>
        </w:rPr>
        <w:t>No x</w:t>
      </w:r>
    </w:p>
    <w:p>
      <w:pPr>
        <w:spacing w:after="0" w:line="200" w:lineRule="exact"/>
        <w:rPr>
          <w:sz w:val="24"/>
          <w:szCs w:val="24"/>
          <w:color w:val="auto"/>
        </w:rPr>
      </w:pPr>
    </w:p>
    <w:p>
      <w:pPr>
        <w:sectPr>
          <w:pgSz w:w="11900" w:h="16838" w:orient="portrait"/>
          <w:cols w:equalWidth="0" w:num="3">
            <w:col w:w="5440" w:space="340"/>
            <w:col w:w="260" w:space="720"/>
            <w:col w:w="4460"/>
          </w:cols>
          <w:pgMar w:left="220" w:top="552" w:right="45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Arial" w:cs="Arial" w:eastAsia="Arial" w:hAnsi="Arial"/>
          <w:sz w:val="10"/>
          <w:szCs w:val="10"/>
          <w:color w:val="auto"/>
        </w:rPr>
        <w:t>As of May 8, 2007 there were 16,848,082 shares of the registrant’s common stock, par value $0.01 per share, outstanding</w:t>
      </w:r>
      <w:r>
        <w:rPr>
          <w:rFonts w:ascii="Arial" w:cs="Arial" w:eastAsia="Arial" w:hAnsi="Arial"/>
          <w:sz w:val="10"/>
          <w:szCs w:val="10"/>
          <w:u w:val="single" w:color="auto"/>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512445</wp:posOffset>
            </wp:positionV>
            <wp:extent cx="7299325"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20"/>
          </w:cols>
          <w:pgMar w:left="220" w:top="552" w:right="459" w:bottom="1440" w:gutter="0" w:footer="0" w:header="0"/>
          <w:type w:val="continuous"/>
        </w:sectPr>
      </w:pPr>
    </w:p>
    <w:bookmarkStart w:id="1" w:name="page2"/>
    <w:bookmarkEnd w:id="1"/>
    <w:p>
      <w:pPr>
        <w:ind w:left="5520"/>
        <w:spacing w:after="0"/>
        <w:rPr>
          <w:sz w:val="20"/>
          <w:szCs w:val="20"/>
          <w:color w:val="auto"/>
        </w:rPr>
      </w:pPr>
      <w:r>
        <w:rPr>
          <w:rFonts w:ascii="Arial" w:cs="Arial" w:eastAsia="Arial" w:hAnsi="Arial"/>
          <w:sz w:val="12"/>
          <w:szCs w:val="12"/>
          <w:b w:val="1"/>
          <w:bCs w:val="1"/>
          <w:color w:val="auto"/>
        </w:rPr>
        <w:t>NN, Inc.</w:t>
      </w:r>
    </w:p>
    <w:p>
      <w:pPr>
        <w:spacing w:after="0" w:line="19" w:lineRule="exact"/>
        <w:rPr>
          <w:sz w:val="20"/>
          <w:szCs w:val="20"/>
          <w:color w:val="auto"/>
        </w:rPr>
      </w:pPr>
    </w:p>
    <w:p>
      <w:pPr>
        <w:ind w:left="5540"/>
        <w:spacing w:after="0"/>
        <w:rPr>
          <w:sz w:val="20"/>
          <w:szCs w:val="20"/>
          <w:color w:val="auto"/>
        </w:rPr>
      </w:pPr>
      <w:r>
        <w:rPr>
          <w:rFonts w:ascii="Arial" w:cs="Arial" w:eastAsia="Arial" w:hAnsi="Arial"/>
          <w:sz w:val="12"/>
          <w:szCs w:val="12"/>
          <w:b w:val="1"/>
          <w:bCs w:val="1"/>
          <w:color w:val="auto"/>
        </w:rPr>
        <w:t>INDEX</w:t>
      </w:r>
    </w:p>
    <w:p>
      <w:pPr>
        <w:spacing w:after="0" w:line="200" w:lineRule="exact"/>
        <w:rPr>
          <w:sz w:val="20"/>
          <w:szCs w:val="20"/>
          <w:color w:val="auto"/>
        </w:rPr>
      </w:pPr>
    </w:p>
    <w:p>
      <w:pPr>
        <w:spacing w:after="0" w:line="361" w:lineRule="exact"/>
        <w:rPr>
          <w:sz w:val="20"/>
          <w:szCs w:val="20"/>
          <w:color w:val="auto"/>
        </w:rPr>
      </w:pPr>
    </w:p>
    <w:p>
      <w:pPr>
        <w:ind w:left="380"/>
        <w:spacing w:after="0"/>
        <w:rPr>
          <w:sz w:val="20"/>
          <w:szCs w:val="20"/>
          <w:color w:val="auto"/>
        </w:rPr>
      </w:pPr>
      <w:r>
        <w:rPr>
          <w:rFonts w:ascii="Arial" w:cs="Arial" w:eastAsia="Arial" w:hAnsi="Arial"/>
          <w:sz w:val="12"/>
          <w:szCs w:val="12"/>
          <w:b w:val="1"/>
          <w:bCs w:val="1"/>
          <w:u w:val="single" w:color="auto"/>
          <w:color w:val="auto"/>
        </w:rPr>
        <w:t>Page No.</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340" w:type="dxa"/>
            <w:vAlign w:val="bottom"/>
            <w:gridSpan w:val="2"/>
          </w:tcPr>
          <w:p>
            <w:pPr>
              <w:spacing w:after="0"/>
              <w:rPr>
                <w:sz w:val="20"/>
                <w:szCs w:val="20"/>
                <w:color w:val="auto"/>
              </w:rPr>
            </w:pPr>
            <w:r>
              <w:rPr>
                <w:rFonts w:ascii="Arial" w:cs="Arial" w:eastAsia="Arial" w:hAnsi="Arial"/>
                <w:sz w:val="12"/>
                <w:szCs w:val="12"/>
                <w:b w:val="1"/>
                <w:bCs w:val="1"/>
                <w:color w:val="auto"/>
              </w:rPr>
              <w:t>Part I. Financial Information</w:t>
            </w:r>
          </w:p>
        </w:tc>
        <w:tc>
          <w:tcPr>
            <w:tcW w:w="1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483"/>
        </w:trPr>
        <w:tc>
          <w:tcPr>
            <w:tcW w:w="560" w:type="dxa"/>
            <w:vAlign w:val="bottom"/>
          </w:tcPr>
          <w:p>
            <w:pPr>
              <w:spacing w:after="0"/>
              <w:rPr>
                <w:sz w:val="20"/>
                <w:szCs w:val="20"/>
                <w:color w:val="auto"/>
              </w:rPr>
            </w:pPr>
            <w:r>
              <w:rPr>
                <w:rFonts w:ascii="Arial" w:cs="Arial" w:eastAsia="Arial" w:hAnsi="Arial"/>
                <w:sz w:val="12"/>
                <w:szCs w:val="12"/>
                <w:color w:val="auto"/>
              </w:rPr>
              <w:t>Item 1.</w:t>
            </w:r>
          </w:p>
        </w:tc>
        <w:tc>
          <w:tcPr>
            <w:tcW w:w="4780" w:type="dxa"/>
            <w:vAlign w:val="bottom"/>
          </w:tcPr>
          <w:p>
            <w:pPr>
              <w:ind w:left="160"/>
              <w:spacing w:after="0"/>
              <w:rPr>
                <w:sz w:val="20"/>
                <w:szCs w:val="20"/>
                <w:color w:val="auto"/>
              </w:rPr>
            </w:pPr>
            <w:r>
              <w:rPr>
                <w:rFonts w:ascii="Arial" w:cs="Arial" w:eastAsia="Arial" w:hAnsi="Arial"/>
                <w:sz w:val="12"/>
                <w:szCs w:val="12"/>
                <w:color w:val="auto"/>
              </w:rPr>
              <w:t>Financial Statements:</w:t>
            </w:r>
          </w:p>
        </w:tc>
        <w:tc>
          <w:tcPr>
            <w:tcW w:w="1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24"/>
        </w:trPr>
        <w:tc>
          <w:tcPr>
            <w:tcW w:w="560" w:type="dxa"/>
            <w:vAlign w:val="bottom"/>
          </w:tcPr>
          <w:p>
            <w:pPr>
              <w:spacing w:after="0"/>
              <w:rPr>
                <w:sz w:val="24"/>
                <w:szCs w:val="24"/>
                <w:color w:val="auto"/>
              </w:rPr>
            </w:pPr>
          </w:p>
        </w:tc>
        <w:tc>
          <w:tcPr>
            <w:tcW w:w="6400" w:type="dxa"/>
            <w:vAlign w:val="bottom"/>
            <w:gridSpan w:val="2"/>
          </w:tcPr>
          <w:p>
            <w:pPr>
              <w:ind w:left="80"/>
              <w:spacing w:after="0"/>
              <w:rPr>
                <w:sz w:val="20"/>
                <w:szCs w:val="20"/>
                <w:color w:val="auto"/>
              </w:rPr>
            </w:pPr>
            <w:r>
              <w:rPr>
                <w:rFonts w:ascii="Arial" w:cs="Arial" w:eastAsia="Arial" w:hAnsi="Arial"/>
                <w:sz w:val="12"/>
                <w:szCs w:val="12"/>
                <w:color w:val="auto"/>
                <w:w w:val="90"/>
              </w:rPr>
              <w:t>Consolidated Statements of Income and Comprehensive Income for the three months ended March 31, 2007 and 2006 (unaudited)</w:t>
            </w:r>
          </w:p>
        </w:tc>
        <w:tc>
          <w:tcPr>
            <w:tcW w:w="680" w:type="dxa"/>
            <w:vAlign w:val="bottom"/>
          </w:tcPr>
          <w:p>
            <w:pPr>
              <w:spacing w:after="0"/>
              <w:rPr>
                <w:sz w:val="24"/>
                <w:szCs w:val="24"/>
                <w:color w:val="auto"/>
              </w:rPr>
            </w:pPr>
          </w:p>
        </w:tc>
        <w:tc>
          <w:tcPr>
            <w:tcW w:w="1820" w:type="dxa"/>
            <w:vAlign w:val="bottom"/>
          </w:tcPr>
          <w:p>
            <w:pPr>
              <w:jc w:val="right"/>
              <w:ind w:right="1360"/>
              <w:spacing w:after="0"/>
              <w:rPr>
                <w:sz w:val="20"/>
                <w:szCs w:val="20"/>
                <w:color w:val="auto"/>
              </w:rPr>
            </w:pPr>
            <w:r>
              <w:rPr>
                <w:rFonts w:ascii="Arial" w:cs="Arial" w:eastAsia="Arial" w:hAnsi="Arial"/>
                <w:sz w:val="12"/>
                <w:szCs w:val="12"/>
                <w:color w:val="auto"/>
              </w:rPr>
              <w:t>2</w:t>
            </w:r>
          </w:p>
        </w:tc>
        <w:tc>
          <w:tcPr>
            <w:tcW w:w="2020" w:type="dxa"/>
            <w:vAlign w:val="bottom"/>
          </w:tcPr>
          <w:p>
            <w:pPr>
              <w:spacing w:after="0"/>
              <w:rPr>
                <w:sz w:val="24"/>
                <w:szCs w:val="24"/>
                <w:color w:val="auto"/>
              </w:rPr>
            </w:pPr>
          </w:p>
        </w:tc>
      </w:tr>
      <w:tr>
        <w:trPr>
          <w:trHeight w:val="306"/>
        </w:trPr>
        <w:tc>
          <w:tcPr>
            <w:tcW w:w="560" w:type="dxa"/>
            <w:vAlign w:val="bottom"/>
          </w:tcPr>
          <w:p>
            <w:pPr>
              <w:spacing w:after="0"/>
              <w:rPr>
                <w:sz w:val="24"/>
                <w:szCs w:val="24"/>
                <w:color w:val="auto"/>
              </w:rPr>
            </w:pPr>
          </w:p>
        </w:tc>
        <w:tc>
          <w:tcPr>
            <w:tcW w:w="4780" w:type="dxa"/>
            <w:vAlign w:val="bottom"/>
          </w:tcPr>
          <w:p>
            <w:pPr>
              <w:ind w:left="80"/>
              <w:spacing w:after="0"/>
              <w:rPr>
                <w:sz w:val="20"/>
                <w:szCs w:val="20"/>
                <w:color w:val="auto"/>
              </w:rPr>
            </w:pPr>
            <w:r>
              <w:rPr>
                <w:rFonts w:ascii="Arial" w:cs="Arial" w:eastAsia="Arial" w:hAnsi="Arial"/>
                <w:sz w:val="12"/>
                <w:szCs w:val="12"/>
                <w:color w:val="auto"/>
                <w:w w:val="90"/>
              </w:rPr>
              <w:t>Condensed Consolidated Balance Sheets at March 31, 2007and December 31, 2006 (unaudited)</w:t>
            </w:r>
          </w:p>
        </w:tc>
        <w:tc>
          <w:tcPr>
            <w:tcW w:w="1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ind w:left="500"/>
              <w:spacing w:after="0"/>
              <w:rPr>
                <w:sz w:val="20"/>
                <w:szCs w:val="20"/>
                <w:color w:val="auto"/>
              </w:rPr>
            </w:pPr>
            <w:r>
              <w:rPr>
                <w:rFonts w:ascii="Arial" w:cs="Arial" w:eastAsia="Arial" w:hAnsi="Arial"/>
                <w:sz w:val="12"/>
                <w:szCs w:val="12"/>
                <w:color w:val="auto"/>
              </w:rPr>
              <w:t>3</w:t>
            </w:r>
          </w:p>
        </w:tc>
        <w:tc>
          <w:tcPr>
            <w:tcW w:w="2020" w:type="dxa"/>
            <w:vAlign w:val="bottom"/>
          </w:tcPr>
          <w:p>
            <w:pPr>
              <w:spacing w:after="0"/>
              <w:rPr>
                <w:sz w:val="24"/>
                <w:szCs w:val="24"/>
                <w:color w:val="auto"/>
              </w:rPr>
            </w:pPr>
          </w:p>
        </w:tc>
      </w:tr>
      <w:tr>
        <w:trPr>
          <w:trHeight w:val="324"/>
        </w:trPr>
        <w:tc>
          <w:tcPr>
            <w:tcW w:w="560" w:type="dxa"/>
            <w:vAlign w:val="bottom"/>
          </w:tcPr>
          <w:p>
            <w:pPr>
              <w:spacing w:after="0"/>
              <w:rPr>
                <w:sz w:val="24"/>
                <w:szCs w:val="24"/>
                <w:color w:val="auto"/>
              </w:rPr>
            </w:pPr>
          </w:p>
        </w:tc>
        <w:tc>
          <w:tcPr>
            <w:tcW w:w="6400" w:type="dxa"/>
            <w:vAlign w:val="bottom"/>
            <w:gridSpan w:val="2"/>
          </w:tcPr>
          <w:p>
            <w:pPr>
              <w:ind w:left="80"/>
              <w:spacing w:after="0"/>
              <w:rPr>
                <w:sz w:val="20"/>
                <w:szCs w:val="20"/>
                <w:color w:val="auto"/>
              </w:rPr>
            </w:pPr>
            <w:r>
              <w:rPr>
                <w:rFonts w:ascii="Arial" w:cs="Arial" w:eastAsia="Arial" w:hAnsi="Arial"/>
                <w:sz w:val="12"/>
                <w:szCs w:val="12"/>
                <w:color w:val="auto"/>
              </w:rPr>
              <w:t>Consolidated Statement of Changes in Stockholders’ Equity for the three months ended March 31, 2007 (unaudited)</w:t>
            </w:r>
          </w:p>
        </w:tc>
        <w:tc>
          <w:tcPr>
            <w:tcW w:w="680" w:type="dxa"/>
            <w:vAlign w:val="bottom"/>
          </w:tcPr>
          <w:p>
            <w:pPr>
              <w:spacing w:after="0"/>
              <w:rPr>
                <w:sz w:val="24"/>
                <w:szCs w:val="24"/>
                <w:color w:val="auto"/>
              </w:rPr>
            </w:pPr>
          </w:p>
        </w:tc>
        <w:tc>
          <w:tcPr>
            <w:tcW w:w="1820" w:type="dxa"/>
            <w:vAlign w:val="bottom"/>
          </w:tcPr>
          <w:p>
            <w:pPr>
              <w:jc w:val="right"/>
              <w:ind w:right="1340"/>
              <w:spacing w:after="0"/>
              <w:rPr>
                <w:sz w:val="20"/>
                <w:szCs w:val="20"/>
                <w:color w:val="auto"/>
              </w:rPr>
            </w:pPr>
            <w:r>
              <w:rPr>
                <w:rFonts w:ascii="Arial" w:cs="Arial" w:eastAsia="Arial" w:hAnsi="Arial"/>
                <w:sz w:val="12"/>
                <w:szCs w:val="12"/>
                <w:color w:val="auto"/>
              </w:rPr>
              <w:t>4</w:t>
            </w:r>
          </w:p>
        </w:tc>
        <w:tc>
          <w:tcPr>
            <w:tcW w:w="2020" w:type="dxa"/>
            <w:vAlign w:val="bottom"/>
          </w:tcPr>
          <w:p>
            <w:pPr>
              <w:spacing w:after="0"/>
              <w:rPr>
                <w:sz w:val="24"/>
                <w:szCs w:val="24"/>
                <w:color w:val="auto"/>
              </w:rPr>
            </w:pPr>
          </w:p>
        </w:tc>
      </w:tr>
      <w:tr>
        <w:trPr>
          <w:trHeight w:val="324"/>
        </w:trPr>
        <w:tc>
          <w:tcPr>
            <w:tcW w:w="560" w:type="dxa"/>
            <w:vAlign w:val="bottom"/>
          </w:tcPr>
          <w:p>
            <w:pPr>
              <w:spacing w:after="0"/>
              <w:rPr>
                <w:sz w:val="24"/>
                <w:szCs w:val="24"/>
                <w:color w:val="auto"/>
              </w:rPr>
            </w:pPr>
          </w:p>
        </w:tc>
        <w:tc>
          <w:tcPr>
            <w:tcW w:w="6400" w:type="dxa"/>
            <w:vAlign w:val="bottom"/>
            <w:gridSpan w:val="2"/>
          </w:tcPr>
          <w:p>
            <w:pPr>
              <w:ind w:left="80"/>
              <w:spacing w:after="0"/>
              <w:rPr>
                <w:sz w:val="20"/>
                <w:szCs w:val="20"/>
                <w:color w:val="auto"/>
              </w:rPr>
            </w:pPr>
            <w:r>
              <w:rPr>
                <w:rFonts w:ascii="Arial" w:cs="Arial" w:eastAsia="Arial" w:hAnsi="Arial"/>
                <w:sz w:val="12"/>
                <w:szCs w:val="12"/>
                <w:color w:val="auto"/>
              </w:rPr>
              <w:t>Consolidated Statements of Cash Flows for the three months ended March 31, 2007 and 2006 (unaudited)</w:t>
            </w:r>
          </w:p>
        </w:tc>
        <w:tc>
          <w:tcPr>
            <w:tcW w:w="680" w:type="dxa"/>
            <w:vAlign w:val="bottom"/>
          </w:tcPr>
          <w:p>
            <w:pPr>
              <w:spacing w:after="0"/>
              <w:rPr>
                <w:sz w:val="24"/>
                <w:szCs w:val="24"/>
                <w:color w:val="auto"/>
              </w:rPr>
            </w:pPr>
          </w:p>
        </w:tc>
        <w:tc>
          <w:tcPr>
            <w:tcW w:w="1820" w:type="dxa"/>
            <w:vAlign w:val="bottom"/>
          </w:tcPr>
          <w:p>
            <w:pPr>
              <w:jc w:val="right"/>
              <w:ind w:right="1280"/>
              <w:spacing w:after="0"/>
              <w:rPr>
                <w:sz w:val="20"/>
                <w:szCs w:val="20"/>
                <w:color w:val="auto"/>
              </w:rPr>
            </w:pPr>
            <w:r>
              <w:rPr>
                <w:rFonts w:ascii="Arial" w:cs="Arial" w:eastAsia="Arial" w:hAnsi="Arial"/>
                <w:sz w:val="12"/>
                <w:szCs w:val="12"/>
                <w:color w:val="auto"/>
              </w:rPr>
              <w:t>5</w:t>
            </w:r>
          </w:p>
        </w:tc>
        <w:tc>
          <w:tcPr>
            <w:tcW w:w="2020" w:type="dxa"/>
            <w:vAlign w:val="bottom"/>
          </w:tcPr>
          <w:p>
            <w:pPr>
              <w:spacing w:after="0"/>
              <w:rPr>
                <w:sz w:val="24"/>
                <w:szCs w:val="24"/>
                <w:color w:val="auto"/>
              </w:rPr>
            </w:pPr>
          </w:p>
        </w:tc>
      </w:tr>
      <w:tr>
        <w:trPr>
          <w:trHeight w:val="324"/>
        </w:trPr>
        <w:tc>
          <w:tcPr>
            <w:tcW w:w="560" w:type="dxa"/>
            <w:vAlign w:val="bottom"/>
          </w:tcPr>
          <w:p>
            <w:pPr>
              <w:spacing w:after="0"/>
              <w:rPr>
                <w:sz w:val="24"/>
                <w:szCs w:val="24"/>
                <w:color w:val="auto"/>
              </w:rPr>
            </w:pPr>
          </w:p>
        </w:tc>
        <w:tc>
          <w:tcPr>
            <w:tcW w:w="4780" w:type="dxa"/>
            <w:vAlign w:val="bottom"/>
          </w:tcPr>
          <w:p>
            <w:pPr>
              <w:ind w:left="80"/>
              <w:spacing w:after="0"/>
              <w:rPr>
                <w:sz w:val="20"/>
                <w:szCs w:val="20"/>
                <w:color w:val="auto"/>
              </w:rPr>
            </w:pPr>
            <w:r>
              <w:rPr>
                <w:rFonts w:ascii="Arial" w:cs="Arial" w:eastAsia="Arial" w:hAnsi="Arial"/>
                <w:sz w:val="12"/>
                <w:szCs w:val="12"/>
                <w:color w:val="auto"/>
              </w:rPr>
              <w:t>Notes to Consolidated Financial Statements (unaudited)</w:t>
            </w:r>
          </w:p>
        </w:tc>
        <w:tc>
          <w:tcPr>
            <w:tcW w:w="1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jc w:val="right"/>
              <w:ind w:right="80"/>
              <w:spacing w:after="0"/>
              <w:rPr>
                <w:sz w:val="20"/>
                <w:szCs w:val="20"/>
                <w:color w:val="auto"/>
              </w:rPr>
            </w:pPr>
            <w:r>
              <w:rPr>
                <w:rFonts w:ascii="Arial" w:cs="Arial" w:eastAsia="Arial" w:hAnsi="Arial"/>
                <w:sz w:val="12"/>
                <w:szCs w:val="12"/>
                <w:color w:val="auto"/>
              </w:rPr>
              <w:t>60;</w:t>
            </w:r>
          </w:p>
        </w:tc>
        <w:tc>
          <w:tcPr>
            <w:tcW w:w="2020" w:type="dxa"/>
            <w:vAlign w:val="bottom"/>
          </w:tcPr>
          <w:p>
            <w:pPr>
              <w:jc w:val="right"/>
              <w:ind w:right="1760"/>
              <w:spacing w:after="0"/>
              <w:rPr>
                <w:sz w:val="20"/>
                <w:szCs w:val="20"/>
                <w:color w:val="auto"/>
              </w:rPr>
            </w:pPr>
            <w:r>
              <w:rPr>
                <w:rFonts w:ascii="Arial" w:cs="Arial" w:eastAsia="Arial" w:hAnsi="Arial"/>
                <w:sz w:val="12"/>
                <w:szCs w:val="12"/>
                <w:color w:val="auto"/>
              </w:rPr>
              <w:t>6</w:t>
            </w:r>
          </w:p>
        </w:tc>
      </w:tr>
      <w:tr>
        <w:trPr>
          <w:trHeight w:val="324"/>
        </w:trPr>
        <w:tc>
          <w:tcPr>
            <w:tcW w:w="560" w:type="dxa"/>
            <w:vAlign w:val="bottom"/>
          </w:tcPr>
          <w:p>
            <w:pPr>
              <w:spacing w:after="0"/>
              <w:rPr>
                <w:sz w:val="20"/>
                <w:szCs w:val="20"/>
                <w:color w:val="auto"/>
              </w:rPr>
            </w:pPr>
            <w:r>
              <w:rPr>
                <w:rFonts w:ascii="Arial" w:cs="Arial" w:eastAsia="Arial" w:hAnsi="Arial"/>
                <w:sz w:val="12"/>
                <w:szCs w:val="12"/>
                <w:color w:val="auto"/>
              </w:rPr>
              <w:t>Item 2.</w:t>
            </w:r>
          </w:p>
        </w:tc>
        <w:tc>
          <w:tcPr>
            <w:tcW w:w="4780" w:type="dxa"/>
            <w:vAlign w:val="bottom"/>
          </w:tcPr>
          <w:p>
            <w:pPr>
              <w:ind w:left="200"/>
              <w:spacing w:after="0"/>
              <w:rPr>
                <w:sz w:val="20"/>
                <w:szCs w:val="20"/>
                <w:color w:val="auto"/>
              </w:rPr>
            </w:pPr>
            <w:r>
              <w:rPr>
                <w:rFonts w:ascii="Arial" w:cs="Arial" w:eastAsia="Arial" w:hAnsi="Arial"/>
                <w:sz w:val="12"/>
                <w:szCs w:val="12"/>
                <w:color w:val="auto"/>
                <w:w w:val="96"/>
              </w:rPr>
              <w:t>Management’s Discussion and Analysis of Financial Condition and Results of Operations</w:t>
            </w:r>
          </w:p>
        </w:tc>
        <w:tc>
          <w:tcPr>
            <w:tcW w:w="1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ind w:left="500"/>
              <w:spacing w:after="0"/>
              <w:rPr>
                <w:sz w:val="20"/>
                <w:szCs w:val="20"/>
                <w:color w:val="auto"/>
              </w:rPr>
            </w:pPr>
            <w:r>
              <w:rPr>
                <w:rFonts w:ascii="Arial" w:cs="Arial" w:eastAsia="Arial" w:hAnsi="Arial"/>
                <w:sz w:val="12"/>
                <w:szCs w:val="12"/>
                <w:color w:val="auto"/>
              </w:rPr>
              <w:t>14</w:t>
            </w:r>
          </w:p>
        </w:tc>
        <w:tc>
          <w:tcPr>
            <w:tcW w:w="2020" w:type="dxa"/>
            <w:vAlign w:val="bottom"/>
          </w:tcPr>
          <w:p>
            <w:pPr>
              <w:spacing w:after="0"/>
              <w:rPr>
                <w:sz w:val="24"/>
                <w:szCs w:val="24"/>
                <w:color w:val="auto"/>
              </w:rPr>
            </w:pPr>
          </w:p>
        </w:tc>
      </w:tr>
      <w:tr>
        <w:trPr>
          <w:trHeight w:val="351"/>
        </w:trPr>
        <w:tc>
          <w:tcPr>
            <w:tcW w:w="560" w:type="dxa"/>
            <w:vAlign w:val="bottom"/>
          </w:tcPr>
          <w:p>
            <w:pPr>
              <w:spacing w:after="0"/>
              <w:rPr>
                <w:sz w:val="20"/>
                <w:szCs w:val="20"/>
                <w:color w:val="auto"/>
              </w:rPr>
            </w:pPr>
            <w:r>
              <w:rPr>
                <w:rFonts w:ascii="Arial" w:cs="Arial" w:eastAsia="Arial" w:hAnsi="Arial"/>
                <w:sz w:val="12"/>
                <w:szCs w:val="12"/>
                <w:color w:val="auto"/>
              </w:rPr>
              <w:t>Item 3.</w:t>
            </w:r>
          </w:p>
        </w:tc>
        <w:tc>
          <w:tcPr>
            <w:tcW w:w="4780" w:type="dxa"/>
            <w:vAlign w:val="bottom"/>
          </w:tcPr>
          <w:p>
            <w:pPr>
              <w:ind w:left="200"/>
              <w:spacing w:after="0"/>
              <w:rPr>
                <w:sz w:val="20"/>
                <w:szCs w:val="20"/>
                <w:color w:val="auto"/>
              </w:rPr>
            </w:pPr>
            <w:r>
              <w:rPr>
                <w:rFonts w:ascii="Arial" w:cs="Arial" w:eastAsia="Arial" w:hAnsi="Arial"/>
                <w:sz w:val="12"/>
                <w:szCs w:val="12"/>
                <w:color w:val="auto"/>
              </w:rPr>
              <w:t>Quantitative and Qualitative Disclosures about Market Risk</w:t>
            </w:r>
          </w:p>
        </w:tc>
        <w:tc>
          <w:tcPr>
            <w:tcW w:w="1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jc w:val="right"/>
              <w:ind w:right="940"/>
              <w:spacing w:after="0"/>
              <w:rPr>
                <w:sz w:val="20"/>
                <w:szCs w:val="20"/>
                <w:color w:val="auto"/>
              </w:rPr>
            </w:pPr>
            <w:r>
              <w:rPr>
                <w:rFonts w:ascii="Arial" w:cs="Arial" w:eastAsia="Arial" w:hAnsi="Arial"/>
                <w:sz w:val="12"/>
                <w:szCs w:val="12"/>
                <w:color w:val="auto"/>
              </w:rPr>
              <w:t>18</w:t>
            </w:r>
          </w:p>
        </w:tc>
        <w:tc>
          <w:tcPr>
            <w:tcW w:w="2020" w:type="dxa"/>
            <w:vAlign w:val="bottom"/>
          </w:tcPr>
          <w:p>
            <w:pPr>
              <w:spacing w:after="0"/>
              <w:rPr>
                <w:sz w:val="24"/>
                <w:szCs w:val="24"/>
                <w:color w:val="auto"/>
              </w:rPr>
            </w:pPr>
          </w:p>
        </w:tc>
      </w:tr>
      <w:tr>
        <w:trPr>
          <w:trHeight w:val="360"/>
        </w:trPr>
        <w:tc>
          <w:tcPr>
            <w:tcW w:w="560" w:type="dxa"/>
            <w:vAlign w:val="bottom"/>
          </w:tcPr>
          <w:p>
            <w:pPr>
              <w:spacing w:after="0"/>
              <w:rPr>
                <w:sz w:val="20"/>
                <w:szCs w:val="20"/>
                <w:color w:val="auto"/>
              </w:rPr>
            </w:pPr>
            <w:r>
              <w:rPr>
                <w:rFonts w:ascii="Arial" w:cs="Arial" w:eastAsia="Arial" w:hAnsi="Arial"/>
                <w:sz w:val="12"/>
                <w:szCs w:val="12"/>
                <w:color w:val="auto"/>
              </w:rPr>
              <w:t>Item 4.</w:t>
            </w:r>
          </w:p>
        </w:tc>
        <w:tc>
          <w:tcPr>
            <w:tcW w:w="4780" w:type="dxa"/>
            <w:vAlign w:val="bottom"/>
          </w:tcPr>
          <w:p>
            <w:pPr>
              <w:ind w:left="200"/>
              <w:spacing w:after="0"/>
              <w:rPr>
                <w:sz w:val="20"/>
                <w:szCs w:val="20"/>
                <w:color w:val="auto"/>
              </w:rPr>
            </w:pPr>
            <w:r>
              <w:rPr>
                <w:rFonts w:ascii="Arial" w:cs="Arial" w:eastAsia="Arial" w:hAnsi="Arial"/>
                <w:sz w:val="12"/>
                <w:szCs w:val="12"/>
                <w:color w:val="auto"/>
              </w:rPr>
              <w:t>Controls and Procedures</w:t>
            </w:r>
          </w:p>
        </w:tc>
        <w:tc>
          <w:tcPr>
            <w:tcW w:w="1620" w:type="dxa"/>
            <w:vAlign w:val="bottom"/>
          </w:tcPr>
          <w:p>
            <w:pPr>
              <w:spacing w:after="0"/>
              <w:rPr>
                <w:sz w:val="24"/>
                <w:szCs w:val="24"/>
                <w:color w:val="auto"/>
              </w:rPr>
            </w:pPr>
          </w:p>
        </w:tc>
        <w:tc>
          <w:tcPr>
            <w:tcW w:w="680" w:type="dxa"/>
            <w:vAlign w:val="bottom"/>
          </w:tcPr>
          <w:p>
            <w:pPr>
              <w:jc w:val="right"/>
              <w:ind w:right="540"/>
              <w:spacing w:after="0"/>
              <w:rPr>
                <w:sz w:val="20"/>
                <w:szCs w:val="20"/>
                <w:color w:val="auto"/>
              </w:rPr>
            </w:pPr>
            <w:r>
              <w:rPr>
                <w:rFonts w:ascii="Arial" w:cs="Arial" w:eastAsia="Arial" w:hAnsi="Arial"/>
                <w:sz w:val="12"/>
                <w:szCs w:val="12"/>
                <w:color w:val="auto"/>
              </w:rPr>
              <w:t>;</w:t>
            </w:r>
          </w:p>
        </w:tc>
        <w:tc>
          <w:tcPr>
            <w:tcW w:w="1820" w:type="dxa"/>
            <w:vAlign w:val="bottom"/>
          </w:tcPr>
          <w:p>
            <w:pPr>
              <w:jc w:val="right"/>
              <w:ind w:right="700"/>
              <w:spacing w:after="0"/>
              <w:rPr>
                <w:sz w:val="20"/>
                <w:szCs w:val="20"/>
                <w:color w:val="auto"/>
              </w:rPr>
            </w:pPr>
            <w:r>
              <w:rPr>
                <w:rFonts w:ascii="Arial" w:cs="Arial" w:eastAsia="Arial" w:hAnsi="Arial"/>
                <w:sz w:val="12"/>
                <w:szCs w:val="12"/>
                <w:color w:val="auto"/>
              </w:rPr>
              <w:t>18</w:t>
            </w:r>
          </w:p>
        </w:tc>
        <w:tc>
          <w:tcPr>
            <w:tcW w:w="2020" w:type="dxa"/>
            <w:vAlign w:val="bottom"/>
          </w:tcPr>
          <w:p>
            <w:pPr>
              <w:spacing w:after="0"/>
              <w:rPr>
                <w:sz w:val="24"/>
                <w:szCs w:val="24"/>
                <w:color w:val="auto"/>
              </w:rPr>
            </w:pPr>
          </w:p>
        </w:tc>
      </w:tr>
      <w:tr>
        <w:trPr>
          <w:trHeight w:val="333"/>
        </w:trPr>
        <w:tc>
          <w:tcPr>
            <w:tcW w:w="5340" w:type="dxa"/>
            <w:vAlign w:val="bottom"/>
            <w:gridSpan w:val="2"/>
          </w:tcPr>
          <w:p>
            <w:pPr>
              <w:spacing w:after="0"/>
              <w:rPr>
                <w:sz w:val="20"/>
                <w:szCs w:val="20"/>
                <w:color w:val="auto"/>
              </w:rPr>
            </w:pPr>
            <w:r>
              <w:rPr>
                <w:rFonts w:ascii="Arial" w:cs="Arial" w:eastAsia="Arial" w:hAnsi="Arial"/>
                <w:sz w:val="12"/>
                <w:szCs w:val="12"/>
                <w:b w:val="1"/>
                <w:bCs w:val="1"/>
                <w:color w:val="auto"/>
              </w:rPr>
              <w:t>Part II. Other Information</w:t>
            </w:r>
          </w:p>
        </w:tc>
        <w:tc>
          <w:tcPr>
            <w:tcW w:w="1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2"/>
                <w:szCs w:val="12"/>
                <w:color w:val="auto"/>
              </w:rPr>
              <w:t>Item 1.</w:t>
            </w:r>
          </w:p>
        </w:tc>
        <w:tc>
          <w:tcPr>
            <w:tcW w:w="4780" w:type="dxa"/>
            <w:vAlign w:val="bottom"/>
          </w:tcPr>
          <w:p>
            <w:pPr>
              <w:ind w:left="80"/>
              <w:spacing w:after="0"/>
              <w:rPr>
                <w:sz w:val="20"/>
                <w:szCs w:val="20"/>
                <w:color w:val="auto"/>
              </w:rPr>
            </w:pPr>
            <w:r>
              <w:rPr>
                <w:rFonts w:ascii="Arial" w:cs="Arial" w:eastAsia="Arial" w:hAnsi="Arial"/>
                <w:sz w:val="12"/>
                <w:szCs w:val="12"/>
                <w:color w:val="auto"/>
              </w:rPr>
              <w:t>Legal Proceedings</w:t>
            </w:r>
          </w:p>
        </w:tc>
        <w:tc>
          <w:tcPr>
            <w:tcW w:w="1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20" w:type="dxa"/>
            <w:vAlign w:val="bottom"/>
          </w:tcPr>
          <w:p>
            <w:pPr>
              <w:jc w:val="right"/>
              <w:ind w:right="1560"/>
              <w:spacing w:after="0"/>
              <w:rPr>
                <w:sz w:val="20"/>
                <w:szCs w:val="20"/>
                <w:color w:val="auto"/>
              </w:rPr>
            </w:pPr>
            <w:r>
              <w:rPr>
                <w:rFonts w:ascii="Arial" w:cs="Arial" w:eastAsia="Arial" w:hAnsi="Arial"/>
                <w:sz w:val="12"/>
                <w:szCs w:val="12"/>
                <w:color w:val="auto"/>
              </w:rPr>
              <w:t>18</w:t>
            </w:r>
          </w:p>
        </w:tc>
      </w:tr>
      <w:tr>
        <w:trPr>
          <w:trHeight w:val="324"/>
        </w:trPr>
        <w:tc>
          <w:tcPr>
            <w:tcW w:w="560" w:type="dxa"/>
            <w:vAlign w:val="bottom"/>
          </w:tcPr>
          <w:p>
            <w:pPr>
              <w:spacing w:after="0"/>
              <w:rPr>
                <w:sz w:val="20"/>
                <w:szCs w:val="20"/>
                <w:color w:val="auto"/>
              </w:rPr>
            </w:pPr>
            <w:r>
              <w:rPr>
                <w:rFonts w:ascii="Arial" w:cs="Arial" w:eastAsia="Arial" w:hAnsi="Arial"/>
                <w:sz w:val="12"/>
                <w:szCs w:val="12"/>
                <w:color w:val="auto"/>
              </w:rPr>
              <w:t>Item 1A.</w:t>
            </w:r>
          </w:p>
        </w:tc>
        <w:tc>
          <w:tcPr>
            <w:tcW w:w="4780" w:type="dxa"/>
            <w:vAlign w:val="bottom"/>
          </w:tcPr>
          <w:p>
            <w:pPr>
              <w:ind w:left="100"/>
              <w:spacing w:after="0"/>
              <w:rPr>
                <w:sz w:val="20"/>
                <w:szCs w:val="20"/>
                <w:color w:val="auto"/>
              </w:rPr>
            </w:pPr>
            <w:r>
              <w:rPr>
                <w:rFonts w:ascii="Arial" w:cs="Arial" w:eastAsia="Arial" w:hAnsi="Arial"/>
                <w:sz w:val="12"/>
                <w:szCs w:val="12"/>
                <w:color w:val="auto"/>
              </w:rPr>
              <w:t>Risk Factors</w:t>
            </w:r>
          </w:p>
        </w:tc>
        <w:tc>
          <w:tcPr>
            <w:tcW w:w="1620" w:type="dxa"/>
            <w:vAlign w:val="bottom"/>
          </w:tcPr>
          <w:p>
            <w:pPr>
              <w:jc w:val="right"/>
              <w:ind w:right="203"/>
              <w:spacing w:after="0"/>
              <w:rPr>
                <w:sz w:val="20"/>
                <w:szCs w:val="20"/>
                <w:color w:val="auto"/>
              </w:rPr>
            </w:pPr>
            <w:r>
              <w:rPr>
                <w:rFonts w:ascii="Arial" w:cs="Arial" w:eastAsia="Arial" w:hAnsi="Arial"/>
                <w:sz w:val="12"/>
                <w:szCs w:val="12"/>
                <w:color w:val="auto"/>
              </w:rPr>
              <w:t>&amp;# 160;</w:t>
            </w:r>
          </w:p>
        </w:tc>
        <w:tc>
          <w:tcPr>
            <w:tcW w:w="680" w:type="dxa"/>
            <w:vAlign w:val="bottom"/>
          </w:tcPr>
          <w:p>
            <w:pPr>
              <w:spacing w:after="0"/>
              <w:rPr>
                <w:sz w:val="24"/>
                <w:szCs w:val="24"/>
                <w:color w:val="auto"/>
              </w:rPr>
            </w:pPr>
          </w:p>
        </w:tc>
        <w:tc>
          <w:tcPr>
            <w:tcW w:w="1820" w:type="dxa"/>
            <w:vAlign w:val="bottom"/>
          </w:tcPr>
          <w:p>
            <w:pPr>
              <w:jc w:val="right"/>
              <w:ind w:right="420"/>
              <w:spacing w:after="0"/>
              <w:rPr>
                <w:sz w:val="20"/>
                <w:szCs w:val="20"/>
                <w:color w:val="auto"/>
              </w:rPr>
            </w:pPr>
            <w:r>
              <w:rPr>
                <w:rFonts w:ascii="Arial" w:cs="Arial" w:eastAsia="Arial" w:hAnsi="Arial"/>
                <w:sz w:val="12"/>
                <w:szCs w:val="12"/>
                <w:color w:val="auto"/>
              </w:rPr>
              <w:t>18</w:t>
            </w:r>
          </w:p>
        </w:tc>
        <w:tc>
          <w:tcPr>
            <w:tcW w:w="2020" w:type="dxa"/>
            <w:vAlign w:val="bottom"/>
          </w:tcPr>
          <w:p>
            <w:pPr>
              <w:spacing w:after="0"/>
              <w:rPr>
                <w:sz w:val="24"/>
                <w:szCs w:val="24"/>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2"/>
                <w:szCs w:val="12"/>
                <w:color w:val="auto"/>
              </w:rPr>
              <w:t>Item 2.</w:t>
            </w:r>
          </w:p>
        </w:tc>
        <w:tc>
          <w:tcPr>
            <w:tcW w:w="4780" w:type="dxa"/>
            <w:vAlign w:val="bottom"/>
          </w:tcPr>
          <w:p>
            <w:pPr>
              <w:ind w:left="80"/>
              <w:spacing w:after="0"/>
              <w:rPr>
                <w:sz w:val="20"/>
                <w:szCs w:val="20"/>
                <w:color w:val="auto"/>
              </w:rPr>
            </w:pPr>
            <w:r>
              <w:rPr>
                <w:rFonts w:ascii="Arial" w:cs="Arial" w:eastAsia="Arial" w:hAnsi="Arial"/>
                <w:sz w:val="12"/>
                <w:szCs w:val="12"/>
                <w:color w:val="auto"/>
              </w:rPr>
              <w:t>Unregistered Sales of Equity Securities and Use of Proceeds</w:t>
            </w:r>
          </w:p>
        </w:tc>
        <w:tc>
          <w:tcPr>
            <w:tcW w:w="1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jc w:val="right"/>
              <w:ind w:right="1020"/>
              <w:spacing w:after="0"/>
              <w:rPr>
                <w:sz w:val="20"/>
                <w:szCs w:val="20"/>
                <w:color w:val="auto"/>
              </w:rPr>
            </w:pPr>
            <w:r>
              <w:rPr>
                <w:rFonts w:ascii="Arial" w:cs="Arial" w:eastAsia="Arial" w:hAnsi="Arial"/>
                <w:sz w:val="12"/>
                <w:szCs w:val="12"/>
                <w:color w:val="auto"/>
              </w:rPr>
              <w:t>19</w:t>
            </w:r>
          </w:p>
        </w:tc>
        <w:tc>
          <w:tcPr>
            <w:tcW w:w="2020" w:type="dxa"/>
            <w:vAlign w:val="bottom"/>
          </w:tcPr>
          <w:p>
            <w:pPr>
              <w:spacing w:after="0"/>
              <w:rPr>
                <w:sz w:val="24"/>
                <w:szCs w:val="24"/>
                <w:color w:val="auto"/>
              </w:rPr>
            </w:pPr>
          </w:p>
        </w:tc>
      </w:tr>
      <w:tr>
        <w:trPr>
          <w:trHeight w:val="306"/>
        </w:trPr>
        <w:tc>
          <w:tcPr>
            <w:tcW w:w="560" w:type="dxa"/>
            <w:vAlign w:val="bottom"/>
          </w:tcPr>
          <w:p>
            <w:pPr>
              <w:spacing w:after="0"/>
              <w:rPr>
                <w:sz w:val="20"/>
                <w:szCs w:val="20"/>
                <w:color w:val="auto"/>
              </w:rPr>
            </w:pPr>
            <w:r>
              <w:rPr>
                <w:rFonts w:ascii="Arial" w:cs="Arial" w:eastAsia="Arial" w:hAnsi="Arial"/>
                <w:sz w:val="12"/>
                <w:szCs w:val="12"/>
                <w:color w:val="auto"/>
              </w:rPr>
              <w:t>Item 3.</w:t>
            </w:r>
          </w:p>
        </w:tc>
        <w:tc>
          <w:tcPr>
            <w:tcW w:w="4780" w:type="dxa"/>
            <w:vAlign w:val="bottom"/>
          </w:tcPr>
          <w:p>
            <w:pPr>
              <w:ind w:left="80"/>
              <w:spacing w:after="0"/>
              <w:rPr>
                <w:sz w:val="20"/>
                <w:szCs w:val="20"/>
                <w:color w:val="auto"/>
              </w:rPr>
            </w:pPr>
            <w:r>
              <w:rPr>
                <w:rFonts w:ascii="Arial" w:cs="Arial" w:eastAsia="Arial" w:hAnsi="Arial"/>
                <w:sz w:val="12"/>
                <w:szCs w:val="12"/>
                <w:color w:val="auto"/>
              </w:rPr>
              <w:t>Defaults Upon Senior Securities</w:t>
            </w:r>
          </w:p>
        </w:tc>
        <w:tc>
          <w:tcPr>
            <w:tcW w:w="1620" w:type="dxa"/>
            <w:vAlign w:val="bottom"/>
          </w:tcPr>
          <w:p>
            <w:pPr>
              <w:spacing w:after="0"/>
              <w:rPr>
                <w:sz w:val="24"/>
                <w:szCs w:val="24"/>
                <w:color w:val="auto"/>
              </w:rPr>
            </w:pPr>
          </w:p>
        </w:tc>
        <w:tc>
          <w:tcPr>
            <w:tcW w:w="68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1820" w:type="dxa"/>
            <w:vAlign w:val="bottom"/>
          </w:tcPr>
          <w:p>
            <w:pPr>
              <w:jc w:val="right"/>
              <w:ind w:right="800"/>
              <w:spacing w:after="0"/>
              <w:rPr>
                <w:sz w:val="20"/>
                <w:szCs w:val="20"/>
                <w:color w:val="auto"/>
              </w:rPr>
            </w:pPr>
            <w:r>
              <w:rPr>
                <w:rFonts w:ascii="Arial" w:cs="Arial" w:eastAsia="Arial" w:hAnsi="Arial"/>
                <w:sz w:val="12"/>
                <w:szCs w:val="12"/>
                <w:color w:val="auto"/>
              </w:rPr>
              <w:t>19</w:t>
            </w:r>
          </w:p>
        </w:tc>
        <w:tc>
          <w:tcPr>
            <w:tcW w:w="2020" w:type="dxa"/>
            <w:vAlign w:val="bottom"/>
          </w:tcPr>
          <w:p>
            <w:pPr>
              <w:spacing w:after="0"/>
              <w:rPr>
                <w:sz w:val="24"/>
                <w:szCs w:val="24"/>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2"/>
                <w:szCs w:val="12"/>
                <w:color w:val="auto"/>
              </w:rPr>
              <w:t>Item 4.</w:t>
            </w:r>
          </w:p>
        </w:tc>
        <w:tc>
          <w:tcPr>
            <w:tcW w:w="4780" w:type="dxa"/>
            <w:vAlign w:val="bottom"/>
          </w:tcPr>
          <w:p>
            <w:pPr>
              <w:ind w:left="80"/>
              <w:spacing w:after="0"/>
              <w:rPr>
                <w:sz w:val="20"/>
                <w:szCs w:val="20"/>
                <w:color w:val="auto"/>
              </w:rPr>
            </w:pPr>
            <w:r>
              <w:rPr>
                <w:rFonts w:ascii="Arial" w:cs="Arial" w:eastAsia="Arial" w:hAnsi="Arial"/>
                <w:sz w:val="12"/>
                <w:szCs w:val="12"/>
                <w:color w:val="auto"/>
              </w:rPr>
              <w:t>Submission of Matters to a Vote of Security Holders</w:t>
            </w:r>
          </w:p>
        </w:tc>
        <w:tc>
          <w:tcPr>
            <w:tcW w:w="1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jc w:val="right"/>
              <w:ind w:right="1000"/>
              <w:spacing w:after="0"/>
              <w:rPr>
                <w:sz w:val="20"/>
                <w:szCs w:val="20"/>
                <w:color w:val="auto"/>
              </w:rPr>
            </w:pPr>
            <w:r>
              <w:rPr>
                <w:rFonts w:ascii="Arial" w:cs="Arial" w:eastAsia="Arial" w:hAnsi="Arial"/>
                <w:sz w:val="12"/>
                <w:szCs w:val="12"/>
                <w:color w:val="auto"/>
              </w:rPr>
              <w:t>19</w:t>
            </w:r>
          </w:p>
        </w:tc>
        <w:tc>
          <w:tcPr>
            <w:tcW w:w="2020" w:type="dxa"/>
            <w:vAlign w:val="bottom"/>
          </w:tcPr>
          <w:p>
            <w:pPr>
              <w:spacing w:after="0"/>
              <w:rPr>
                <w:sz w:val="24"/>
                <w:szCs w:val="24"/>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2"/>
                <w:szCs w:val="12"/>
                <w:color w:val="auto"/>
              </w:rPr>
              <w:t>Item 5.</w:t>
            </w:r>
          </w:p>
        </w:tc>
        <w:tc>
          <w:tcPr>
            <w:tcW w:w="4780" w:type="dxa"/>
            <w:vAlign w:val="bottom"/>
          </w:tcPr>
          <w:p>
            <w:pPr>
              <w:ind w:left="80"/>
              <w:spacing w:after="0"/>
              <w:rPr>
                <w:sz w:val="20"/>
                <w:szCs w:val="20"/>
                <w:color w:val="auto"/>
              </w:rPr>
            </w:pPr>
            <w:r>
              <w:rPr>
                <w:rFonts w:ascii="Arial" w:cs="Arial" w:eastAsia="Arial" w:hAnsi="Arial"/>
                <w:sz w:val="12"/>
                <w:szCs w:val="12"/>
                <w:color w:val="auto"/>
              </w:rPr>
              <w:t>Other Information</w:t>
            </w:r>
          </w:p>
        </w:tc>
        <w:tc>
          <w:tcPr>
            <w:tcW w:w="1620" w:type="dxa"/>
            <w:vAlign w:val="bottom"/>
          </w:tcPr>
          <w:p>
            <w:pPr>
              <w:jc w:val="right"/>
              <w:ind w:right="183"/>
              <w:spacing w:after="0"/>
              <w:rPr>
                <w:sz w:val="20"/>
                <w:szCs w:val="20"/>
                <w:color w:val="auto"/>
              </w:rPr>
            </w:pPr>
            <w:r>
              <w:rPr>
                <w:rFonts w:ascii="Arial" w:cs="Arial" w:eastAsia="Arial" w:hAnsi="Arial"/>
                <w:sz w:val="12"/>
                <w:szCs w:val="12"/>
                <w:color w:val="auto"/>
              </w:rPr>
              <w:t>0;</w:t>
            </w:r>
          </w:p>
        </w:tc>
        <w:tc>
          <w:tcPr>
            <w:tcW w:w="680" w:type="dxa"/>
            <w:vAlign w:val="bottom"/>
          </w:tcPr>
          <w:p>
            <w:pPr>
              <w:spacing w:after="0"/>
              <w:rPr>
                <w:sz w:val="24"/>
                <w:szCs w:val="24"/>
                <w:color w:val="auto"/>
              </w:rPr>
            </w:pPr>
          </w:p>
        </w:tc>
        <w:tc>
          <w:tcPr>
            <w:tcW w:w="1820" w:type="dxa"/>
            <w:vAlign w:val="bottom"/>
          </w:tcPr>
          <w:p>
            <w:pPr>
              <w:jc w:val="right"/>
              <w:ind w:right="620"/>
              <w:spacing w:after="0"/>
              <w:rPr>
                <w:sz w:val="20"/>
                <w:szCs w:val="20"/>
                <w:color w:val="auto"/>
              </w:rPr>
            </w:pPr>
            <w:r>
              <w:rPr>
                <w:rFonts w:ascii="Arial" w:cs="Arial" w:eastAsia="Arial" w:hAnsi="Arial"/>
                <w:sz w:val="12"/>
                <w:szCs w:val="12"/>
                <w:color w:val="auto"/>
              </w:rPr>
              <w:t>19</w:t>
            </w:r>
          </w:p>
        </w:tc>
        <w:tc>
          <w:tcPr>
            <w:tcW w:w="2020" w:type="dxa"/>
            <w:vAlign w:val="bottom"/>
          </w:tcPr>
          <w:p>
            <w:pPr>
              <w:spacing w:after="0"/>
              <w:rPr>
                <w:sz w:val="24"/>
                <w:szCs w:val="24"/>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2"/>
                <w:szCs w:val="12"/>
                <w:color w:val="auto"/>
              </w:rPr>
              <w:t>Item 6.</w:t>
            </w:r>
          </w:p>
        </w:tc>
        <w:tc>
          <w:tcPr>
            <w:tcW w:w="4780" w:type="dxa"/>
            <w:vAlign w:val="bottom"/>
          </w:tcPr>
          <w:p>
            <w:pPr>
              <w:ind w:left="80"/>
              <w:spacing w:after="0"/>
              <w:rPr>
                <w:sz w:val="20"/>
                <w:szCs w:val="20"/>
                <w:color w:val="auto"/>
              </w:rPr>
            </w:pPr>
            <w:r>
              <w:rPr>
                <w:rFonts w:ascii="Arial" w:cs="Arial" w:eastAsia="Arial" w:hAnsi="Arial"/>
                <w:sz w:val="12"/>
                <w:szCs w:val="12"/>
                <w:color w:val="auto"/>
              </w:rPr>
              <w:t>Exhibits</w:t>
            </w:r>
          </w:p>
        </w:tc>
        <w:tc>
          <w:tcPr>
            <w:tcW w:w="1620" w:type="dxa"/>
            <w:vAlign w:val="bottom"/>
          </w:tcPr>
          <w:p>
            <w:pPr>
              <w:jc w:val="right"/>
              <w:ind w:right="1443"/>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24"/>
                <w:szCs w:val="24"/>
                <w:color w:val="auto"/>
              </w:rPr>
            </w:pPr>
          </w:p>
        </w:tc>
        <w:tc>
          <w:tcPr>
            <w:tcW w:w="1820" w:type="dxa"/>
            <w:vAlign w:val="bottom"/>
          </w:tcPr>
          <w:p>
            <w:pPr>
              <w:jc w:val="right"/>
              <w:ind w:right="660"/>
              <w:spacing w:after="0"/>
              <w:rPr>
                <w:sz w:val="20"/>
                <w:szCs w:val="20"/>
                <w:color w:val="auto"/>
              </w:rPr>
            </w:pPr>
            <w:r>
              <w:rPr>
                <w:rFonts w:ascii="Arial" w:cs="Arial" w:eastAsia="Arial" w:hAnsi="Arial"/>
                <w:sz w:val="12"/>
                <w:szCs w:val="12"/>
                <w:color w:val="auto"/>
              </w:rPr>
              <w:t>19</w:t>
            </w:r>
          </w:p>
        </w:tc>
        <w:tc>
          <w:tcPr>
            <w:tcW w:w="2020" w:type="dxa"/>
            <w:vAlign w:val="bottom"/>
          </w:tcPr>
          <w:p>
            <w:pPr>
              <w:spacing w:after="0"/>
              <w:rPr>
                <w:sz w:val="24"/>
                <w:szCs w:val="24"/>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2"/>
                <w:szCs w:val="12"/>
                <w:color w:val="auto"/>
                <w:w w:val="94"/>
              </w:rPr>
              <w:t>Signatures</w:t>
            </w:r>
          </w:p>
        </w:tc>
        <w:tc>
          <w:tcPr>
            <w:tcW w:w="4780" w:type="dxa"/>
            <w:vAlign w:val="bottom"/>
          </w:tcPr>
          <w:p>
            <w:pPr>
              <w:ind w:left="4020"/>
              <w:spacing w:after="0"/>
              <w:rPr>
                <w:sz w:val="20"/>
                <w:szCs w:val="20"/>
                <w:color w:val="auto"/>
              </w:rPr>
            </w:pPr>
            <w:r>
              <w:rPr>
                <w:rFonts w:ascii="Arial" w:cs="Arial" w:eastAsia="Arial" w:hAnsi="Arial"/>
                <w:sz w:val="12"/>
                <w:szCs w:val="12"/>
                <w:color w:val="auto"/>
              </w:rPr>
              <w:t>&amp; #160;</w:t>
            </w:r>
          </w:p>
        </w:tc>
        <w:tc>
          <w:tcPr>
            <w:tcW w:w="1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jc w:val="right"/>
              <w:ind w:right="400"/>
              <w:spacing w:after="0"/>
              <w:rPr>
                <w:sz w:val="20"/>
                <w:szCs w:val="20"/>
                <w:color w:val="auto"/>
              </w:rPr>
            </w:pPr>
            <w:r>
              <w:rPr>
                <w:rFonts w:ascii="Arial" w:cs="Arial" w:eastAsia="Arial" w:hAnsi="Arial"/>
                <w:sz w:val="12"/>
                <w:szCs w:val="12"/>
                <w:color w:val="auto"/>
              </w:rPr>
              <w:t>20</w:t>
            </w:r>
          </w:p>
        </w:tc>
        <w:tc>
          <w:tcPr>
            <w:tcW w:w="2020" w:type="dxa"/>
            <w:vAlign w:val="bottom"/>
          </w:tcPr>
          <w:p>
            <w:pPr>
              <w:spacing w:after="0"/>
              <w:rPr>
                <w:sz w:val="24"/>
                <w:szCs w:val="24"/>
                <w:color w:val="auto"/>
              </w:rPr>
            </w:pPr>
          </w:p>
        </w:tc>
      </w:tr>
      <w:tr>
        <w:trPr>
          <w:trHeight w:val="451"/>
        </w:trPr>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620" w:type="dxa"/>
            <w:vAlign w:val="bottom"/>
          </w:tcPr>
          <w:p>
            <w:pPr>
              <w:jc w:val="right"/>
              <w:ind w:right="1143"/>
              <w:spacing w:after="0"/>
              <w:rPr>
                <w:sz w:val="20"/>
                <w:szCs w:val="20"/>
                <w:color w:val="auto"/>
              </w:rPr>
            </w:pPr>
            <w:r>
              <w:rPr>
                <w:rFonts w:ascii="Arial" w:cs="Arial" w:eastAsia="Arial" w:hAnsi="Arial"/>
                <w:sz w:val="10"/>
                <w:szCs w:val="10"/>
                <w:color w:val="auto"/>
              </w:rPr>
              <w:t>1</w:t>
            </w: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66"/>
        </w:trPr>
        <w:tc>
          <w:tcPr>
            <w:tcW w:w="560" w:type="dxa"/>
            <w:vAlign w:val="bottom"/>
            <w:tcBorders>
              <w:bottom w:val="single" w:sz="8" w:color="808080"/>
            </w:tcBorders>
          </w:tcPr>
          <w:p>
            <w:pPr>
              <w:spacing w:after="0"/>
              <w:rPr>
                <w:sz w:val="5"/>
                <w:szCs w:val="5"/>
                <w:color w:val="auto"/>
              </w:rPr>
            </w:pPr>
          </w:p>
        </w:tc>
        <w:tc>
          <w:tcPr>
            <w:tcW w:w="4780" w:type="dxa"/>
            <w:vAlign w:val="bottom"/>
            <w:tcBorders>
              <w:bottom w:val="single" w:sz="8" w:color="808080"/>
            </w:tcBorders>
          </w:tcPr>
          <w:p>
            <w:pPr>
              <w:spacing w:after="0"/>
              <w:rPr>
                <w:sz w:val="5"/>
                <w:szCs w:val="5"/>
                <w:color w:val="auto"/>
              </w:rPr>
            </w:pPr>
          </w:p>
        </w:tc>
        <w:tc>
          <w:tcPr>
            <w:tcW w:w="162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1820" w:type="dxa"/>
            <w:vAlign w:val="bottom"/>
            <w:tcBorders>
              <w:bottom w:val="single" w:sz="8" w:color="808080"/>
            </w:tcBorders>
          </w:tcPr>
          <w:p>
            <w:pPr>
              <w:spacing w:after="0"/>
              <w:rPr>
                <w:sz w:val="5"/>
                <w:szCs w:val="5"/>
                <w:color w:val="auto"/>
              </w:rPr>
            </w:pPr>
          </w:p>
        </w:tc>
        <w:tc>
          <w:tcPr>
            <w:tcW w:w="2020" w:type="dxa"/>
            <w:vAlign w:val="bottom"/>
            <w:tcBorders>
              <w:bottom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487" w:right="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7"/>
        </w:trPr>
        <w:tc>
          <w:tcPr>
            <w:tcW w:w="3660" w:type="dxa"/>
            <w:vAlign w:val="bottom"/>
            <w:gridSpan w:val="2"/>
          </w:tcPr>
          <w:p>
            <w:pPr>
              <w:spacing w:after="0"/>
              <w:rPr>
                <w:sz w:val="20"/>
                <w:szCs w:val="20"/>
                <w:color w:val="auto"/>
              </w:rPr>
            </w:pPr>
            <w:r>
              <w:rPr>
                <w:rFonts w:ascii="Arial" w:cs="Arial" w:eastAsia="Arial" w:hAnsi="Arial"/>
                <w:sz w:val="12"/>
                <w:szCs w:val="12"/>
                <w:b w:val="1"/>
                <w:bCs w:val="1"/>
                <w:color w:val="auto"/>
              </w:rPr>
              <w:t>PART I. FINANCIAL INFORMATION</w:t>
            </w:r>
          </w:p>
        </w:tc>
        <w:tc>
          <w:tcPr>
            <w:tcW w:w="3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3660" w:type="dxa"/>
            <w:vAlign w:val="bottom"/>
            <w:gridSpan w:val="2"/>
          </w:tcPr>
          <w:p>
            <w:pPr>
              <w:ind w:left="340"/>
              <w:spacing w:after="0"/>
              <w:rPr>
                <w:sz w:val="20"/>
                <w:szCs w:val="20"/>
                <w:color w:val="auto"/>
              </w:rPr>
            </w:pPr>
            <w:r>
              <w:rPr>
                <w:rFonts w:ascii="Arial" w:cs="Arial" w:eastAsia="Arial" w:hAnsi="Arial"/>
                <w:sz w:val="12"/>
                <w:szCs w:val="12"/>
                <w:b w:val="1"/>
                <w:bCs w:val="1"/>
                <w:color w:val="auto"/>
              </w:rPr>
              <w:t>Item 1. Financial Statements</w:t>
            </w:r>
          </w:p>
        </w:tc>
        <w:tc>
          <w:tcPr>
            <w:tcW w:w="3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360" w:type="dxa"/>
            <w:vAlign w:val="bottom"/>
            <w:gridSpan w:val="4"/>
          </w:tcPr>
          <w:p>
            <w:pPr>
              <w:jc w:val="center"/>
              <w:ind w:right="1420"/>
              <w:spacing w:after="0"/>
              <w:rPr>
                <w:sz w:val="20"/>
                <w:szCs w:val="20"/>
                <w:color w:val="auto"/>
              </w:rPr>
            </w:pPr>
            <w:r>
              <w:rPr>
                <w:rFonts w:ascii="Arial" w:cs="Arial" w:eastAsia="Arial" w:hAnsi="Arial"/>
                <w:sz w:val="12"/>
                <w:szCs w:val="12"/>
                <w:b w:val="1"/>
                <w:bCs w:val="1"/>
                <w:color w:val="auto"/>
                <w:w w:val="93"/>
              </w:rPr>
              <w:t>NN, Inc.</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360" w:type="dxa"/>
            <w:vAlign w:val="bottom"/>
            <w:gridSpan w:val="4"/>
          </w:tcPr>
          <w:p>
            <w:pPr>
              <w:jc w:val="center"/>
              <w:ind w:right="1400"/>
              <w:spacing w:after="0"/>
              <w:rPr>
                <w:sz w:val="20"/>
                <w:szCs w:val="20"/>
                <w:color w:val="auto"/>
              </w:rPr>
            </w:pPr>
            <w:r>
              <w:rPr>
                <w:rFonts w:ascii="Arial" w:cs="Arial" w:eastAsia="Arial" w:hAnsi="Arial"/>
                <w:sz w:val="12"/>
                <w:szCs w:val="12"/>
                <w:b w:val="1"/>
                <w:bCs w:val="1"/>
                <w:color w:val="auto"/>
                <w:w w:val="89"/>
              </w:rPr>
              <w:t>Consolidated Statements of Income and Comprehensive Income</w:t>
            </w: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5360" w:type="dxa"/>
            <w:vAlign w:val="bottom"/>
            <w:gridSpan w:val="4"/>
          </w:tcPr>
          <w:p>
            <w:pPr>
              <w:jc w:val="center"/>
              <w:ind w:right="1420"/>
              <w:spacing w:after="0"/>
              <w:rPr>
                <w:sz w:val="20"/>
                <w:szCs w:val="20"/>
                <w:color w:val="auto"/>
              </w:rPr>
            </w:pPr>
            <w:r>
              <w:rPr>
                <w:rFonts w:ascii="Arial" w:cs="Arial" w:eastAsia="Arial" w:hAnsi="Arial"/>
                <w:sz w:val="12"/>
                <w:szCs w:val="12"/>
                <w:b w:val="1"/>
                <w:bCs w:val="1"/>
                <w:color w:val="auto"/>
                <w:w w:val="92"/>
              </w:rPr>
              <w:t>(Unaudited)</w:t>
            </w: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10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160" w:type="dxa"/>
            <w:vAlign w:val="bottom"/>
            <w:gridSpan w:val="3"/>
          </w:tcPr>
          <w:p>
            <w:pPr>
              <w:jc w:val="center"/>
              <w:ind w:left="840"/>
              <w:spacing w:after="0"/>
              <w:rPr>
                <w:sz w:val="20"/>
                <w:szCs w:val="20"/>
                <w:color w:val="auto"/>
              </w:rPr>
            </w:pPr>
            <w:r>
              <w:rPr>
                <w:rFonts w:ascii="Arial" w:cs="Arial" w:eastAsia="Arial" w:hAnsi="Arial"/>
                <w:sz w:val="12"/>
                <w:szCs w:val="12"/>
                <w:b w:val="1"/>
                <w:bCs w:val="1"/>
                <w:color w:val="auto"/>
                <w:w w:val="92"/>
              </w:rPr>
              <w:t>Three Months Ended</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0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160" w:type="dxa"/>
            <w:vAlign w:val="bottom"/>
            <w:gridSpan w:val="3"/>
          </w:tcPr>
          <w:p>
            <w:pPr>
              <w:jc w:val="center"/>
              <w:ind w:left="820"/>
              <w:spacing w:after="0"/>
              <w:rPr>
                <w:sz w:val="20"/>
                <w:szCs w:val="20"/>
                <w:color w:val="auto"/>
              </w:rPr>
            </w:pPr>
            <w:r>
              <w:rPr>
                <w:rFonts w:ascii="Arial" w:cs="Arial" w:eastAsia="Arial" w:hAnsi="Arial"/>
                <w:sz w:val="12"/>
                <w:szCs w:val="12"/>
                <w:b w:val="1"/>
                <w:bCs w:val="1"/>
                <w:color w:val="auto"/>
                <w:w w:val="93"/>
              </w:rPr>
              <w:t>March 31,</w:t>
            </w: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2"/>
        </w:trPr>
        <w:tc>
          <w:tcPr>
            <w:tcW w:w="3660" w:type="dxa"/>
            <w:vAlign w:val="bottom"/>
            <w:gridSpan w:val="2"/>
          </w:tcPr>
          <w:p>
            <w:pPr>
              <w:ind w:left="1040"/>
              <w:spacing w:after="0"/>
              <w:rPr>
                <w:sz w:val="20"/>
                <w:szCs w:val="20"/>
                <w:color w:val="auto"/>
              </w:rPr>
            </w:pPr>
            <w:r>
              <w:rPr>
                <w:rFonts w:ascii="Arial" w:cs="Arial" w:eastAsia="Arial" w:hAnsi="Arial"/>
                <w:sz w:val="12"/>
                <w:szCs w:val="12"/>
                <w:color w:val="auto"/>
              </w:rPr>
              <w:t>(Thousands of Dollars, Except Per Share Data)</w:t>
            </w:r>
          </w:p>
        </w:tc>
        <w:tc>
          <w:tcPr>
            <w:tcW w:w="458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2007</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520"/>
              <w:spacing w:after="0"/>
              <w:rPr>
                <w:sz w:val="20"/>
                <w:szCs w:val="20"/>
                <w:color w:val="auto"/>
              </w:rPr>
            </w:pPr>
            <w:r>
              <w:rPr>
                <w:rFonts w:ascii="Arial" w:cs="Arial" w:eastAsia="Arial" w:hAnsi="Arial"/>
                <w:sz w:val="12"/>
                <w:szCs w:val="12"/>
                <w:b w:val="1"/>
                <w:bCs w:val="1"/>
                <w:color w:val="auto"/>
              </w:rPr>
              <w:t>2006</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040" w:type="dxa"/>
            <w:vAlign w:val="bottom"/>
          </w:tcPr>
          <w:p>
            <w:pPr>
              <w:spacing w:after="0"/>
              <w:rPr>
                <w:sz w:val="13"/>
                <w:szCs w:val="13"/>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Net sales</w:t>
            </w:r>
          </w:p>
        </w:tc>
        <w:tc>
          <w:tcPr>
            <w:tcW w:w="4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$ 107,944</w:t>
            </w:r>
          </w:p>
        </w:tc>
        <w:tc>
          <w:tcPr>
            <w:tcW w:w="3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$ 86,017</w:t>
            </w:r>
          </w:p>
        </w:tc>
        <w:tc>
          <w:tcPr>
            <w:tcW w:w="3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2620" w:type="dxa"/>
            <w:vAlign w:val="bottom"/>
          </w:tcPr>
          <w:p>
            <w:pPr>
              <w:spacing w:after="0" w:line="136" w:lineRule="exact"/>
              <w:rPr>
                <w:sz w:val="20"/>
                <w:szCs w:val="20"/>
                <w:color w:val="auto"/>
              </w:rPr>
            </w:pPr>
            <w:r>
              <w:rPr>
                <w:rFonts w:ascii="Arial" w:cs="Arial" w:eastAsia="Arial" w:hAnsi="Arial"/>
                <w:sz w:val="12"/>
                <w:szCs w:val="12"/>
                <w:color w:val="auto"/>
              </w:rPr>
              <w:t>Cost of products sold (exclusive of depreciation</w:t>
            </w:r>
          </w:p>
        </w:tc>
        <w:tc>
          <w:tcPr>
            <w:tcW w:w="3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660" w:type="dxa"/>
            <w:vAlign w:val="bottom"/>
            <w:gridSpan w:val="2"/>
          </w:tcPr>
          <w:p>
            <w:pPr>
              <w:ind w:left="1040"/>
              <w:spacing w:after="0"/>
              <w:rPr>
                <w:sz w:val="20"/>
                <w:szCs w:val="20"/>
                <w:color w:val="auto"/>
              </w:rPr>
            </w:pPr>
            <w:r>
              <w:rPr>
                <w:rFonts w:ascii="Arial" w:cs="Arial" w:eastAsia="Arial" w:hAnsi="Arial"/>
                <w:sz w:val="12"/>
                <w:szCs w:val="12"/>
                <w:color w:val="auto"/>
              </w:rPr>
              <w:t>and amortization shown separately below)</w:t>
            </w:r>
          </w:p>
        </w:tc>
        <w:tc>
          <w:tcPr>
            <w:tcW w:w="4580" w:type="dxa"/>
            <w:vAlign w:val="bottom"/>
            <w:gridSpan w:val="2"/>
          </w:tcPr>
          <w:p>
            <w:pPr>
              <w:jc w:val="right"/>
              <w:spacing w:after="0"/>
              <w:rPr>
                <w:sz w:val="20"/>
                <w:szCs w:val="20"/>
                <w:color w:val="auto"/>
              </w:rPr>
            </w:pPr>
            <w:r>
              <w:rPr>
                <w:rFonts w:ascii="Arial" w:cs="Arial" w:eastAsia="Arial" w:hAnsi="Arial"/>
                <w:sz w:val="12"/>
                <w:szCs w:val="12"/>
                <w:color w:val="auto"/>
              </w:rPr>
              <w:t>85,082</w:t>
            </w: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65,999</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Selling, general and administrative</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9,424</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7,681</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40" w:type="dxa"/>
            <w:vAlign w:val="bottom"/>
          </w:tcPr>
          <w:p>
            <w:pPr>
              <w:spacing w:after="0"/>
              <w:rPr>
                <w:sz w:val="13"/>
                <w:szCs w:val="13"/>
                <w:color w:val="auto"/>
              </w:rPr>
            </w:pPr>
          </w:p>
        </w:tc>
        <w:tc>
          <w:tcPr>
            <w:tcW w:w="262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4580" w:type="dxa"/>
            <w:vAlign w:val="bottom"/>
            <w:gridSpan w:val="2"/>
          </w:tcPr>
          <w:p>
            <w:pPr>
              <w:jc w:val="right"/>
              <w:spacing w:after="0"/>
              <w:rPr>
                <w:sz w:val="20"/>
                <w:szCs w:val="20"/>
                <w:color w:val="auto"/>
              </w:rPr>
            </w:pPr>
            <w:r>
              <w:rPr>
                <w:rFonts w:ascii="Arial" w:cs="Arial" w:eastAsia="Arial" w:hAnsi="Arial"/>
                <w:sz w:val="12"/>
                <w:szCs w:val="12"/>
                <w:color w:val="auto"/>
              </w:rPr>
              <w:t>5,523</w:t>
            </w: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4,162</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Gain on disposal of assets</w:t>
            </w:r>
          </w:p>
        </w:tc>
        <w:tc>
          <w:tcPr>
            <w:tcW w:w="3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3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(730)</w:t>
            </w:r>
          </w:p>
        </w:tc>
        <w:tc>
          <w:tcPr>
            <w:tcW w:w="3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040" w:type="dxa"/>
            <w:vAlign w:val="bottom"/>
          </w:tcPr>
          <w:p>
            <w:pPr>
              <w:spacing w:after="0"/>
              <w:rPr>
                <w:sz w:val="12"/>
                <w:szCs w:val="12"/>
                <w:color w:val="auto"/>
              </w:rPr>
            </w:pPr>
          </w:p>
        </w:tc>
        <w:tc>
          <w:tcPr>
            <w:tcW w:w="262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Income from operations</w:t>
            </w:r>
          </w:p>
        </w:tc>
        <w:tc>
          <w:tcPr>
            <w:tcW w:w="3200" w:type="dxa"/>
            <w:vAlign w:val="bottom"/>
            <w:tcBorders>
              <w:top w:val="single" w:sz="8" w:color="CCEEFF"/>
            </w:tcBorders>
          </w:tcPr>
          <w:p>
            <w:pPr>
              <w:spacing w:after="0"/>
              <w:rPr>
                <w:sz w:val="12"/>
                <w:szCs w:val="12"/>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7,920</w:t>
            </w:r>
          </w:p>
        </w:tc>
        <w:tc>
          <w:tcPr>
            <w:tcW w:w="300" w:type="dxa"/>
            <w:vAlign w:val="bottom"/>
            <w:tcBorders>
              <w:top w:val="single" w:sz="8" w:color="CCEEFF"/>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8,905</w:t>
            </w:r>
          </w:p>
        </w:tc>
        <w:tc>
          <w:tcPr>
            <w:tcW w:w="3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40" w:type="dxa"/>
            <w:vAlign w:val="bottom"/>
            <w:vMerge w:val="restart"/>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2620" w:type="dxa"/>
            <w:vAlign w:val="bottom"/>
          </w:tcPr>
          <w:p>
            <w:pPr>
              <w:spacing w:after="0"/>
              <w:rPr>
                <w:sz w:val="20"/>
                <w:szCs w:val="20"/>
                <w:color w:val="auto"/>
              </w:rPr>
            </w:pPr>
            <w:r>
              <w:rPr>
                <w:rFonts w:ascii="Arial" w:cs="Arial" w:eastAsia="Arial" w:hAnsi="Arial"/>
                <w:sz w:val="12"/>
                <w:szCs w:val="12"/>
                <w:color w:val="auto"/>
              </w:rPr>
              <w:t>Interest expense</w:t>
            </w:r>
          </w:p>
        </w:tc>
        <w:tc>
          <w:tcPr>
            <w:tcW w:w="4580" w:type="dxa"/>
            <w:vAlign w:val="bottom"/>
            <w:gridSpan w:val="2"/>
          </w:tcPr>
          <w:p>
            <w:pPr>
              <w:jc w:val="right"/>
              <w:spacing w:after="0"/>
              <w:rPr>
                <w:sz w:val="20"/>
                <w:szCs w:val="20"/>
                <w:color w:val="auto"/>
              </w:rPr>
            </w:pPr>
            <w:r>
              <w:rPr>
                <w:rFonts w:ascii="Arial" w:cs="Arial" w:eastAsia="Arial" w:hAnsi="Arial"/>
                <w:sz w:val="12"/>
                <w:szCs w:val="12"/>
                <w:color w:val="auto"/>
              </w:rPr>
              <w:t>1,694</w:t>
            </w: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986</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Other (income) expense, net</w:t>
            </w:r>
          </w:p>
        </w:tc>
        <w:tc>
          <w:tcPr>
            <w:tcW w:w="3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3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(209)</w:t>
            </w:r>
          </w:p>
        </w:tc>
        <w:tc>
          <w:tcPr>
            <w:tcW w:w="3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262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Income before provision for income taxes</w:t>
            </w:r>
          </w:p>
        </w:tc>
        <w:tc>
          <w:tcPr>
            <w:tcW w:w="3200" w:type="dxa"/>
            <w:vAlign w:val="bottom"/>
            <w:tcBorders>
              <w:top w:val="single" w:sz="8" w:color="CCEEFF"/>
            </w:tcBorders>
          </w:tcPr>
          <w:p>
            <w:pPr>
              <w:spacing w:after="0"/>
              <w:rPr>
                <w:sz w:val="12"/>
                <w:szCs w:val="12"/>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6,200</w:t>
            </w:r>
          </w:p>
        </w:tc>
        <w:tc>
          <w:tcPr>
            <w:tcW w:w="300" w:type="dxa"/>
            <w:vAlign w:val="bottom"/>
            <w:tcBorders>
              <w:top w:val="single" w:sz="8" w:color="CCEEFF"/>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8,128</w:t>
            </w:r>
          </w:p>
        </w:tc>
        <w:tc>
          <w:tcPr>
            <w:tcW w:w="3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Provision for income taxes</w:t>
            </w:r>
          </w:p>
        </w:tc>
        <w:tc>
          <w:tcPr>
            <w:tcW w:w="3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2,445</w:t>
            </w:r>
          </w:p>
        </w:tc>
        <w:tc>
          <w:tcPr>
            <w:tcW w:w="3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2,866</w:t>
            </w:r>
          </w:p>
        </w:tc>
        <w:tc>
          <w:tcPr>
            <w:tcW w:w="3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040" w:type="dxa"/>
            <w:vAlign w:val="bottom"/>
          </w:tcPr>
          <w:p>
            <w:pPr>
              <w:spacing w:after="0"/>
              <w:rPr>
                <w:sz w:val="12"/>
                <w:szCs w:val="12"/>
                <w:color w:val="auto"/>
              </w:rPr>
            </w:pPr>
          </w:p>
        </w:tc>
        <w:tc>
          <w:tcPr>
            <w:tcW w:w="262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Net income</w:t>
            </w:r>
          </w:p>
        </w:tc>
        <w:tc>
          <w:tcPr>
            <w:tcW w:w="3200" w:type="dxa"/>
            <w:vAlign w:val="bottom"/>
            <w:tcBorders>
              <w:top w:val="single" w:sz="8" w:color="CCEEFF"/>
            </w:tcBorders>
          </w:tcPr>
          <w:p>
            <w:pPr>
              <w:spacing w:after="0"/>
              <w:rPr>
                <w:sz w:val="12"/>
                <w:szCs w:val="12"/>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3,755</w:t>
            </w:r>
          </w:p>
        </w:tc>
        <w:tc>
          <w:tcPr>
            <w:tcW w:w="300" w:type="dxa"/>
            <w:vAlign w:val="bottom"/>
            <w:tcBorders>
              <w:top w:val="single" w:sz="8" w:color="CCEEFF"/>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5,262</w:t>
            </w:r>
          </w:p>
        </w:tc>
        <w:tc>
          <w:tcPr>
            <w:tcW w:w="3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40" w:type="dxa"/>
            <w:vAlign w:val="bottom"/>
            <w:vMerge w:val="restart"/>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2620" w:type="dxa"/>
            <w:vAlign w:val="bottom"/>
          </w:tcPr>
          <w:p>
            <w:pPr>
              <w:spacing w:after="0"/>
              <w:rPr>
                <w:sz w:val="20"/>
                <w:szCs w:val="20"/>
                <w:color w:val="auto"/>
              </w:rPr>
            </w:pPr>
            <w:r>
              <w:rPr>
                <w:rFonts w:ascii="Arial" w:cs="Arial" w:eastAsia="Arial" w:hAnsi="Arial"/>
                <w:sz w:val="12"/>
                <w:szCs w:val="12"/>
                <w:color w:val="auto"/>
              </w:rPr>
              <w:t>Other comprehensive income:</w:t>
            </w:r>
          </w:p>
        </w:tc>
        <w:tc>
          <w:tcPr>
            <w:tcW w:w="3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Foreign currency translation gain</w:t>
            </w:r>
          </w:p>
        </w:tc>
        <w:tc>
          <w:tcPr>
            <w:tcW w:w="3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2,076</w:t>
            </w:r>
          </w:p>
        </w:tc>
        <w:tc>
          <w:tcPr>
            <w:tcW w:w="3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2,230</w:t>
            </w:r>
          </w:p>
        </w:tc>
        <w:tc>
          <w:tcPr>
            <w:tcW w:w="3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40" w:type="dxa"/>
            <w:vAlign w:val="bottom"/>
          </w:tcPr>
          <w:p>
            <w:pPr>
              <w:spacing w:after="0"/>
              <w:rPr>
                <w:sz w:val="12"/>
                <w:szCs w:val="12"/>
                <w:color w:val="auto"/>
              </w:rPr>
            </w:pPr>
          </w:p>
        </w:tc>
        <w:tc>
          <w:tcPr>
            <w:tcW w:w="2620" w:type="dxa"/>
            <w:vAlign w:val="bottom"/>
            <w:tcBorders>
              <w:top w:val="single" w:sz="8" w:color="CCEEFF"/>
            </w:tcBorders>
          </w:tcPr>
          <w:p>
            <w:pPr>
              <w:spacing w:after="0" w:line="133" w:lineRule="exact"/>
              <w:rPr>
                <w:sz w:val="20"/>
                <w:szCs w:val="20"/>
                <w:color w:val="auto"/>
              </w:rPr>
            </w:pPr>
            <w:r>
              <w:rPr>
                <w:rFonts w:ascii="Arial" w:cs="Arial" w:eastAsia="Arial" w:hAnsi="Arial"/>
                <w:sz w:val="12"/>
                <w:szCs w:val="12"/>
                <w:color w:val="auto"/>
              </w:rPr>
              <w:t>Comprehensive income</w:t>
            </w:r>
          </w:p>
        </w:tc>
        <w:tc>
          <w:tcPr>
            <w:tcW w:w="3200" w:type="dxa"/>
            <w:vAlign w:val="bottom"/>
            <w:tcBorders>
              <w:top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$ 5,831</w:t>
            </w:r>
          </w:p>
        </w:tc>
        <w:tc>
          <w:tcPr>
            <w:tcW w:w="300" w:type="dxa"/>
            <w:vAlign w:val="bottom"/>
            <w:tcBorders>
              <w:top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$ 7,492</w:t>
            </w:r>
          </w:p>
        </w:tc>
        <w:tc>
          <w:tcPr>
            <w:tcW w:w="3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rPr>
                <w:sz w:val="14"/>
                <w:szCs w:val="14"/>
                <w:color w:val="auto"/>
              </w:rPr>
            </w:pPr>
          </w:p>
        </w:tc>
        <w:tc>
          <w:tcPr>
            <w:tcW w:w="3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vMerge w:val="restart"/>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2620" w:type="dxa"/>
            <w:vAlign w:val="bottom"/>
          </w:tcPr>
          <w:p>
            <w:pPr>
              <w:spacing w:after="0"/>
              <w:rPr>
                <w:sz w:val="20"/>
                <w:szCs w:val="20"/>
                <w:color w:val="auto"/>
              </w:rPr>
            </w:pPr>
            <w:r>
              <w:rPr>
                <w:rFonts w:ascii="Arial" w:cs="Arial" w:eastAsia="Arial" w:hAnsi="Arial"/>
                <w:sz w:val="12"/>
                <w:szCs w:val="12"/>
                <w:color w:val="auto"/>
              </w:rPr>
              <w:t>Basic income per common share:</w:t>
            </w:r>
          </w:p>
        </w:tc>
        <w:tc>
          <w:tcPr>
            <w:tcW w:w="4580" w:type="dxa"/>
            <w:vAlign w:val="bottom"/>
            <w:gridSpan w:val="2"/>
          </w:tcPr>
          <w:p>
            <w:pPr>
              <w:jc w:val="right"/>
              <w:spacing w:after="0"/>
              <w:rPr>
                <w:sz w:val="20"/>
                <w:szCs w:val="20"/>
                <w:color w:val="auto"/>
              </w:rPr>
            </w:pPr>
            <w:r>
              <w:rPr>
                <w:rFonts w:ascii="Arial" w:cs="Arial" w:eastAsia="Arial" w:hAnsi="Arial"/>
                <w:sz w:val="12"/>
                <w:szCs w:val="12"/>
                <w:color w:val="auto"/>
              </w:rPr>
              <w:t>$ 0.22</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$ 0.31</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vMerge w:val="restart"/>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2620" w:type="dxa"/>
            <w:vAlign w:val="bottom"/>
          </w:tcPr>
          <w:p>
            <w:pPr>
              <w:spacing w:after="0"/>
              <w:rPr>
                <w:sz w:val="20"/>
                <w:szCs w:val="20"/>
                <w:color w:val="auto"/>
              </w:rPr>
            </w:pPr>
            <w:r>
              <w:rPr>
                <w:rFonts w:ascii="Arial" w:cs="Arial" w:eastAsia="Arial" w:hAnsi="Arial"/>
                <w:sz w:val="12"/>
                <w:szCs w:val="12"/>
                <w:color w:val="auto"/>
              </w:rPr>
              <w:t>Weighted average shares outstanding</w:t>
            </w:r>
          </w:p>
        </w:tc>
        <w:tc>
          <w:tcPr>
            <w:tcW w:w="4580" w:type="dxa"/>
            <w:vAlign w:val="bottom"/>
            <w:gridSpan w:val="2"/>
          </w:tcPr>
          <w:p>
            <w:pPr>
              <w:jc w:val="right"/>
              <w:spacing w:after="0"/>
              <w:rPr>
                <w:sz w:val="20"/>
                <w:szCs w:val="20"/>
                <w:color w:val="auto"/>
              </w:rPr>
            </w:pPr>
            <w:r>
              <w:rPr>
                <w:rFonts w:ascii="Arial" w:cs="Arial" w:eastAsia="Arial" w:hAnsi="Arial"/>
                <w:sz w:val="12"/>
                <w:szCs w:val="12"/>
                <w:color w:val="auto"/>
              </w:rPr>
              <w:t>16,813</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17,152</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rPr>
                <w:sz w:val="14"/>
                <w:szCs w:val="14"/>
                <w:color w:val="auto"/>
              </w:rPr>
            </w:pPr>
          </w:p>
        </w:tc>
        <w:tc>
          <w:tcPr>
            <w:tcW w:w="3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vMerge w:val="restart"/>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2620" w:type="dxa"/>
            <w:vAlign w:val="bottom"/>
          </w:tcPr>
          <w:p>
            <w:pPr>
              <w:spacing w:after="0"/>
              <w:rPr>
                <w:sz w:val="20"/>
                <w:szCs w:val="20"/>
                <w:color w:val="auto"/>
              </w:rPr>
            </w:pPr>
            <w:r>
              <w:rPr>
                <w:rFonts w:ascii="Arial" w:cs="Arial" w:eastAsia="Arial" w:hAnsi="Arial"/>
                <w:sz w:val="12"/>
                <w:szCs w:val="12"/>
                <w:color w:val="auto"/>
              </w:rPr>
              <w:t>Diluted income per common share:</w:t>
            </w:r>
          </w:p>
        </w:tc>
        <w:tc>
          <w:tcPr>
            <w:tcW w:w="4580" w:type="dxa"/>
            <w:vAlign w:val="bottom"/>
            <w:gridSpan w:val="2"/>
          </w:tcPr>
          <w:p>
            <w:pPr>
              <w:jc w:val="right"/>
              <w:spacing w:after="0"/>
              <w:rPr>
                <w:sz w:val="20"/>
                <w:szCs w:val="20"/>
                <w:color w:val="auto"/>
              </w:rPr>
            </w:pPr>
            <w:r>
              <w:rPr>
                <w:rFonts w:ascii="Arial" w:cs="Arial" w:eastAsia="Arial" w:hAnsi="Arial"/>
                <w:sz w:val="12"/>
                <w:szCs w:val="12"/>
                <w:color w:val="auto"/>
              </w:rPr>
              <w:t>$ 0.22</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$ 0.30</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vMerge w:val="restart"/>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2620" w:type="dxa"/>
            <w:vAlign w:val="bottom"/>
          </w:tcPr>
          <w:p>
            <w:pPr>
              <w:spacing w:after="0"/>
              <w:rPr>
                <w:sz w:val="20"/>
                <w:szCs w:val="20"/>
                <w:color w:val="auto"/>
              </w:rPr>
            </w:pPr>
            <w:r>
              <w:rPr>
                <w:rFonts w:ascii="Arial" w:cs="Arial" w:eastAsia="Arial" w:hAnsi="Arial"/>
                <w:sz w:val="12"/>
                <w:szCs w:val="12"/>
                <w:color w:val="auto"/>
              </w:rPr>
              <w:t>Weighted average shares outstanding</w:t>
            </w:r>
          </w:p>
        </w:tc>
        <w:tc>
          <w:tcPr>
            <w:tcW w:w="4580" w:type="dxa"/>
            <w:vAlign w:val="bottom"/>
            <w:gridSpan w:val="2"/>
          </w:tcPr>
          <w:p>
            <w:pPr>
              <w:jc w:val="right"/>
              <w:spacing w:after="0"/>
              <w:rPr>
                <w:sz w:val="20"/>
                <w:szCs w:val="20"/>
                <w:color w:val="auto"/>
              </w:rPr>
            </w:pPr>
            <w:r>
              <w:rPr>
                <w:rFonts w:ascii="Arial" w:cs="Arial" w:eastAsia="Arial" w:hAnsi="Arial"/>
                <w:sz w:val="12"/>
                <w:szCs w:val="12"/>
                <w:color w:val="auto"/>
              </w:rPr>
              <w:t>17,033</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17,376</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vMerge w:val="restart"/>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2620" w:type="dxa"/>
            <w:vAlign w:val="bottom"/>
          </w:tcPr>
          <w:p>
            <w:pPr>
              <w:spacing w:after="0"/>
              <w:rPr>
                <w:sz w:val="20"/>
                <w:szCs w:val="20"/>
                <w:color w:val="auto"/>
              </w:rPr>
            </w:pPr>
            <w:r>
              <w:rPr>
                <w:rFonts w:ascii="Arial" w:cs="Arial" w:eastAsia="Arial" w:hAnsi="Arial"/>
                <w:sz w:val="12"/>
                <w:szCs w:val="12"/>
                <w:color w:val="auto"/>
              </w:rPr>
              <w:t>Cash dividends per common share</w:t>
            </w:r>
          </w:p>
        </w:tc>
        <w:tc>
          <w:tcPr>
            <w:tcW w:w="4580" w:type="dxa"/>
            <w:vAlign w:val="bottom"/>
            <w:gridSpan w:val="2"/>
          </w:tcPr>
          <w:p>
            <w:pPr>
              <w:jc w:val="right"/>
              <w:spacing w:after="0"/>
              <w:rPr>
                <w:sz w:val="20"/>
                <w:szCs w:val="20"/>
                <w:color w:val="auto"/>
              </w:rPr>
            </w:pPr>
            <w:r>
              <w:rPr>
                <w:rFonts w:ascii="Arial" w:cs="Arial" w:eastAsia="Arial" w:hAnsi="Arial"/>
                <w:sz w:val="12"/>
                <w:szCs w:val="12"/>
                <w:color w:val="auto"/>
              </w:rPr>
              <w:t>$ 0.08</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$ 0.08</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220"/>
        <w:spacing w:after="0"/>
        <w:rPr>
          <w:sz w:val="20"/>
          <w:szCs w:val="20"/>
          <w:color w:val="auto"/>
        </w:rPr>
      </w:pPr>
      <w:r>
        <w:rPr>
          <w:rFonts w:ascii="Arial" w:cs="Arial" w:eastAsia="Arial" w:hAnsi="Arial"/>
          <w:sz w:val="12"/>
          <w:szCs w:val="12"/>
          <w:b w:val="1"/>
          <w:bCs w:val="1"/>
          <w:color w:val="auto"/>
        </w:rPr>
        <w:t>The accompanying notes are an integral part of the financial statements.</w:t>
      </w:r>
    </w:p>
    <w:p>
      <w:pPr>
        <w:spacing w:after="0" w:line="349" w:lineRule="exact"/>
        <w:rPr>
          <w:sz w:val="20"/>
          <w:szCs w:val="20"/>
          <w:color w:val="auto"/>
        </w:rPr>
      </w:pPr>
    </w:p>
    <w:p>
      <w:pPr>
        <w:ind w:left="5620"/>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40005</wp:posOffset>
            </wp:positionV>
            <wp:extent cx="729932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40"/>
          </w:cols>
          <w:pgMar w:left="320" w:top="307" w:right="1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2"/>
          <w:szCs w:val="12"/>
          <w:b w:val="1"/>
          <w:bCs w:val="1"/>
          <w:color w:val="auto"/>
        </w:rPr>
        <w:t>NN,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40" w:type="dxa"/>
            <w:vAlign w:val="bottom"/>
          </w:tcPr>
          <w:p>
            <w:pPr>
              <w:jc w:val="center"/>
              <w:ind w:left="420"/>
              <w:spacing w:after="0"/>
              <w:rPr>
                <w:sz w:val="20"/>
                <w:szCs w:val="20"/>
                <w:color w:val="auto"/>
              </w:rPr>
            </w:pPr>
            <w:r>
              <w:rPr>
                <w:rFonts w:ascii="Arial" w:cs="Arial" w:eastAsia="Arial" w:hAnsi="Arial"/>
                <w:sz w:val="12"/>
                <w:szCs w:val="12"/>
                <w:b w:val="1"/>
                <w:bCs w:val="1"/>
                <w:color w:val="auto"/>
                <w:w w:val="93"/>
              </w:rPr>
              <w:t>March 31,</w:t>
            </w: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60" w:type="dxa"/>
            <w:vAlign w:val="bottom"/>
          </w:tcPr>
          <w:p>
            <w:pPr>
              <w:jc w:val="right"/>
              <w:ind w:right="38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71"/>
        </w:trPr>
        <w:tc>
          <w:tcPr>
            <w:tcW w:w="3100" w:type="dxa"/>
            <w:vAlign w:val="bottom"/>
            <w:gridSpan w:val="2"/>
          </w:tcPr>
          <w:p>
            <w:pPr>
              <w:spacing w:after="0"/>
              <w:rPr>
                <w:sz w:val="20"/>
                <w:szCs w:val="20"/>
                <w:color w:val="auto"/>
              </w:rPr>
            </w:pPr>
            <w:r>
              <w:rPr>
                <w:rFonts w:ascii="Arial" w:cs="Arial" w:eastAsia="Arial" w:hAnsi="Arial"/>
                <w:sz w:val="12"/>
                <w:szCs w:val="12"/>
                <w:color w:val="auto"/>
              </w:rPr>
              <w:t>(Thousands of Dollars)</w:t>
            </w:r>
          </w:p>
        </w:tc>
        <w:tc>
          <w:tcPr>
            <w:tcW w:w="35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2007</w:t>
            </w:r>
          </w:p>
        </w:tc>
        <w:tc>
          <w:tcPr>
            <w:tcW w:w="500" w:type="dxa"/>
            <w:vAlign w:val="bottom"/>
          </w:tcPr>
          <w:p>
            <w:pPr>
              <w:spacing w:after="0"/>
              <w:rPr>
                <w:sz w:val="14"/>
                <w:szCs w:val="14"/>
                <w:color w:val="auto"/>
              </w:rPr>
            </w:pPr>
          </w:p>
        </w:tc>
        <w:tc>
          <w:tcPr>
            <w:tcW w:w="204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2006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Assets</w:t>
            </w:r>
          </w:p>
        </w:tc>
        <w:tc>
          <w:tcPr>
            <w:tcW w:w="25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2"/>
                <w:szCs w:val="12"/>
                <w:color w:val="auto"/>
              </w:rPr>
              <w:t>Current assets:</w:t>
            </w:r>
          </w:p>
        </w:tc>
        <w:tc>
          <w:tcPr>
            <w:tcW w:w="2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shd w:val="clear" w:color="auto" w:fill="CCEEFF"/>
          </w:tcPr>
          <w:p>
            <w:pPr>
              <w:ind w:left="40"/>
              <w:spacing w:after="0"/>
              <w:rPr>
                <w:sz w:val="20"/>
                <w:szCs w:val="20"/>
                <w:color w:val="auto"/>
              </w:rPr>
            </w:pPr>
            <w:r>
              <w:rPr>
                <w:rFonts w:ascii="Arial" w:cs="Arial" w:eastAsia="Arial" w:hAnsi="Arial"/>
                <w:sz w:val="12"/>
                <w:szCs w:val="12"/>
                <w:color w:val="auto"/>
              </w:rPr>
              <w:t>Cash and cash equivalents</w:t>
            </w:r>
          </w:p>
        </w:tc>
        <w:tc>
          <w:tcPr>
            <w:tcW w:w="2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$ 17,566</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$ 11,681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80" w:type="dxa"/>
            <w:vAlign w:val="bottom"/>
          </w:tcPr>
          <w:p>
            <w:pPr>
              <w:ind w:left="40"/>
              <w:spacing w:after="0"/>
              <w:rPr>
                <w:sz w:val="20"/>
                <w:szCs w:val="20"/>
                <w:color w:val="auto"/>
              </w:rPr>
            </w:pPr>
            <w:r>
              <w:rPr>
                <w:rFonts w:ascii="Arial" w:cs="Arial" w:eastAsia="Arial" w:hAnsi="Arial"/>
                <w:sz w:val="12"/>
                <w:szCs w:val="12"/>
                <w:color w:val="auto"/>
                <w:w w:val="91"/>
              </w:rPr>
              <w:t>Accounts receivable, net of allowance for doubtful accounts of</w:t>
            </w:r>
          </w:p>
        </w:tc>
        <w:tc>
          <w:tcPr>
            <w:tcW w:w="3560" w:type="dxa"/>
            <w:vAlign w:val="bottom"/>
            <w:gridSpan w:val="2"/>
          </w:tcPr>
          <w:p>
            <w:pPr>
              <w:ind w:left="40"/>
              <w:spacing w:after="0"/>
              <w:rPr>
                <w:sz w:val="20"/>
                <w:szCs w:val="20"/>
                <w:color w:val="auto"/>
              </w:rPr>
            </w:pPr>
            <w:r>
              <w:rPr>
                <w:rFonts w:ascii="Arial" w:cs="Arial" w:eastAsia="Arial" w:hAnsi="Arial"/>
                <w:sz w:val="12"/>
                <w:szCs w:val="12"/>
                <w:color w:val="auto"/>
              </w:rPr>
              <w:t>$1,522 and $1,278, respectively</w:t>
            </w:r>
          </w:p>
        </w:tc>
        <w:tc>
          <w:tcPr>
            <w:tcW w:w="500" w:type="dxa"/>
            <w:vAlign w:val="bottom"/>
          </w:tcPr>
          <w:p>
            <w:pPr>
              <w:jc w:val="right"/>
              <w:spacing w:after="0"/>
              <w:rPr>
                <w:sz w:val="20"/>
                <w:szCs w:val="20"/>
                <w:color w:val="auto"/>
              </w:rPr>
            </w:pPr>
            <w:r>
              <w:rPr>
                <w:rFonts w:ascii="Arial" w:cs="Arial" w:eastAsia="Arial" w:hAnsi="Arial"/>
                <w:sz w:val="12"/>
                <w:szCs w:val="12"/>
                <w:color w:val="auto"/>
              </w:rPr>
              <w:t>72,971</w:t>
            </w:r>
          </w:p>
        </w:tc>
        <w:tc>
          <w:tcPr>
            <w:tcW w:w="2040" w:type="dxa"/>
            <w:vAlign w:val="bottom"/>
            <w:gridSpan w:val="2"/>
          </w:tcPr>
          <w:p>
            <w:pPr>
              <w:jc w:val="right"/>
              <w:spacing w:after="0"/>
              <w:rPr>
                <w:sz w:val="20"/>
                <w:szCs w:val="20"/>
                <w:color w:val="auto"/>
              </w:rPr>
            </w:pPr>
            <w:r>
              <w:rPr>
                <w:rFonts w:ascii="Arial" w:cs="Arial" w:eastAsia="Arial" w:hAnsi="Arial"/>
                <w:sz w:val="12"/>
                <w:szCs w:val="12"/>
                <w:color w:val="auto"/>
              </w:rPr>
              <w:t>63,442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shd w:val="clear" w:color="auto" w:fill="CCEEFF"/>
          </w:tcPr>
          <w:p>
            <w:pPr>
              <w:ind w:left="40"/>
              <w:spacing w:after="0"/>
              <w:rPr>
                <w:sz w:val="20"/>
                <w:szCs w:val="20"/>
                <w:color w:val="auto"/>
              </w:rPr>
            </w:pPr>
            <w:r>
              <w:rPr>
                <w:rFonts w:ascii="Arial" w:cs="Arial" w:eastAsia="Arial" w:hAnsi="Arial"/>
                <w:sz w:val="12"/>
                <w:szCs w:val="12"/>
                <w:color w:val="auto"/>
              </w:rPr>
              <w:t>Inventories, net</w:t>
            </w:r>
          </w:p>
        </w:tc>
        <w:tc>
          <w:tcPr>
            <w:tcW w:w="2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44,600</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43,538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80" w:type="dxa"/>
            <w:vAlign w:val="bottom"/>
          </w:tcPr>
          <w:p>
            <w:pPr>
              <w:ind w:left="40"/>
              <w:spacing w:after="0"/>
              <w:rPr>
                <w:sz w:val="20"/>
                <w:szCs w:val="20"/>
                <w:color w:val="auto"/>
              </w:rPr>
            </w:pPr>
            <w:r>
              <w:rPr>
                <w:rFonts w:ascii="Arial" w:cs="Arial" w:eastAsia="Arial" w:hAnsi="Arial"/>
                <w:sz w:val="12"/>
                <w:szCs w:val="12"/>
                <w:color w:val="auto"/>
              </w:rPr>
              <w:t>Other current assets</w:t>
            </w:r>
          </w:p>
        </w:tc>
        <w:tc>
          <w:tcPr>
            <w:tcW w:w="2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7,326</w:t>
            </w:r>
          </w:p>
        </w:tc>
        <w:tc>
          <w:tcPr>
            <w:tcW w:w="2040" w:type="dxa"/>
            <w:vAlign w:val="bottom"/>
            <w:gridSpan w:val="2"/>
          </w:tcPr>
          <w:p>
            <w:pPr>
              <w:jc w:val="right"/>
              <w:spacing w:after="0"/>
              <w:rPr>
                <w:sz w:val="20"/>
                <w:szCs w:val="20"/>
                <w:color w:val="auto"/>
              </w:rPr>
            </w:pPr>
            <w:r>
              <w:rPr>
                <w:rFonts w:ascii="Arial" w:cs="Arial" w:eastAsia="Arial" w:hAnsi="Arial"/>
                <w:sz w:val="12"/>
                <w:szCs w:val="12"/>
                <w:color w:val="auto"/>
              </w:rPr>
              <w:t>7,203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current assets</w:t>
            </w:r>
          </w:p>
        </w:tc>
        <w:tc>
          <w:tcPr>
            <w:tcW w:w="25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142,463</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125,864</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0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Property, plant and equipment, net</w:t>
            </w:r>
          </w:p>
        </w:tc>
        <w:tc>
          <w:tcPr>
            <w:tcW w:w="2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156,309</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156,447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2"/>
                <w:szCs w:val="12"/>
                <w:color w:val="auto"/>
              </w:rPr>
              <w:t>Goodwill, net</w:t>
            </w:r>
          </w:p>
        </w:tc>
        <w:tc>
          <w:tcPr>
            <w:tcW w:w="2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46,419</w:t>
            </w:r>
          </w:p>
        </w:tc>
        <w:tc>
          <w:tcPr>
            <w:tcW w:w="2040" w:type="dxa"/>
            <w:vAlign w:val="bottom"/>
            <w:gridSpan w:val="2"/>
          </w:tcPr>
          <w:p>
            <w:pPr>
              <w:jc w:val="right"/>
              <w:spacing w:after="0"/>
              <w:rPr>
                <w:sz w:val="20"/>
                <w:szCs w:val="20"/>
                <w:color w:val="auto"/>
              </w:rPr>
            </w:pPr>
            <w:r>
              <w:rPr>
                <w:rFonts w:ascii="Arial" w:cs="Arial" w:eastAsia="Arial" w:hAnsi="Arial"/>
                <w:sz w:val="12"/>
                <w:szCs w:val="12"/>
                <w:color w:val="auto"/>
              </w:rPr>
              <w:t>46,147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Intangible assets, net</w:t>
            </w:r>
          </w:p>
        </w:tc>
        <w:tc>
          <w:tcPr>
            <w:tcW w:w="2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9,997</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10,131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2"/>
                <w:szCs w:val="12"/>
                <w:color w:val="auto"/>
              </w:rPr>
              <w:t>Other assets</w:t>
            </w:r>
          </w:p>
        </w:tc>
        <w:tc>
          <w:tcPr>
            <w:tcW w:w="2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4,346</w:t>
            </w:r>
          </w:p>
        </w:tc>
        <w:tc>
          <w:tcPr>
            <w:tcW w:w="2040" w:type="dxa"/>
            <w:vAlign w:val="bottom"/>
            <w:gridSpan w:val="2"/>
          </w:tcPr>
          <w:p>
            <w:pPr>
              <w:jc w:val="right"/>
              <w:spacing w:after="0"/>
              <w:rPr>
                <w:sz w:val="20"/>
                <w:szCs w:val="20"/>
                <w:color w:val="auto"/>
              </w:rPr>
            </w:pPr>
            <w:r>
              <w:rPr>
                <w:rFonts w:ascii="Arial" w:cs="Arial" w:eastAsia="Arial" w:hAnsi="Arial"/>
                <w:sz w:val="12"/>
                <w:szCs w:val="12"/>
                <w:color w:val="auto"/>
              </w:rPr>
              <w:t>4,112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Total assets</w:t>
            </w:r>
          </w:p>
        </w:tc>
        <w:tc>
          <w:tcPr>
            <w:tcW w:w="25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$ 359,534</w:t>
            </w:r>
          </w:p>
        </w:tc>
        <w:tc>
          <w:tcPr>
            <w:tcW w:w="48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$ 342,701</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0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Liabilities and Stockholders’ Equity</w:t>
            </w:r>
          </w:p>
        </w:tc>
        <w:tc>
          <w:tcPr>
            <w:tcW w:w="2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2"/>
                <w:szCs w:val="12"/>
                <w:color w:val="auto"/>
              </w:rPr>
              <w:t>Current liabilities:</w:t>
            </w:r>
          </w:p>
        </w:tc>
        <w:tc>
          <w:tcPr>
            <w:tcW w:w="2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shd w:val="clear" w:color="auto" w:fill="CCEEFF"/>
          </w:tcPr>
          <w:p>
            <w:pPr>
              <w:ind w:left="40"/>
              <w:spacing w:after="0"/>
              <w:rPr>
                <w:sz w:val="20"/>
                <w:szCs w:val="20"/>
                <w:color w:val="auto"/>
              </w:rPr>
            </w:pPr>
            <w:r>
              <w:rPr>
                <w:rFonts w:ascii="Arial" w:cs="Arial" w:eastAsia="Arial" w:hAnsi="Arial"/>
                <w:sz w:val="12"/>
                <w:szCs w:val="12"/>
                <w:color w:val="auto"/>
              </w:rPr>
              <w:t>Accounts payable</w:t>
            </w:r>
          </w:p>
        </w:tc>
        <w:tc>
          <w:tcPr>
            <w:tcW w:w="2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$ 51,012</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$ 52,576</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80" w:type="dxa"/>
            <w:vAlign w:val="bottom"/>
          </w:tcPr>
          <w:p>
            <w:pPr>
              <w:ind w:left="40"/>
              <w:spacing w:after="0"/>
              <w:rPr>
                <w:sz w:val="20"/>
                <w:szCs w:val="20"/>
                <w:color w:val="auto"/>
              </w:rPr>
            </w:pPr>
            <w:r>
              <w:rPr>
                <w:rFonts w:ascii="Arial" w:cs="Arial" w:eastAsia="Arial" w:hAnsi="Arial"/>
                <w:sz w:val="12"/>
                <w:szCs w:val="12"/>
                <w:color w:val="auto"/>
              </w:rPr>
              <w:t>Accrued salaries, wages and benefits</w:t>
            </w:r>
          </w:p>
        </w:tc>
        <w:tc>
          <w:tcPr>
            <w:tcW w:w="2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14,784</w:t>
            </w:r>
          </w:p>
        </w:tc>
        <w:tc>
          <w:tcPr>
            <w:tcW w:w="2040" w:type="dxa"/>
            <w:vAlign w:val="bottom"/>
            <w:gridSpan w:val="2"/>
          </w:tcPr>
          <w:p>
            <w:pPr>
              <w:jc w:val="right"/>
              <w:spacing w:after="0"/>
              <w:rPr>
                <w:sz w:val="20"/>
                <w:szCs w:val="20"/>
                <w:color w:val="auto"/>
              </w:rPr>
            </w:pPr>
            <w:r>
              <w:rPr>
                <w:rFonts w:ascii="Arial" w:cs="Arial" w:eastAsia="Arial" w:hAnsi="Arial"/>
                <w:sz w:val="12"/>
                <w:szCs w:val="12"/>
                <w:color w:val="auto"/>
              </w:rPr>
              <w:t>13,519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shd w:val="clear" w:color="auto" w:fill="CCEEFF"/>
          </w:tcPr>
          <w:p>
            <w:pPr>
              <w:ind w:left="40"/>
              <w:spacing w:after="0"/>
              <w:rPr>
                <w:sz w:val="20"/>
                <w:szCs w:val="20"/>
                <w:color w:val="auto"/>
              </w:rPr>
            </w:pPr>
            <w:r>
              <w:rPr>
                <w:rFonts w:ascii="Arial" w:cs="Arial" w:eastAsia="Arial" w:hAnsi="Arial"/>
                <w:sz w:val="12"/>
                <w:szCs w:val="12"/>
                <w:color w:val="auto"/>
              </w:rPr>
              <w:t>Income taxes</w:t>
            </w:r>
          </w:p>
        </w:tc>
        <w:tc>
          <w:tcPr>
            <w:tcW w:w="2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2,610</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80" w:type="dxa"/>
            <w:vAlign w:val="bottom"/>
          </w:tcPr>
          <w:p>
            <w:pPr>
              <w:ind w:left="40"/>
              <w:spacing w:after="0"/>
              <w:rPr>
                <w:sz w:val="20"/>
                <w:szCs w:val="20"/>
                <w:color w:val="auto"/>
              </w:rPr>
            </w:pPr>
            <w:r>
              <w:rPr>
                <w:rFonts w:ascii="Arial" w:cs="Arial" w:eastAsia="Arial" w:hAnsi="Arial"/>
                <w:sz w:val="12"/>
                <w:szCs w:val="12"/>
                <w:color w:val="auto"/>
              </w:rPr>
              <w:t>Current maturities of long-term debt</w:t>
            </w:r>
          </w:p>
        </w:tc>
        <w:tc>
          <w:tcPr>
            <w:tcW w:w="2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10,125</w:t>
            </w:r>
          </w:p>
        </w:tc>
        <w:tc>
          <w:tcPr>
            <w:tcW w:w="2040" w:type="dxa"/>
            <w:vAlign w:val="bottom"/>
            <w:gridSpan w:val="2"/>
          </w:tcPr>
          <w:p>
            <w:pPr>
              <w:jc w:val="right"/>
              <w:spacing w:after="0"/>
              <w:rPr>
                <w:sz w:val="20"/>
                <w:szCs w:val="20"/>
                <w:color w:val="auto"/>
              </w:rPr>
            </w:pPr>
            <w:r>
              <w:rPr>
                <w:rFonts w:ascii="Arial" w:cs="Arial" w:eastAsia="Arial" w:hAnsi="Arial"/>
                <w:sz w:val="12"/>
                <w:szCs w:val="12"/>
                <w:color w:val="auto"/>
              </w:rPr>
              <w:t>851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shd w:val="clear" w:color="auto" w:fill="CCEEFF"/>
          </w:tcPr>
          <w:p>
            <w:pPr>
              <w:ind w:left="40"/>
              <w:spacing w:after="0"/>
              <w:rPr>
                <w:sz w:val="20"/>
                <w:szCs w:val="20"/>
                <w:color w:val="auto"/>
              </w:rPr>
            </w:pPr>
            <w:r>
              <w:rPr>
                <w:rFonts w:ascii="Arial" w:cs="Arial" w:eastAsia="Arial" w:hAnsi="Arial"/>
                <w:sz w:val="12"/>
                <w:szCs w:val="12"/>
                <w:color w:val="auto"/>
              </w:rPr>
              <w:t>Dividends payable</w:t>
            </w:r>
          </w:p>
        </w:tc>
        <w:tc>
          <w:tcPr>
            <w:tcW w:w="2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1,348</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80" w:type="dxa"/>
            <w:vAlign w:val="bottom"/>
          </w:tcPr>
          <w:p>
            <w:pPr>
              <w:ind w:left="40"/>
              <w:spacing w:after="0"/>
              <w:rPr>
                <w:sz w:val="20"/>
                <w:szCs w:val="20"/>
                <w:color w:val="auto"/>
              </w:rPr>
            </w:pPr>
            <w:r>
              <w:rPr>
                <w:rFonts w:ascii="Arial" w:cs="Arial" w:eastAsia="Arial" w:hAnsi="Arial"/>
                <w:sz w:val="12"/>
                <w:szCs w:val="12"/>
                <w:color w:val="auto"/>
              </w:rPr>
              <w:t>Other current liabilities</w:t>
            </w:r>
          </w:p>
        </w:tc>
        <w:tc>
          <w:tcPr>
            <w:tcW w:w="2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8,790</w:t>
            </w:r>
          </w:p>
        </w:tc>
        <w:tc>
          <w:tcPr>
            <w:tcW w:w="2040" w:type="dxa"/>
            <w:vAlign w:val="bottom"/>
            <w:gridSpan w:val="2"/>
          </w:tcPr>
          <w:p>
            <w:pPr>
              <w:jc w:val="right"/>
              <w:spacing w:after="0"/>
              <w:rPr>
                <w:sz w:val="20"/>
                <w:szCs w:val="20"/>
                <w:color w:val="auto"/>
              </w:rPr>
            </w:pPr>
            <w:r>
              <w:rPr>
                <w:rFonts w:ascii="Arial" w:cs="Arial" w:eastAsia="Arial" w:hAnsi="Arial"/>
                <w:sz w:val="12"/>
                <w:szCs w:val="12"/>
                <w:color w:val="auto"/>
              </w:rPr>
              <w:t>7,829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current liabilities</w:t>
            </w:r>
          </w:p>
        </w:tc>
        <w:tc>
          <w:tcPr>
            <w:tcW w:w="25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88,669</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74,869</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0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Non-current deferred tax liability</w:t>
            </w:r>
          </w:p>
        </w:tc>
        <w:tc>
          <w:tcPr>
            <w:tcW w:w="2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16,741</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16,334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2"/>
                <w:szCs w:val="12"/>
                <w:color w:val="auto"/>
              </w:rPr>
              <w:t>Long-term debt</w:t>
            </w:r>
          </w:p>
        </w:tc>
        <w:tc>
          <w:tcPr>
            <w:tcW w:w="2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97,823</w:t>
            </w:r>
          </w:p>
        </w:tc>
        <w:tc>
          <w:tcPr>
            <w:tcW w:w="2040" w:type="dxa"/>
            <w:vAlign w:val="bottom"/>
            <w:gridSpan w:val="2"/>
          </w:tcPr>
          <w:p>
            <w:pPr>
              <w:jc w:val="right"/>
              <w:spacing w:after="0"/>
              <w:rPr>
                <w:sz w:val="20"/>
                <w:szCs w:val="20"/>
                <w:color w:val="auto"/>
              </w:rPr>
            </w:pPr>
            <w:r>
              <w:rPr>
                <w:rFonts w:ascii="Arial" w:cs="Arial" w:eastAsia="Arial" w:hAnsi="Arial"/>
                <w:sz w:val="12"/>
                <w:szCs w:val="12"/>
                <w:color w:val="auto"/>
              </w:rPr>
              <w:t>80,711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Related party debt</w:t>
            </w:r>
          </w:p>
        </w:tc>
        <w:tc>
          <w:tcPr>
            <w:tcW w:w="2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2,667</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21,305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2"/>
                <w:szCs w:val="12"/>
                <w:color w:val="auto"/>
              </w:rPr>
              <w:t>Accrued pension and other</w:t>
            </w:r>
          </w:p>
        </w:tc>
        <w:tc>
          <w:tcPr>
            <w:tcW w:w="2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16,333</w:t>
            </w:r>
          </w:p>
        </w:tc>
        <w:tc>
          <w:tcPr>
            <w:tcW w:w="2040" w:type="dxa"/>
            <w:vAlign w:val="bottom"/>
            <w:gridSpan w:val="2"/>
          </w:tcPr>
          <w:p>
            <w:pPr>
              <w:jc w:val="right"/>
              <w:spacing w:after="0"/>
              <w:rPr>
                <w:sz w:val="20"/>
                <w:szCs w:val="20"/>
                <w:color w:val="auto"/>
              </w:rPr>
            </w:pPr>
            <w:r>
              <w:rPr>
                <w:rFonts w:ascii="Arial" w:cs="Arial" w:eastAsia="Arial" w:hAnsi="Arial"/>
                <w:sz w:val="12"/>
                <w:szCs w:val="12"/>
                <w:color w:val="auto"/>
              </w:rPr>
              <w:t>16,313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liabilities</w:t>
            </w:r>
          </w:p>
        </w:tc>
        <w:tc>
          <w:tcPr>
            <w:tcW w:w="25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222,233</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209,532</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0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5"/>
                <w:szCs w:val="15"/>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stockholders’ equity</w:t>
            </w:r>
          </w:p>
        </w:tc>
        <w:tc>
          <w:tcPr>
            <w:tcW w:w="25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137,301</w:t>
            </w:r>
          </w:p>
        </w:tc>
        <w:tc>
          <w:tcPr>
            <w:tcW w:w="2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133,169</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3080" w:type="dxa"/>
            <w:vAlign w:val="bottom"/>
            <w:tcBorders>
              <w:top w:val="single" w:sz="8" w:color="CCEEFF"/>
            </w:tcBorders>
          </w:tcPr>
          <w:p>
            <w:pPr>
              <w:spacing w:after="0"/>
              <w:rPr>
                <w:sz w:val="13"/>
                <w:szCs w:val="13"/>
                <w:color w:val="auto"/>
              </w:rPr>
            </w:pPr>
          </w:p>
        </w:tc>
        <w:tc>
          <w:tcPr>
            <w:tcW w:w="2520" w:type="dxa"/>
            <w:vAlign w:val="bottom"/>
            <w:tcBorders>
              <w:top w:val="single" w:sz="8" w:color="CCEEFF"/>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80" w:type="dxa"/>
            <w:vAlign w:val="bottom"/>
            <w:tcBorders>
              <w:top w:val="single" w:sz="8" w:color="CCEEFF"/>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liabilities and stockholders’ equity</w:t>
            </w:r>
          </w:p>
        </w:tc>
        <w:tc>
          <w:tcPr>
            <w:tcW w:w="25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$ 359,534</w:t>
            </w:r>
          </w:p>
        </w:tc>
        <w:tc>
          <w:tcPr>
            <w:tcW w:w="48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$ 342,701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180"/>
        <w:spacing w:after="0"/>
        <w:rPr>
          <w:sz w:val="20"/>
          <w:szCs w:val="20"/>
          <w:color w:val="auto"/>
        </w:rPr>
      </w:pPr>
      <w:r>
        <w:rPr>
          <w:rFonts w:ascii="Arial" w:cs="Arial" w:eastAsia="Arial" w:hAnsi="Arial"/>
          <w:sz w:val="12"/>
          <w:szCs w:val="12"/>
          <w:b w:val="1"/>
          <w:bCs w:val="1"/>
          <w:color w:val="auto"/>
        </w:rPr>
        <w:t>The accompanying notes are an integral part of the financial statements.</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40005</wp:posOffset>
            </wp:positionV>
            <wp:extent cx="729932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200"/>
          </w:cols>
          <w:pgMar w:left="1360" w:top="289" w:right="1339" w:bottom="1440" w:gutter="0" w:footer="0" w:header="0"/>
        </w:sectPr>
      </w:pPr>
    </w:p>
    <w:bookmarkStart w:id="4" w:name="page5"/>
    <w:bookmarkEnd w:id="4"/>
    <w:p>
      <w:pPr>
        <w:jc w:val="center"/>
        <w:ind w:right="-80"/>
        <w:spacing w:after="0"/>
        <w:rPr>
          <w:sz w:val="20"/>
          <w:szCs w:val="20"/>
          <w:color w:val="auto"/>
        </w:rPr>
      </w:pPr>
      <w:r>
        <w:rPr>
          <w:rFonts w:ascii="Arial" w:cs="Arial" w:eastAsia="Arial" w:hAnsi="Arial"/>
          <w:sz w:val="12"/>
          <w:szCs w:val="12"/>
          <w:b w:val="1"/>
          <w:bCs w:val="1"/>
          <w:color w:val="auto"/>
        </w:rPr>
        <w:t>NN, Inc.</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Consolidated Statement of Changes in Stockholders’ Equity</w:t>
      </w:r>
    </w:p>
    <w:p>
      <w:pPr>
        <w:spacing w:after="0" w:line="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24"/>
        </w:trPr>
        <w:tc>
          <w:tcPr>
            <w:tcW w:w="4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ind w:left="140"/>
              <w:spacing w:after="0" w:line="125" w:lineRule="exact"/>
              <w:rPr>
                <w:sz w:val="20"/>
                <w:szCs w:val="20"/>
                <w:color w:val="auto"/>
              </w:rPr>
            </w:pPr>
            <w:r>
              <w:rPr>
                <w:rFonts w:ascii="Arial" w:cs="Arial" w:eastAsia="Arial" w:hAnsi="Arial"/>
                <w:sz w:val="12"/>
                <w:szCs w:val="12"/>
                <w:color w:val="auto"/>
              </w:rPr>
              <w:t>Accumulated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40"/>
              <w:spacing w:after="0"/>
              <w:rPr>
                <w:sz w:val="20"/>
                <w:szCs w:val="20"/>
                <w:color w:val="auto"/>
              </w:rPr>
            </w:pPr>
            <w:r>
              <w:rPr>
                <w:rFonts w:ascii="Arial" w:cs="Arial" w:eastAsia="Arial" w:hAnsi="Arial"/>
                <w:sz w:val="12"/>
                <w:szCs w:val="12"/>
                <w:color w:val="auto"/>
              </w:rPr>
              <w:t>Number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20"/>
              <w:spacing w:after="0"/>
              <w:rPr>
                <w:sz w:val="20"/>
                <w:szCs w:val="20"/>
                <w:color w:val="auto"/>
              </w:rPr>
            </w:pPr>
            <w:r>
              <w:rPr>
                <w:rFonts w:ascii="Arial" w:cs="Arial" w:eastAsia="Arial" w:hAnsi="Arial"/>
                <w:sz w:val="12"/>
                <w:szCs w:val="12"/>
                <w:color w:val="auto"/>
                <w:w w:val="94"/>
              </w:rPr>
              <w:t>Additional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spacing w:after="0"/>
              <w:rPr>
                <w:sz w:val="20"/>
                <w:szCs w:val="20"/>
                <w:color w:val="auto"/>
              </w:rPr>
            </w:pPr>
            <w:r>
              <w:rPr>
                <w:rFonts w:ascii="Arial" w:cs="Arial" w:eastAsia="Arial" w:hAnsi="Arial"/>
                <w:sz w:val="12"/>
                <w:szCs w:val="12"/>
                <w:color w:val="auto"/>
                <w:w w:val="93"/>
              </w:rPr>
              <w:t>Other</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220"/>
              <w:spacing w:after="0"/>
              <w:rPr>
                <w:sz w:val="20"/>
                <w:szCs w:val="20"/>
                <w:color w:val="auto"/>
              </w:rPr>
            </w:pPr>
            <w:r>
              <w:rPr>
                <w:rFonts w:ascii="Arial" w:cs="Arial" w:eastAsia="Arial" w:hAnsi="Arial"/>
                <w:sz w:val="12"/>
                <w:szCs w:val="12"/>
                <w:color w:val="auto"/>
              </w:rPr>
              <w:t>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20"/>
              <w:spacing w:after="0"/>
              <w:rPr>
                <w:sz w:val="20"/>
                <w:szCs w:val="20"/>
                <w:color w:val="auto"/>
              </w:rPr>
            </w:pPr>
            <w:r>
              <w:rPr>
                <w:rFonts w:ascii="Arial" w:cs="Arial" w:eastAsia="Arial" w:hAnsi="Arial"/>
                <w:sz w:val="12"/>
                <w:szCs w:val="12"/>
                <w:color w:val="auto"/>
              </w:rPr>
              <w:t>Paid 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0"/>
              <w:spacing w:after="0"/>
              <w:rPr>
                <w:sz w:val="20"/>
                <w:szCs w:val="20"/>
                <w:color w:val="auto"/>
              </w:rPr>
            </w:pPr>
            <w:r>
              <w:rPr>
                <w:rFonts w:ascii="Arial" w:cs="Arial" w:eastAsia="Arial" w:hAnsi="Arial"/>
                <w:sz w:val="12"/>
                <w:szCs w:val="12"/>
                <w:color w:val="auto"/>
              </w:rPr>
              <w:t>Retained</w:t>
            </w:r>
          </w:p>
        </w:tc>
        <w:tc>
          <w:tcPr>
            <w:tcW w:w="100" w:type="dxa"/>
            <w:vAlign w:val="bottom"/>
          </w:tcPr>
          <w:p>
            <w:pPr>
              <w:spacing w:after="0"/>
              <w:rPr>
                <w:sz w:val="12"/>
                <w:szCs w:val="12"/>
                <w:color w:val="auto"/>
              </w:rPr>
            </w:pPr>
          </w:p>
        </w:tc>
        <w:tc>
          <w:tcPr>
            <w:tcW w:w="880" w:type="dxa"/>
            <w:vAlign w:val="bottom"/>
            <w:gridSpan w:val="2"/>
          </w:tcPr>
          <w:p>
            <w:pPr>
              <w:jc w:val="center"/>
              <w:spacing w:after="0"/>
              <w:rPr>
                <w:sz w:val="20"/>
                <w:szCs w:val="20"/>
                <w:color w:val="auto"/>
              </w:rPr>
            </w:pPr>
            <w:r>
              <w:rPr>
                <w:rFonts w:ascii="Arial" w:cs="Arial" w:eastAsia="Arial" w:hAnsi="Arial"/>
                <w:sz w:val="12"/>
                <w:szCs w:val="12"/>
                <w:color w:val="auto"/>
                <w:w w:val="90"/>
              </w:rPr>
              <w:t>Comprehensive</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4000" w:type="dxa"/>
            <w:vAlign w:val="bottom"/>
            <w:tcBorders>
              <w:bottom w:val="single" w:sz="8" w:color="auto"/>
            </w:tcBorders>
          </w:tcPr>
          <w:p>
            <w:pPr>
              <w:ind w:left="360"/>
              <w:spacing w:after="0"/>
              <w:rPr>
                <w:sz w:val="20"/>
                <w:szCs w:val="20"/>
                <w:color w:val="auto"/>
              </w:rPr>
            </w:pPr>
            <w:r>
              <w:rPr>
                <w:rFonts w:ascii="Arial" w:cs="Arial" w:eastAsia="Arial" w:hAnsi="Arial"/>
                <w:sz w:val="12"/>
                <w:szCs w:val="12"/>
                <w:color w:val="auto"/>
              </w:rPr>
              <w:t>(Thousands of Dollars and Shares)</w:t>
            </w:r>
          </w:p>
        </w:tc>
        <w:tc>
          <w:tcPr>
            <w:tcW w:w="120" w:type="dxa"/>
            <w:vAlign w:val="bottom"/>
          </w:tcPr>
          <w:p>
            <w:pPr>
              <w:spacing w:after="0"/>
              <w:rPr>
                <w:sz w:val="13"/>
                <w:szCs w:val="13"/>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Shares</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7"/>
              </w:rPr>
              <w:t>Par Value</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Capital</w:t>
            </w:r>
          </w:p>
        </w:tc>
        <w:tc>
          <w:tcPr>
            <w:tcW w:w="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Earnings</w:t>
            </w:r>
          </w:p>
        </w:tc>
        <w:tc>
          <w:tcPr>
            <w:tcW w:w="100" w:type="dxa"/>
            <w:vAlign w:val="bottom"/>
          </w:tcPr>
          <w:p>
            <w:pPr>
              <w:spacing w:after="0"/>
              <w:rPr>
                <w:sz w:val="13"/>
                <w:szCs w:val="13"/>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color w:val="auto"/>
                <w:w w:val="91"/>
              </w:rPr>
              <w:t>Income</w:t>
            </w:r>
          </w:p>
        </w:tc>
        <w:tc>
          <w:tcPr>
            <w:tcW w:w="120" w:type="dxa"/>
            <w:vAlign w:val="bottom"/>
          </w:tcPr>
          <w:p>
            <w:pPr>
              <w:spacing w:after="0"/>
              <w:rPr>
                <w:sz w:val="13"/>
                <w:szCs w:val="13"/>
                <w:color w:val="auto"/>
              </w:rPr>
            </w:pPr>
          </w:p>
        </w:tc>
        <w:tc>
          <w:tcPr>
            <w:tcW w:w="6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Total</w:t>
            </w:r>
          </w:p>
        </w:tc>
      </w:tr>
      <w:tr>
        <w:trPr>
          <w:trHeight w:val="151"/>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Balance, January 1, 2007</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16,842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53,473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Borders>
              <w:right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64,178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15,349</w:t>
            </w:r>
          </w:p>
        </w:tc>
        <w:tc>
          <w:tcPr>
            <w:tcW w:w="14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133,169</w:t>
            </w:r>
          </w:p>
        </w:tc>
        <w:tc>
          <w:tcPr>
            <w:tcW w:w="120" w:type="dxa"/>
            <w:vAlign w:val="bottom"/>
            <w:shd w:val="clear" w:color="auto" w:fill="CCEEFF"/>
          </w:tcPr>
          <w:p>
            <w:pPr>
              <w:spacing w:after="0"/>
              <w:rPr>
                <w:sz w:val="13"/>
                <w:szCs w:val="13"/>
                <w:color w:val="auto"/>
              </w:rPr>
            </w:pPr>
          </w:p>
        </w:tc>
      </w:tr>
      <w:tr>
        <w:trPr>
          <w:trHeight w:val="162"/>
        </w:trPr>
        <w:tc>
          <w:tcPr>
            <w:tcW w:w="4120" w:type="dxa"/>
            <w:vAlign w:val="bottom"/>
            <w:gridSpan w:val="2"/>
          </w:tcPr>
          <w:p>
            <w:pPr>
              <w:ind w:left="100"/>
              <w:spacing w:after="0"/>
              <w:rPr>
                <w:sz w:val="20"/>
                <w:szCs w:val="20"/>
                <w:color w:val="auto"/>
              </w:rPr>
            </w:pPr>
            <w:r>
              <w:rPr>
                <w:rFonts w:ascii="Arial" w:cs="Arial" w:eastAsia="Arial" w:hAnsi="Arial"/>
                <w:sz w:val="12"/>
                <w:szCs w:val="12"/>
                <w:color w:val="auto"/>
              </w:rPr>
              <w:t>Shares issued</w:t>
            </w:r>
          </w:p>
        </w:tc>
        <w:tc>
          <w:tcPr>
            <w:tcW w:w="640" w:type="dxa"/>
            <w:vAlign w:val="bottom"/>
          </w:tcPr>
          <w:p>
            <w:pPr>
              <w:jc w:val="right"/>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115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115</w:t>
            </w:r>
          </w:p>
        </w:tc>
        <w:tc>
          <w:tcPr>
            <w:tcW w:w="120" w:type="dxa"/>
            <w:vAlign w:val="bottom"/>
          </w:tcPr>
          <w:p>
            <w:pPr>
              <w:spacing w:after="0"/>
              <w:rPr>
                <w:sz w:val="14"/>
                <w:szCs w:val="14"/>
                <w:color w:val="auto"/>
              </w:rPr>
            </w:pPr>
          </w:p>
        </w:tc>
      </w:tr>
      <w:tr>
        <w:trPr>
          <w:trHeight w:val="162"/>
        </w:trPr>
        <w:tc>
          <w:tcPr>
            <w:tcW w:w="41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Net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3,755</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3,755</w:t>
            </w:r>
          </w:p>
        </w:tc>
        <w:tc>
          <w:tcPr>
            <w:tcW w:w="120" w:type="dxa"/>
            <w:vAlign w:val="bottom"/>
            <w:shd w:val="clear" w:color="auto" w:fill="CCEEFF"/>
          </w:tcPr>
          <w:p>
            <w:pPr>
              <w:spacing w:after="0"/>
              <w:rPr>
                <w:sz w:val="14"/>
                <w:szCs w:val="14"/>
                <w:color w:val="auto"/>
              </w:rPr>
            </w:pPr>
          </w:p>
        </w:tc>
      </w:tr>
      <w:tr>
        <w:trPr>
          <w:trHeight w:val="162"/>
        </w:trPr>
        <w:tc>
          <w:tcPr>
            <w:tcW w:w="4120" w:type="dxa"/>
            <w:vAlign w:val="bottom"/>
            <w:gridSpan w:val="2"/>
          </w:tcPr>
          <w:p>
            <w:pPr>
              <w:ind w:left="100"/>
              <w:spacing w:after="0"/>
              <w:rPr>
                <w:sz w:val="20"/>
                <w:szCs w:val="20"/>
                <w:color w:val="auto"/>
              </w:rPr>
            </w:pPr>
            <w:r>
              <w:rPr>
                <w:rFonts w:ascii="Arial" w:cs="Arial" w:eastAsia="Arial" w:hAnsi="Arial"/>
                <w:sz w:val="12"/>
                <w:szCs w:val="12"/>
                <w:color w:val="auto"/>
              </w:rPr>
              <w:t>Amortization of restricted stock award</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4"/>
                <w:szCs w:val="14"/>
                <w:color w:val="auto"/>
              </w:rPr>
            </w:pPr>
          </w:p>
        </w:tc>
      </w:tr>
      <w:tr>
        <w:trPr>
          <w:trHeight w:val="162"/>
        </w:trPr>
        <w:tc>
          <w:tcPr>
            <w:tcW w:w="41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Stock option expense</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w:t>
            </w:r>
          </w:p>
        </w:tc>
        <w:tc>
          <w:tcPr>
            <w:tcW w:w="120" w:type="dxa"/>
            <w:vAlign w:val="bottom"/>
            <w:shd w:val="clear" w:color="auto" w:fill="CCEEFF"/>
          </w:tcPr>
          <w:p>
            <w:pPr>
              <w:spacing w:after="0"/>
              <w:rPr>
                <w:sz w:val="14"/>
                <w:szCs w:val="14"/>
                <w:color w:val="auto"/>
              </w:rPr>
            </w:pPr>
          </w:p>
        </w:tc>
      </w:tr>
      <w:tr>
        <w:trPr>
          <w:trHeight w:val="162"/>
        </w:trPr>
        <w:tc>
          <w:tcPr>
            <w:tcW w:w="4120" w:type="dxa"/>
            <w:vAlign w:val="bottom"/>
            <w:gridSpan w:val="2"/>
          </w:tcPr>
          <w:p>
            <w:pPr>
              <w:ind w:left="100"/>
              <w:spacing w:after="0"/>
              <w:rPr>
                <w:sz w:val="20"/>
                <w:szCs w:val="20"/>
                <w:color w:val="auto"/>
              </w:rPr>
            </w:pPr>
            <w:r>
              <w:rPr>
                <w:rFonts w:ascii="Arial" w:cs="Arial" w:eastAsia="Arial" w:hAnsi="Arial"/>
                <w:sz w:val="12"/>
                <w:szCs w:val="12"/>
                <w:color w:val="auto"/>
              </w:rPr>
              <w:t>Dividends declared</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20"/>
              <w:spacing w:after="0"/>
              <w:rPr>
                <w:sz w:val="20"/>
                <w:szCs w:val="20"/>
                <w:color w:val="auto"/>
              </w:rPr>
            </w:pPr>
            <w:r>
              <w:rPr>
                <w:rFonts w:ascii="Arial" w:cs="Arial" w:eastAsia="Arial" w:hAnsi="Arial"/>
                <w:sz w:val="12"/>
                <w:szCs w:val="12"/>
                <w:color w:val="auto"/>
              </w:rPr>
              <w:t>(1,348)</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(1,348)</w:t>
            </w:r>
          </w:p>
        </w:tc>
      </w:tr>
      <w:tr>
        <w:trPr>
          <w:trHeight w:val="144"/>
        </w:trPr>
        <w:tc>
          <w:tcPr>
            <w:tcW w:w="41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Cumulative effect of adoption of FIN 48</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(600 )</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(600)</w:t>
            </w:r>
          </w:p>
        </w:tc>
      </w:tr>
      <w:tr>
        <w:trPr>
          <w:trHeight w:val="180"/>
        </w:trPr>
        <w:tc>
          <w:tcPr>
            <w:tcW w:w="4120" w:type="dxa"/>
            <w:vAlign w:val="bottom"/>
            <w:gridSpan w:val="2"/>
          </w:tcPr>
          <w:p>
            <w:pPr>
              <w:ind w:left="100"/>
              <w:spacing w:after="0"/>
              <w:rPr>
                <w:sz w:val="20"/>
                <w:szCs w:val="20"/>
                <w:color w:val="auto"/>
              </w:rPr>
            </w:pPr>
            <w:r>
              <w:rPr>
                <w:rFonts w:ascii="Arial" w:cs="Arial" w:eastAsia="Arial" w:hAnsi="Arial"/>
                <w:sz w:val="12"/>
                <w:szCs w:val="12"/>
                <w:color w:val="auto"/>
              </w:rPr>
              <w:t>Cumulative translation gain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2,076</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2,076</w:t>
            </w:r>
          </w:p>
        </w:tc>
        <w:tc>
          <w:tcPr>
            <w:tcW w:w="120" w:type="dxa"/>
            <w:vAlign w:val="bottom"/>
          </w:tcPr>
          <w:p>
            <w:pPr>
              <w:spacing w:after="0"/>
              <w:rPr>
                <w:sz w:val="15"/>
                <w:szCs w:val="15"/>
                <w:color w:val="auto"/>
              </w:rPr>
            </w:pPr>
          </w:p>
        </w:tc>
      </w:tr>
      <w:tr>
        <w:trPr>
          <w:trHeight w:val="151"/>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Balance, March 31, 2007</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16,853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53,722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Borders>
              <w:right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65,985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17,425</w:t>
            </w:r>
          </w:p>
        </w:tc>
        <w:tc>
          <w:tcPr>
            <w:tcW w:w="14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137,301</w:t>
            </w:r>
          </w:p>
        </w:tc>
        <w:tc>
          <w:tcPr>
            <w:tcW w:w="120" w:type="dxa"/>
            <w:vAlign w:val="bottom"/>
            <w:shd w:val="clear" w:color="auto" w:fill="CCEEFF"/>
          </w:tcPr>
          <w:p>
            <w:pPr>
              <w:spacing w:after="0"/>
              <w:rPr>
                <w:sz w:val="13"/>
                <w:szCs w:val="13"/>
                <w:color w:val="auto"/>
              </w:rPr>
            </w:pPr>
          </w:p>
        </w:tc>
      </w:tr>
      <w:tr>
        <w:trPr>
          <w:trHeight w:val="27"/>
        </w:trPr>
        <w:tc>
          <w:tcPr>
            <w:tcW w:w="4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180"/>
        <w:spacing w:after="0"/>
        <w:rPr>
          <w:sz w:val="20"/>
          <w:szCs w:val="20"/>
          <w:color w:val="auto"/>
        </w:rPr>
      </w:pPr>
      <w:r>
        <w:rPr>
          <w:rFonts w:ascii="Arial" w:cs="Arial" w:eastAsia="Arial" w:hAnsi="Arial"/>
          <w:sz w:val="12"/>
          <w:szCs w:val="12"/>
          <w:b w:val="1"/>
          <w:bCs w:val="1"/>
          <w:color w:val="auto"/>
        </w:rPr>
        <w:t>The accompanying notes are an integral part of the financial statements.</w:t>
      </w:r>
    </w:p>
    <w:p>
      <w:pPr>
        <w:spacing w:after="0" w:line="349" w:lineRule="exact"/>
        <w:rPr>
          <w:sz w:val="20"/>
          <w:szCs w:val="20"/>
          <w:color w:val="auto"/>
        </w:rPr>
      </w:pPr>
    </w:p>
    <w:p>
      <w:pPr>
        <w:jc w:val="center"/>
        <w:ind w:right="-80"/>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40005</wp:posOffset>
            </wp:positionV>
            <wp:extent cx="729932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099"/>
          </w:cols>
          <w:pgMar w:left="1360" w:top="289" w:right="1440"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2"/>
          <w:szCs w:val="12"/>
          <w:b w:val="1"/>
          <w:bCs w:val="1"/>
          <w:color w:val="auto"/>
        </w:rPr>
        <w:t>NN,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2180" w:type="dxa"/>
            <w:vAlign w:val="bottom"/>
            <w:gridSpan w:val="4"/>
          </w:tcPr>
          <w:p>
            <w:pPr>
              <w:jc w:val="center"/>
              <w:spacing w:after="0"/>
              <w:rPr>
                <w:sz w:val="20"/>
                <w:szCs w:val="20"/>
                <w:color w:val="auto"/>
              </w:rPr>
            </w:pPr>
            <w:r>
              <w:rPr>
                <w:rFonts w:ascii="Arial" w:cs="Arial" w:eastAsia="Arial" w:hAnsi="Arial"/>
                <w:sz w:val="12"/>
                <w:szCs w:val="12"/>
                <w:b w:val="1"/>
                <w:bCs w:val="1"/>
                <w:color w:val="auto"/>
                <w:w w:val="90"/>
              </w:rPr>
              <w:t>Three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460" w:type="dxa"/>
            <w:vAlign w:val="bottom"/>
            <w:gridSpan w:val="3"/>
          </w:tcPr>
          <w:p>
            <w:pPr>
              <w:jc w:val="center"/>
              <w:ind w:left="640"/>
              <w:spacing w:after="0"/>
              <w:rPr>
                <w:sz w:val="20"/>
                <w:szCs w:val="20"/>
                <w:color w:val="auto"/>
              </w:rPr>
            </w:pPr>
            <w:r>
              <w:rPr>
                <w:rFonts w:ascii="Arial" w:cs="Arial" w:eastAsia="Arial" w:hAnsi="Arial"/>
                <w:sz w:val="12"/>
                <w:szCs w:val="12"/>
                <w:b w:val="1"/>
                <w:bCs w:val="1"/>
                <w:color w:val="auto"/>
                <w:w w:val="93"/>
              </w:rPr>
              <w:t>March 31,</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20" w:type="dxa"/>
            <w:vAlign w:val="bottom"/>
            <w:gridSpan w:val="2"/>
          </w:tcPr>
          <w:p>
            <w:pPr>
              <w:spacing w:after="0"/>
              <w:rPr>
                <w:sz w:val="20"/>
                <w:szCs w:val="20"/>
                <w:color w:val="auto"/>
              </w:rPr>
            </w:pPr>
            <w:r>
              <w:rPr>
                <w:rFonts w:ascii="Arial" w:cs="Arial" w:eastAsia="Arial" w:hAnsi="Arial"/>
                <w:sz w:val="12"/>
                <w:szCs w:val="12"/>
                <w:color w:val="auto"/>
              </w:rPr>
              <w:t>(Thousands of Dollars)</w:t>
            </w:r>
          </w:p>
        </w:tc>
        <w:tc>
          <w:tcPr>
            <w:tcW w:w="1020" w:type="dxa"/>
            <w:vAlign w:val="bottom"/>
          </w:tcPr>
          <w:p>
            <w:pPr>
              <w:jc w:val="right"/>
              <w:ind w:right="320"/>
              <w:spacing w:after="0"/>
              <w:rPr>
                <w:sz w:val="20"/>
                <w:szCs w:val="20"/>
                <w:color w:val="auto"/>
              </w:rPr>
            </w:pPr>
            <w:r>
              <w:rPr>
                <w:rFonts w:ascii="Arial" w:cs="Arial" w:eastAsia="Arial" w:hAnsi="Arial"/>
                <w:sz w:val="12"/>
                <w:szCs w:val="12"/>
                <w:b w:val="1"/>
                <w:bCs w:val="1"/>
                <w:color w:val="auto"/>
              </w:rPr>
              <w:t>2007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300"/>
              <w:spacing w:after="0"/>
              <w:rPr>
                <w:sz w:val="20"/>
                <w:szCs w:val="20"/>
                <w:color w:val="auto"/>
              </w:rPr>
            </w:pPr>
            <w:r>
              <w:rPr>
                <w:rFonts w:ascii="Arial" w:cs="Arial" w:eastAsia="Arial" w:hAnsi="Arial"/>
                <w:sz w:val="12"/>
                <w:szCs w:val="12"/>
                <w:b w:val="1"/>
                <w:bCs w:val="1"/>
                <w:color w:val="auto"/>
              </w:rPr>
              <w:t>2006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Operating Activities:</w:t>
            </w:r>
          </w:p>
        </w:tc>
        <w:tc>
          <w:tcPr>
            <w:tcW w:w="10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2"/>
                <w:szCs w:val="12"/>
                <w:color w:val="auto"/>
              </w:rPr>
              <w:t>Net income</w:t>
            </w:r>
          </w:p>
        </w:tc>
        <w:tc>
          <w:tcPr>
            <w:tcW w:w="1020" w:type="dxa"/>
            <w:vAlign w:val="bottom"/>
          </w:tcPr>
          <w:p>
            <w:pPr>
              <w:jc w:val="right"/>
              <w:spacing w:after="0"/>
              <w:rPr>
                <w:sz w:val="20"/>
                <w:szCs w:val="20"/>
                <w:color w:val="auto"/>
              </w:rPr>
            </w:pPr>
            <w:r>
              <w:rPr>
                <w:rFonts w:ascii="Arial" w:cs="Arial" w:eastAsia="Arial" w:hAnsi="Arial"/>
                <w:sz w:val="12"/>
                <w:szCs w:val="12"/>
                <w:color w:val="auto"/>
              </w:rPr>
              <w:t>$ 3,755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$ 5,262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income to net cash used by operating activities:</w:t>
            </w: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1020" w:type="dxa"/>
            <w:vAlign w:val="bottom"/>
          </w:tcPr>
          <w:p>
            <w:pPr>
              <w:jc w:val="right"/>
              <w:spacing w:after="0"/>
              <w:rPr>
                <w:sz w:val="20"/>
                <w:szCs w:val="20"/>
                <w:color w:val="auto"/>
              </w:rPr>
            </w:pPr>
            <w:r>
              <w:rPr>
                <w:rFonts w:ascii="Arial" w:cs="Arial" w:eastAsia="Arial" w:hAnsi="Arial"/>
                <w:sz w:val="12"/>
                <w:szCs w:val="12"/>
                <w:color w:val="auto"/>
              </w:rPr>
              <w:t>5,523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4,162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Increase in allowance for doubtful accounts</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2"/>
                <w:szCs w:val="12"/>
                <w:color w:val="auto"/>
              </w:rPr>
              <w:t>Amortization of debt issue costs</w:t>
            </w:r>
          </w:p>
        </w:tc>
        <w:tc>
          <w:tcPr>
            <w:tcW w:w="1020" w:type="dxa"/>
            <w:vAlign w:val="bottom"/>
          </w:tcPr>
          <w:p>
            <w:pPr>
              <w:jc w:val="right"/>
              <w:spacing w:after="0"/>
              <w:rPr>
                <w:sz w:val="20"/>
                <w:szCs w:val="20"/>
                <w:color w:val="auto"/>
              </w:rPr>
            </w:pPr>
            <w:r>
              <w:rPr>
                <w:rFonts w:ascii="Arial" w:cs="Arial" w:eastAsia="Arial" w:hAnsi="Arial"/>
                <w:sz w:val="12"/>
                <w:szCs w:val="12"/>
                <w:color w:val="auto"/>
              </w:rPr>
              <w:t>49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Gain on disposal of property, plant and equipment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2"/>
                <w:szCs w:val="12"/>
                <w:color w:val="auto"/>
              </w:rPr>
              <w:t>Compensation expense from issuance of restricted stock and incentive stock options</w:t>
            </w:r>
          </w:p>
        </w:tc>
        <w:tc>
          <w:tcPr>
            <w:tcW w:w="1020" w:type="dxa"/>
            <w:vAlign w:val="bottom"/>
          </w:tcPr>
          <w:p>
            <w:pPr>
              <w:jc w:val="right"/>
              <w:spacing w:after="0"/>
              <w:rPr>
                <w:sz w:val="20"/>
                <w:szCs w:val="20"/>
                <w:color w:val="auto"/>
              </w:rPr>
            </w:pPr>
            <w:r>
              <w:rPr>
                <w:rFonts w:ascii="Arial" w:cs="Arial" w:eastAsia="Arial" w:hAnsi="Arial"/>
                <w:sz w:val="12"/>
                <w:szCs w:val="12"/>
                <w:color w:val="auto"/>
              </w:rPr>
              <w:t>134</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Changes in operating assets and liabilities:</w:t>
            </w: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2"/>
                <w:szCs w:val="12"/>
                <w:color w:val="auto"/>
              </w:rPr>
              <w:t>Accounts receivable</w:t>
            </w:r>
          </w:p>
        </w:tc>
        <w:tc>
          <w:tcPr>
            <w:tcW w:w="1020" w:type="dxa"/>
            <w:vAlign w:val="bottom"/>
          </w:tcPr>
          <w:p>
            <w:pPr>
              <w:jc w:val="right"/>
              <w:spacing w:after="0"/>
              <w:rPr>
                <w:sz w:val="20"/>
                <w:szCs w:val="20"/>
                <w:color w:val="auto"/>
              </w:rPr>
            </w:pPr>
            <w:r>
              <w:rPr>
                <w:rFonts w:ascii="Arial" w:cs="Arial" w:eastAsia="Arial" w:hAnsi="Arial"/>
                <w:sz w:val="12"/>
                <w:szCs w:val="12"/>
                <w:color w:val="auto"/>
              </w:rPr>
              <w:t>(9,171)</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(11,938)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Inventories</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(838)</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2"/>
                <w:szCs w:val="12"/>
                <w:color w:val="auto"/>
              </w:rPr>
              <w:t>Accounts payable</w:t>
            </w:r>
          </w:p>
        </w:tc>
        <w:tc>
          <w:tcPr>
            <w:tcW w:w="1020" w:type="dxa"/>
            <w:vAlign w:val="bottom"/>
          </w:tcPr>
          <w:p>
            <w:pPr>
              <w:jc w:val="right"/>
              <w:spacing w:after="0"/>
              <w:rPr>
                <w:sz w:val="20"/>
                <w:szCs w:val="20"/>
                <w:color w:val="auto"/>
              </w:rPr>
            </w:pPr>
            <w:r>
              <w:rPr>
                <w:rFonts w:ascii="Arial" w:cs="Arial" w:eastAsia="Arial" w:hAnsi="Arial"/>
                <w:sz w:val="12"/>
                <w:szCs w:val="12"/>
                <w:color w:val="auto"/>
              </w:rPr>
              <w:t>(3,285)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(3,640)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Other assets and liabilities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3,682</w:t>
            </w: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Borders>
              <w:top w:val="single" w:sz="8" w:color="CCEEFF"/>
            </w:tcBorders>
          </w:tcPr>
          <w:p>
            <w:pPr>
              <w:ind w:left="40"/>
              <w:spacing w:after="0"/>
              <w:rPr>
                <w:sz w:val="20"/>
                <w:szCs w:val="20"/>
                <w:color w:val="auto"/>
              </w:rPr>
            </w:pPr>
            <w:r>
              <w:rPr>
                <w:rFonts w:ascii="Arial" w:cs="Arial" w:eastAsia="Arial" w:hAnsi="Arial"/>
                <w:sz w:val="12"/>
                <w:szCs w:val="12"/>
                <w:color w:val="auto"/>
              </w:rPr>
              <w:t>Net cash used by operating activities</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(72)</w:t>
            </w:r>
          </w:p>
        </w:tc>
        <w:tc>
          <w:tcPr>
            <w:tcW w:w="24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(3,188)</w:t>
            </w:r>
          </w:p>
        </w:tc>
        <w:tc>
          <w:tcPr>
            <w:tcW w:w="0" w:type="dxa"/>
            <w:vAlign w:val="bottom"/>
          </w:tcPr>
          <w:p>
            <w:pPr>
              <w:spacing w:after="0"/>
              <w:rPr>
                <w:sz w:val="1"/>
                <w:szCs w:val="1"/>
                <w:color w:val="auto"/>
              </w:rPr>
            </w:pPr>
          </w:p>
        </w:tc>
      </w:tr>
      <w:tr>
        <w:trPr>
          <w:trHeight w:val="27"/>
        </w:trPr>
        <w:tc>
          <w:tcPr>
            <w:tcW w:w="7020" w:type="dxa"/>
            <w:vAlign w:val="bottom"/>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70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2"/>
                <w:szCs w:val="12"/>
                <w:b w:val="1"/>
                <w:bCs w:val="1"/>
                <w:color w:val="auto"/>
              </w:rPr>
              <w:t>Investing Activities</w:t>
            </w:r>
            <w:r>
              <w:rPr>
                <w:rFonts w:ascii="Arial" w:cs="Arial" w:eastAsia="Arial" w:hAnsi="Arial"/>
                <w:sz w:val="12"/>
                <w:szCs w:val="12"/>
                <w:color w:val="auto"/>
              </w:rPr>
              <w:t>:</w:t>
            </w: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Acquisition of property, plant and equipment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(3,234)</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2"/>
                <w:szCs w:val="12"/>
                <w:color w:val="auto"/>
              </w:rPr>
              <w:t>Proceeds from disposals of property, plant and equipment</w:t>
            </w: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2,830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Acquisition of intangibles and goodwill</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(91)</w:t>
            </w: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Borders>
              <w:top w:val="single" w:sz="8" w:color="CCEEFF"/>
            </w:tcBorders>
          </w:tcPr>
          <w:p>
            <w:pPr>
              <w:ind w:left="40"/>
              <w:spacing w:after="0"/>
              <w:rPr>
                <w:sz w:val="20"/>
                <w:szCs w:val="20"/>
                <w:color w:val="auto"/>
              </w:rPr>
            </w:pPr>
            <w:r>
              <w:rPr>
                <w:rFonts w:ascii="Arial" w:cs="Arial" w:eastAsia="Arial" w:hAnsi="Arial"/>
                <w:sz w:val="12"/>
                <w:szCs w:val="12"/>
                <w:color w:val="auto"/>
              </w:rPr>
              <w:t>Net cash provided (used) by investing activities</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(3,325)</w:t>
            </w:r>
          </w:p>
        </w:tc>
        <w:tc>
          <w:tcPr>
            <w:tcW w:w="24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961</w:t>
            </w:r>
          </w:p>
        </w:tc>
        <w:tc>
          <w:tcPr>
            <w:tcW w:w="0" w:type="dxa"/>
            <w:vAlign w:val="bottom"/>
          </w:tcPr>
          <w:p>
            <w:pPr>
              <w:spacing w:after="0"/>
              <w:rPr>
                <w:sz w:val="1"/>
                <w:szCs w:val="1"/>
                <w:color w:val="auto"/>
              </w:rPr>
            </w:pPr>
          </w:p>
        </w:tc>
      </w:tr>
      <w:tr>
        <w:trPr>
          <w:trHeight w:val="27"/>
        </w:trPr>
        <w:tc>
          <w:tcPr>
            <w:tcW w:w="7020" w:type="dxa"/>
            <w:vAlign w:val="bottom"/>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70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2"/>
                <w:szCs w:val="12"/>
                <w:b w:val="1"/>
                <w:bCs w:val="1"/>
                <w:color w:val="auto"/>
              </w:rPr>
              <w:t>Financing Activities:</w:t>
            </w: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Increase in cash from book overdraft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1,282</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2"/>
                <w:szCs w:val="12"/>
                <w:color w:val="auto"/>
              </w:rPr>
              <w:t>Repayment of long-term debt</w:t>
            </w:r>
          </w:p>
        </w:tc>
        <w:tc>
          <w:tcPr>
            <w:tcW w:w="1020" w:type="dxa"/>
            <w:vAlign w:val="bottom"/>
          </w:tcPr>
          <w:p>
            <w:pPr>
              <w:jc w:val="right"/>
              <w:spacing w:after="0"/>
              <w:rPr>
                <w:sz w:val="20"/>
                <w:szCs w:val="20"/>
                <w:color w:val="auto"/>
              </w:rPr>
            </w:pPr>
            <w:r>
              <w:rPr>
                <w:rFonts w:ascii="Arial" w:cs="Arial" w:eastAsia="Arial" w:hAnsi="Arial"/>
                <w:sz w:val="12"/>
                <w:szCs w:val="12"/>
                <w:color w:val="auto"/>
              </w:rPr>
              <w:t>(288)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(4,738)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Repayment of short-term debt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(5,869)</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(8,398)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2"/>
                <w:szCs w:val="12"/>
                <w:color w:val="auto"/>
              </w:rPr>
              <w:t>Proceeds from short-term debt</w:t>
            </w:r>
          </w:p>
        </w:tc>
        <w:tc>
          <w:tcPr>
            <w:tcW w:w="1020" w:type="dxa"/>
            <w:vAlign w:val="bottom"/>
          </w:tcPr>
          <w:p>
            <w:pPr>
              <w:jc w:val="right"/>
              <w:spacing w:after="0"/>
              <w:rPr>
                <w:sz w:val="20"/>
                <w:szCs w:val="20"/>
                <w:color w:val="auto"/>
              </w:rPr>
            </w:pPr>
            <w:r>
              <w:rPr>
                <w:rFonts w:ascii="Arial" w:cs="Arial" w:eastAsia="Arial" w:hAnsi="Arial"/>
                <w:sz w:val="12"/>
                <w:szCs w:val="12"/>
                <w:color w:val="auto"/>
              </w:rPr>
              <w:t>15,143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9,907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Principal payment on capital lease</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2"/>
                <w:szCs w:val="12"/>
                <w:color w:val="auto"/>
              </w:rPr>
              <w:t>Repurchase of common stock</w:t>
            </w: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(246)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Proceeds from issuance of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2"/>
                <w:szCs w:val="12"/>
                <w:color w:val="auto"/>
              </w:rPr>
              <w:t>Proceeds from long term debt</w:t>
            </w:r>
          </w:p>
        </w:tc>
        <w:tc>
          <w:tcPr>
            <w:tcW w:w="1020" w:type="dxa"/>
            <w:vAlign w:val="bottom"/>
          </w:tcPr>
          <w:p>
            <w:pPr>
              <w:jc w:val="right"/>
              <w:spacing w:after="0"/>
              <w:rPr>
                <w:sz w:val="20"/>
                <w:szCs w:val="20"/>
                <w:color w:val="auto"/>
              </w:rPr>
            </w:pPr>
            <w:r>
              <w:rPr>
                <w:rFonts w:ascii="Arial" w:cs="Arial" w:eastAsia="Arial" w:hAnsi="Arial"/>
                <w:sz w:val="12"/>
                <w:szCs w:val="12"/>
                <w:color w:val="auto"/>
              </w:rPr>
              <w:t>17,400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Debt issuance cost paid</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2"/>
                <w:szCs w:val="12"/>
                <w:color w:val="auto"/>
              </w:rPr>
              <w:t>Repayment of related party debt</w:t>
            </w:r>
          </w:p>
        </w:tc>
        <w:tc>
          <w:tcPr>
            <w:tcW w:w="1020" w:type="dxa"/>
            <w:vAlign w:val="bottom"/>
          </w:tcPr>
          <w:p>
            <w:pPr>
              <w:jc w:val="right"/>
              <w:spacing w:after="0"/>
              <w:rPr>
                <w:sz w:val="20"/>
                <w:szCs w:val="20"/>
                <w:color w:val="auto"/>
              </w:rPr>
            </w:pPr>
            <w:r>
              <w:rPr>
                <w:rFonts w:ascii="Arial" w:cs="Arial" w:eastAsia="Arial" w:hAnsi="Arial"/>
                <w:sz w:val="12"/>
                <w:szCs w:val="12"/>
                <w:color w:val="auto"/>
              </w:rPr>
              <w:t>(18,638)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0" w:type="dxa"/>
            <w:vAlign w:val="bottom"/>
            <w:vMerge w:val="restart"/>
          </w:tcPr>
          <w:p>
            <w:pPr>
              <w:ind w:left="40"/>
              <w:spacing w:after="0"/>
              <w:rPr>
                <w:sz w:val="20"/>
                <w:szCs w:val="20"/>
                <w:color w:val="auto"/>
              </w:rPr>
            </w:pPr>
            <w:r>
              <w:rPr>
                <w:rFonts w:ascii="Arial" w:cs="Arial" w:eastAsia="Arial" w:hAnsi="Arial"/>
                <w:sz w:val="12"/>
                <w:szCs w:val="12"/>
                <w:color w:val="auto"/>
              </w:rPr>
              <w:t>Net cash provided (used) by financing activities</w:t>
            </w: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vMerge w:val="continue"/>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9,111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(1,223)</w:t>
            </w:r>
          </w:p>
        </w:tc>
        <w:tc>
          <w:tcPr>
            <w:tcW w:w="0" w:type="dxa"/>
            <w:vAlign w:val="bottom"/>
          </w:tcPr>
          <w:p>
            <w:pPr>
              <w:spacing w:after="0"/>
              <w:rPr>
                <w:sz w:val="1"/>
                <w:szCs w:val="1"/>
                <w:color w:val="auto"/>
              </w:rPr>
            </w:pPr>
          </w:p>
        </w:tc>
      </w:tr>
      <w:tr>
        <w:trPr>
          <w:trHeight w:val="27"/>
        </w:trPr>
        <w:tc>
          <w:tcPr>
            <w:tcW w:w="7020" w:type="dxa"/>
            <w:vAlign w:val="bottom"/>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70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1020" w:type="dxa"/>
            <w:vAlign w:val="bottom"/>
          </w:tcPr>
          <w:p>
            <w:pPr>
              <w:jc w:val="right"/>
              <w:spacing w:after="0"/>
              <w:rPr>
                <w:sz w:val="20"/>
                <w:szCs w:val="20"/>
                <w:color w:val="auto"/>
              </w:rPr>
            </w:pPr>
            <w:r>
              <w:rPr>
                <w:rFonts w:ascii="Arial" w:cs="Arial" w:eastAsia="Arial" w:hAnsi="Arial"/>
                <w:sz w:val="12"/>
                <w:szCs w:val="12"/>
                <w:color w:val="auto"/>
              </w:rPr>
              <w:t>171</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131</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70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2"/>
                <w:szCs w:val="12"/>
                <w:b w:val="1"/>
                <w:bCs w:val="1"/>
                <w:color w:val="auto"/>
              </w:rPr>
              <w:t>Net Change in Cash and Cash Equivalents</w:t>
            </w:r>
          </w:p>
        </w:tc>
        <w:tc>
          <w:tcPr>
            <w:tcW w:w="1020" w:type="dxa"/>
            <w:vAlign w:val="bottom"/>
          </w:tcPr>
          <w:p>
            <w:pPr>
              <w:jc w:val="right"/>
              <w:spacing w:after="0"/>
              <w:rPr>
                <w:sz w:val="20"/>
                <w:szCs w:val="20"/>
                <w:color w:val="auto"/>
              </w:rPr>
            </w:pPr>
            <w:r>
              <w:rPr>
                <w:rFonts w:ascii="Arial" w:cs="Arial" w:eastAsia="Arial" w:hAnsi="Arial"/>
                <w:sz w:val="12"/>
                <w:szCs w:val="12"/>
                <w:color w:val="auto"/>
              </w:rPr>
              <w:t>5,885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(3,319)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Cash and Cash Equivalents at Beginning of Period</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11,681</w:t>
            </w: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10,856</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Cash and Cash Equivalents at End of Period</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$ 17,566</w:t>
            </w: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$ 7,537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2960"/>
        <w:spacing w:after="0"/>
        <w:rPr>
          <w:sz w:val="20"/>
          <w:szCs w:val="20"/>
          <w:color w:val="auto"/>
        </w:rPr>
      </w:pPr>
      <w:r>
        <w:rPr>
          <w:rFonts w:ascii="Arial" w:cs="Arial" w:eastAsia="Arial" w:hAnsi="Arial"/>
          <w:sz w:val="12"/>
          <w:szCs w:val="12"/>
          <w:b w:val="1"/>
          <w:bCs w:val="1"/>
          <w:color w:val="auto"/>
        </w:rPr>
        <w:t>The accompanying notes are an integral part of the financial statements.</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40005</wp:posOffset>
            </wp:positionV>
            <wp:extent cx="729932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200"/>
          </w:cols>
          <w:pgMar w:left="1360" w:top="289" w:right="1339" w:bottom="1440" w:gutter="0" w:footer="0" w:header="0"/>
        </w:sectPr>
      </w:pPr>
    </w:p>
    <w:bookmarkStart w:id="6" w:name="page7"/>
    <w:bookmarkEnd w:id="6"/>
    <w:p>
      <w:pPr>
        <w:jc w:val="center"/>
        <w:spacing w:after="0"/>
        <w:rPr>
          <w:sz w:val="20"/>
          <w:szCs w:val="20"/>
          <w:color w:val="auto"/>
        </w:rPr>
      </w:pPr>
      <w:r>
        <w:rPr>
          <w:rFonts w:ascii="Arial" w:cs="Arial" w:eastAsia="Arial" w:hAnsi="Arial"/>
          <w:sz w:val="12"/>
          <w:szCs w:val="12"/>
          <w:b w:val="1"/>
          <w:bCs w:val="1"/>
          <w:color w:val="auto"/>
        </w:rPr>
        <w:t>NN,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200" w:lineRule="exact"/>
        <w:rPr>
          <w:sz w:val="20"/>
          <w:szCs w:val="20"/>
          <w:color w:val="auto"/>
        </w:rPr>
      </w:pPr>
    </w:p>
    <w:p>
      <w:pPr>
        <w:spacing w:after="0" w:line="325"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Note 1.</w:t>
      </w:r>
      <w:r>
        <w:rPr>
          <w:sz w:val="20"/>
          <w:szCs w:val="20"/>
          <w:color w:val="auto"/>
        </w:rPr>
        <w:tab/>
      </w:r>
      <w:r>
        <w:rPr>
          <w:rFonts w:ascii="Arial" w:cs="Arial" w:eastAsia="Arial" w:hAnsi="Arial"/>
          <w:sz w:val="11"/>
          <w:szCs w:val="11"/>
          <w:b w:val="1"/>
          <w:bCs w:val="1"/>
          <w:color w:val="auto"/>
        </w:rPr>
        <w:t>Interim Financial Statements</w:t>
      </w:r>
    </w:p>
    <w:p>
      <w:pPr>
        <w:spacing w:after="0" w:line="199"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The accompanying consolidated financial statements of NN, Inc. (the “Company”) have not been audited, except that the balance sheet at December 31, 2006 is derived from the Company’s consolidated audited financial statements. In the opinion of the Company’s management, the financial statements reflect all adjustments necessary to fairly state the results of operations for the three month periods ended March 31, 2007 and 2006, the Company’s financial position at March 31, 2007 and December 31, 2006, and the cash flows for the three month periods ended March 31, 2007 and 2006.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145" w:lineRule="exact"/>
        <w:rPr>
          <w:sz w:val="20"/>
          <w:szCs w:val="20"/>
          <w:color w:val="auto"/>
        </w:rPr>
      </w:pPr>
    </w:p>
    <w:p>
      <w:pPr>
        <w:ind w:right="60"/>
        <w:spacing w:after="0" w:line="298" w:lineRule="auto"/>
        <w:rPr>
          <w:sz w:val="20"/>
          <w:szCs w:val="20"/>
          <w:color w:val="auto"/>
        </w:rPr>
      </w:pPr>
      <w:r>
        <w:rPr>
          <w:rFonts w:ascii="Arial" w:cs="Arial" w:eastAsia="Arial" w:hAnsi="Arial"/>
          <w:sz w:val="11"/>
          <w:szCs w:val="11"/>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consolidated and unaudited, consolidated financial statements should be read in conjunction with our audited consolidated financial statements and the notes thereto included in our most recent annual report on Form 10-K for the year ended December 31, 2006 which we filed with the Securities and Exchange Commission on March 16, 2007.</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The results for the three month period ended March 31, 2007 are not necessarily indicative of results for the year ending December 31, 2007 or any other future periods.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00" w:type="dxa"/>
            <w:vAlign w:val="bottom"/>
          </w:tcPr>
          <w:p>
            <w:pPr>
              <w:spacing w:after="0"/>
              <w:rPr>
                <w:sz w:val="20"/>
                <w:szCs w:val="20"/>
                <w:color w:val="auto"/>
              </w:rPr>
            </w:pPr>
            <w:r>
              <w:rPr>
                <w:rFonts w:ascii="Arial" w:cs="Arial" w:eastAsia="Arial" w:hAnsi="Arial"/>
                <w:sz w:val="12"/>
                <w:szCs w:val="12"/>
                <w:b w:val="1"/>
                <w:bCs w:val="1"/>
                <w:color w:val="auto"/>
              </w:rPr>
              <w:t>Note 2.</w:t>
            </w:r>
          </w:p>
        </w:tc>
        <w:tc>
          <w:tcPr>
            <w:tcW w:w="6480" w:type="dxa"/>
            <w:vAlign w:val="bottom"/>
            <w:gridSpan w:val="4"/>
          </w:tcPr>
          <w:p>
            <w:pPr>
              <w:ind w:left="140"/>
              <w:spacing w:after="0"/>
              <w:rPr>
                <w:sz w:val="20"/>
                <w:szCs w:val="20"/>
                <w:color w:val="auto"/>
              </w:rPr>
            </w:pPr>
            <w:r>
              <w:rPr>
                <w:rFonts w:ascii="Arial" w:cs="Arial" w:eastAsia="Arial" w:hAnsi="Arial"/>
                <w:sz w:val="12"/>
                <w:szCs w:val="12"/>
                <w:b w:val="1"/>
                <w:bCs w:val="1"/>
                <w:color w:val="auto"/>
              </w:rPr>
              <w:t>Inventories</w:t>
            </w: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3"/>
        </w:trPr>
        <w:tc>
          <w:tcPr>
            <w:tcW w:w="6980" w:type="dxa"/>
            <w:vAlign w:val="bottom"/>
            <w:gridSpan w:val="5"/>
          </w:tcPr>
          <w:p>
            <w:pPr>
              <w:spacing w:after="0"/>
              <w:rPr>
                <w:sz w:val="20"/>
                <w:szCs w:val="20"/>
                <w:color w:val="auto"/>
              </w:rPr>
            </w:pPr>
            <w:r>
              <w:rPr>
                <w:rFonts w:ascii="Arial" w:cs="Arial" w:eastAsia="Arial" w:hAnsi="Arial"/>
                <w:sz w:val="12"/>
                <w:szCs w:val="12"/>
                <w:color w:val="auto"/>
              </w:rPr>
              <w:t>Inventories are stated at the lower of cost or market. Cost is determined using the first-in, first-out method.</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80" w:type="dxa"/>
            <w:vAlign w:val="bottom"/>
            <w:gridSpan w:val="5"/>
          </w:tcPr>
          <w:p>
            <w:pPr>
              <w:spacing w:after="0"/>
              <w:rPr>
                <w:sz w:val="20"/>
                <w:szCs w:val="20"/>
                <w:color w:val="auto"/>
              </w:rPr>
            </w:pPr>
            <w:r>
              <w:rPr>
                <w:rFonts w:ascii="Arial" w:cs="Arial" w:eastAsia="Arial" w:hAnsi="Arial"/>
                <w:sz w:val="12"/>
                <w:szCs w:val="12"/>
                <w:color w:val="auto"/>
              </w:rPr>
              <w:t>Inventories are comprised of the following (in thousands):</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0" w:type="dxa"/>
            <w:vAlign w:val="bottom"/>
            <w:gridSpan w:val="5"/>
          </w:tcPr>
          <w:p>
            <w:pPr>
              <w:ind w:left="540"/>
              <w:spacing w:after="0"/>
              <w:rPr>
                <w:sz w:val="20"/>
                <w:szCs w:val="20"/>
                <w:color w:val="auto"/>
              </w:rPr>
            </w:pPr>
            <w:r>
              <w:rPr>
                <w:rFonts w:ascii="Arial" w:cs="Arial" w:eastAsia="Arial" w:hAnsi="Arial"/>
                <w:sz w:val="12"/>
                <w:szCs w:val="12"/>
                <w:b w:val="1"/>
                <w:bCs w:val="1"/>
                <w:color w:val="auto"/>
              </w:rPr>
              <w:t>March 31,</w:t>
            </w:r>
          </w:p>
        </w:tc>
        <w:tc>
          <w:tcPr>
            <w:tcW w:w="136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160"/>
              <w:spacing w:after="0"/>
              <w:rPr>
                <w:sz w:val="20"/>
                <w:szCs w:val="20"/>
                <w:color w:val="auto"/>
              </w:rPr>
            </w:pPr>
            <w:r>
              <w:rPr>
                <w:rFonts w:ascii="Arial" w:cs="Arial" w:eastAsia="Arial" w:hAnsi="Arial"/>
                <w:sz w:val="12"/>
                <w:szCs w:val="12"/>
                <w:b w:val="1"/>
                <w:bCs w:val="1"/>
                <w:color w:val="auto"/>
              </w:rPr>
              <w:t>2007</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260"/>
              <w:spacing w:after="0"/>
              <w:rPr>
                <w:sz w:val="20"/>
                <w:szCs w:val="20"/>
                <w:color w:val="auto"/>
              </w:rPr>
            </w:pPr>
            <w:r>
              <w:rPr>
                <w:rFonts w:ascii="Arial" w:cs="Arial" w:eastAsia="Arial" w:hAnsi="Arial"/>
                <w:sz w:val="12"/>
                <w:szCs w:val="12"/>
                <w:b w:val="1"/>
                <w:bCs w:val="1"/>
                <w:color w:val="auto"/>
              </w:rPr>
              <w:t>2006</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5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Raw materials</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$ 12,386</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$ 11,828</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gridSpan w:val="2"/>
          </w:tcPr>
          <w:p>
            <w:pPr>
              <w:spacing w:after="0"/>
              <w:rPr>
                <w:sz w:val="20"/>
                <w:szCs w:val="20"/>
                <w:color w:val="auto"/>
              </w:rPr>
            </w:pPr>
            <w:r>
              <w:rPr>
                <w:rFonts w:ascii="Arial" w:cs="Arial" w:eastAsia="Arial" w:hAnsi="Arial"/>
                <w:sz w:val="12"/>
                <w:szCs w:val="12"/>
                <w:color w:val="auto"/>
              </w:rPr>
              <w:t>Work in process</w:t>
            </w:r>
          </w:p>
        </w:tc>
        <w:tc>
          <w:tcPr>
            <w:tcW w:w="1620" w:type="dxa"/>
            <w:vAlign w:val="bottom"/>
            <w:gridSpan w:val="3"/>
          </w:tcPr>
          <w:p>
            <w:pPr>
              <w:jc w:val="right"/>
              <w:ind w:right="20"/>
              <w:spacing w:after="0"/>
              <w:rPr>
                <w:sz w:val="20"/>
                <w:szCs w:val="20"/>
                <w:color w:val="auto"/>
              </w:rPr>
            </w:pPr>
            <w:r>
              <w:rPr>
                <w:rFonts w:ascii="Arial" w:cs="Arial" w:eastAsia="Arial" w:hAnsi="Arial"/>
                <w:sz w:val="12"/>
                <w:szCs w:val="12"/>
                <w:color w:val="auto"/>
              </w:rPr>
              <w:t>10,345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2"/>
                <w:szCs w:val="12"/>
                <w:color w:val="auto"/>
              </w:rPr>
              <w:t>10,427</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Finished goods</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23,904</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23,596</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gridSpan w:val="2"/>
          </w:tcPr>
          <w:p>
            <w:pPr>
              <w:spacing w:after="0"/>
              <w:rPr>
                <w:sz w:val="20"/>
                <w:szCs w:val="20"/>
                <w:color w:val="auto"/>
              </w:rPr>
            </w:pPr>
            <w:r>
              <w:rPr>
                <w:rFonts w:ascii="Arial" w:cs="Arial" w:eastAsia="Arial" w:hAnsi="Arial"/>
                <w:sz w:val="12"/>
                <w:szCs w:val="12"/>
                <w:color w:val="auto"/>
              </w:rPr>
              <w:t>Less inventory reserves</w:t>
            </w:r>
          </w:p>
        </w:tc>
        <w:tc>
          <w:tcPr>
            <w:tcW w:w="1620" w:type="dxa"/>
            <w:vAlign w:val="bottom"/>
            <w:gridSpan w:val="3"/>
          </w:tcPr>
          <w:p>
            <w:pPr>
              <w:jc w:val="right"/>
              <w:ind w:right="20"/>
              <w:spacing w:after="0"/>
              <w:rPr>
                <w:sz w:val="20"/>
                <w:szCs w:val="20"/>
                <w:color w:val="auto"/>
              </w:rPr>
            </w:pPr>
            <w:r>
              <w:rPr>
                <w:rFonts w:ascii="Arial" w:cs="Arial" w:eastAsia="Arial" w:hAnsi="Arial"/>
                <w:sz w:val="12"/>
                <w:szCs w:val="12"/>
                <w:color w:val="auto"/>
              </w:rPr>
              <w:t>(2,035)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2"/>
                <w:szCs w:val="12"/>
                <w:color w:val="auto"/>
              </w:rPr>
              <w:t>(2,313)</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$ 44,600</w:t>
            </w:r>
          </w:p>
        </w:tc>
        <w:tc>
          <w:tcPr>
            <w:tcW w:w="2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$ 43,538</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6980" w:type="dxa"/>
            <w:vAlign w:val="bottom"/>
            <w:gridSpan w:val="5"/>
          </w:tcPr>
          <w:p>
            <w:pPr>
              <w:spacing w:after="0"/>
              <w:rPr>
                <w:sz w:val="20"/>
                <w:szCs w:val="20"/>
                <w:color w:val="auto"/>
              </w:rPr>
            </w:pPr>
            <w:r>
              <w:rPr>
                <w:rFonts w:ascii="Arial" w:cs="Arial" w:eastAsia="Arial" w:hAnsi="Arial"/>
                <w:sz w:val="12"/>
                <w:szCs w:val="12"/>
                <w:color w:val="auto"/>
                <w:w w:val="95"/>
              </w:rPr>
              <w:t>Inventories on consignment at customer locations as of March 31, 2007 and December 31, 2006 totaled $5,339 and $4,554, respectively.</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0" w:type="dxa"/>
            <w:vAlign w:val="bottom"/>
          </w:tcPr>
          <w:p>
            <w:pPr>
              <w:spacing w:after="0"/>
              <w:rPr>
                <w:sz w:val="20"/>
                <w:szCs w:val="20"/>
                <w:color w:val="auto"/>
              </w:rPr>
            </w:pPr>
            <w:r>
              <w:rPr>
                <w:rFonts w:ascii="Arial" w:cs="Arial" w:eastAsia="Arial" w:hAnsi="Arial"/>
                <w:sz w:val="12"/>
                <w:szCs w:val="12"/>
                <w:b w:val="1"/>
                <w:bCs w:val="1"/>
                <w:color w:val="auto"/>
              </w:rPr>
              <w:t>Note 3.</w:t>
            </w:r>
          </w:p>
        </w:tc>
        <w:tc>
          <w:tcPr>
            <w:tcW w:w="6480" w:type="dxa"/>
            <w:vAlign w:val="bottom"/>
            <w:gridSpan w:val="4"/>
          </w:tcPr>
          <w:p>
            <w:pPr>
              <w:ind w:left="140"/>
              <w:spacing w:after="0"/>
              <w:rPr>
                <w:sz w:val="20"/>
                <w:szCs w:val="20"/>
                <w:color w:val="auto"/>
              </w:rPr>
            </w:pPr>
            <w:r>
              <w:rPr>
                <w:rFonts w:ascii="Arial" w:cs="Arial" w:eastAsia="Arial" w:hAnsi="Arial"/>
                <w:sz w:val="12"/>
                <w:szCs w:val="12"/>
                <w:b w:val="1"/>
                <w:bCs w:val="1"/>
                <w:color w:val="auto"/>
              </w:rPr>
              <w:t>Net Income Per Share</w:t>
            </w:r>
          </w:p>
        </w:tc>
        <w:tc>
          <w:tcPr>
            <w:tcW w:w="2000" w:type="dxa"/>
            <w:vAlign w:val="bottom"/>
            <w:gridSpan w:val="5"/>
            <w:vMerge w:val="restart"/>
          </w:tcPr>
          <w:p>
            <w:pPr>
              <w:ind w:left="820"/>
              <w:spacing w:after="0"/>
              <w:rPr>
                <w:sz w:val="20"/>
                <w:szCs w:val="20"/>
                <w:color w:val="auto"/>
              </w:rPr>
            </w:pPr>
            <w:r>
              <w:rPr>
                <w:rFonts w:ascii="Arial" w:cs="Arial" w:eastAsia="Arial" w:hAnsi="Arial"/>
                <w:sz w:val="12"/>
                <w:szCs w:val="12"/>
                <w:b w:val="1"/>
                <w:bCs w:val="1"/>
                <w:color w:val="auto"/>
                <w:w w:val="98"/>
              </w:rPr>
              <w:t>Three months ended</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5"/>
            <w:vMerge w:val="continue"/>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0" w:type="dxa"/>
            <w:vAlign w:val="bottom"/>
            <w:gridSpan w:val="5"/>
          </w:tcPr>
          <w:p>
            <w:pPr>
              <w:ind w:left="1060"/>
              <w:spacing w:after="0"/>
              <w:rPr>
                <w:sz w:val="20"/>
                <w:szCs w:val="20"/>
                <w:color w:val="auto"/>
              </w:rPr>
            </w:pPr>
            <w:r>
              <w:rPr>
                <w:rFonts w:ascii="Arial" w:cs="Arial" w:eastAsia="Arial" w:hAnsi="Arial"/>
                <w:sz w:val="12"/>
                <w:szCs w:val="12"/>
                <w:b w:val="1"/>
                <w:bCs w:val="1"/>
                <w:color w:val="auto"/>
              </w:rPr>
              <w:t>March 31,</w:t>
            </w: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40" w:type="dxa"/>
            <w:vAlign w:val="bottom"/>
            <w:tcBorders>
              <w:bottom w:val="single" w:sz="8" w:color="auto"/>
            </w:tcBorders>
            <w:gridSpan w:val="3"/>
          </w:tcPr>
          <w:p>
            <w:pPr>
              <w:spacing w:after="0"/>
              <w:rPr>
                <w:sz w:val="20"/>
                <w:szCs w:val="20"/>
                <w:color w:val="auto"/>
              </w:rPr>
            </w:pPr>
            <w:r>
              <w:rPr>
                <w:rFonts w:ascii="Arial" w:cs="Arial" w:eastAsia="Arial" w:hAnsi="Arial"/>
                <w:sz w:val="12"/>
                <w:szCs w:val="12"/>
                <w:color w:val="auto"/>
              </w:rPr>
              <w:t>(Thousands of Dollars, Except Share and Per Share Data)</w:t>
            </w:r>
          </w:p>
        </w:tc>
        <w:tc>
          <w:tcPr>
            <w:tcW w:w="114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color w:val="auto"/>
              </w:rPr>
              <w:t>2007</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color w:val="auto"/>
              </w:rPr>
              <w:t>2006</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5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$ 3,755</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$ 5,262</w:t>
            </w:r>
          </w:p>
        </w:tc>
        <w:tc>
          <w:tcPr>
            <w:tcW w:w="32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6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538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Weighted average basic shares</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16,813,351</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17,151,957</w:t>
            </w:r>
          </w:p>
        </w:tc>
        <w:tc>
          <w:tcPr>
            <w:tcW w:w="32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gridSpan w:val="2"/>
          </w:tcPr>
          <w:p>
            <w:pPr>
              <w:spacing w:after="0"/>
              <w:rPr>
                <w:sz w:val="20"/>
                <w:szCs w:val="20"/>
                <w:color w:val="auto"/>
              </w:rPr>
            </w:pPr>
            <w:r>
              <w:rPr>
                <w:rFonts w:ascii="Arial" w:cs="Arial" w:eastAsia="Arial" w:hAnsi="Arial"/>
                <w:sz w:val="12"/>
                <w:szCs w:val="12"/>
                <w:color w:val="auto"/>
              </w:rPr>
              <w:t>Effect of dilutive stock options</w:t>
            </w:r>
          </w:p>
        </w:tc>
        <w:tc>
          <w:tcPr>
            <w:tcW w:w="1140" w:type="dxa"/>
            <w:vAlign w:val="bottom"/>
          </w:tcPr>
          <w:p>
            <w:pPr>
              <w:jc w:val="right"/>
              <w:spacing w:after="0"/>
              <w:rPr>
                <w:sz w:val="20"/>
                <w:szCs w:val="20"/>
                <w:color w:val="auto"/>
              </w:rPr>
            </w:pPr>
            <w:r>
              <w:rPr>
                <w:rFonts w:ascii="Arial" w:cs="Arial" w:eastAsia="Arial" w:hAnsi="Arial"/>
                <w:sz w:val="12"/>
                <w:szCs w:val="12"/>
                <w:color w:val="auto"/>
              </w:rPr>
              <w:t>219,986</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223,634</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4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Weighted average dilutive shares outstanding</w:t>
            </w:r>
          </w:p>
        </w:tc>
        <w:tc>
          <w:tcPr>
            <w:tcW w:w="44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17,033,337</w:t>
            </w:r>
          </w:p>
        </w:tc>
        <w:tc>
          <w:tcPr>
            <w:tcW w:w="3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17,375,591</w:t>
            </w:r>
          </w:p>
        </w:tc>
        <w:tc>
          <w:tcPr>
            <w:tcW w:w="320" w:type="dxa"/>
            <w:vAlign w:val="bottom"/>
            <w:tcBorders>
              <w:bottom w:val="single" w:sz="8" w:color="CCEEFF"/>
            </w:tcBorders>
            <w:shd w:val="clear" w:color="auto" w:fill="CCEEFF"/>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5820" w:type="dxa"/>
            <w:vAlign w:val="bottom"/>
            <w:gridSpan w:val="2"/>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Basic net income per share</w:t>
            </w:r>
          </w:p>
        </w:tc>
        <w:tc>
          <w:tcPr>
            <w:tcW w:w="4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$ 0.22</w:t>
            </w:r>
          </w:p>
        </w:tc>
        <w:tc>
          <w:tcPr>
            <w:tcW w:w="3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$ 0.31</w:t>
            </w:r>
          </w:p>
        </w:tc>
        <w:tc>
          <w:tcPr>
            <w:tcW w:w="320" w:type="dxa"/>
            <w:vAlign w:val="bottom"/>
            <w:tcBorders>
              <w:bottom w:val="single" w:sz="8" w:color="CCEEFF"/>
            </w:tcBorders>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20" w:type="dxa"/>
            <w:vAlign w:val="bottom"/>
            <w:gridSpan w:val="2"/>
          </w:tcPr>
          <w:p>
            <w:pPr>
              <w:spacing w:after="0"/>
              <w:rPr>
                <w:sz w:val="20"/>
                <w:szCs w:val="20"/>
                <w:color w:val="auto"/>
              </w:rPr>
            </w:pPr>
            <w:r>
              <w:rPr>
                <w:rFonts w:ascii="Arial" w:cs="Arial" w:eastAsia="Arial" w:hAnsi="Arial"/>
                <w:sz w:val="12"/>
                <w:szCs w:val="12"/>
                <w:color w:val="auto"/>
              </w:rPr>
              <w:t>Diluted net income per share</w:t>
            </w:r>
          </w:p>
        </w:tc>
        <w:tc>
          <w:tcPr>
            <w:tcW w:w="1140" w:type="dxa"/>
            <w:vAlign w:val="bottom"/>
          </w:tcPr>
          <w:p>
            <w:pPr>
              <w:jc w:val="right"/>
              <w:spacing w:after="0"/>
              <w:rPr>
                <w:sz w:val="20"/>
                <w:szCs w:val="20"/>
                <w:color w:val="auto"/>
              </w:rPr>
            </w:pPr>
            <w:r>
              <w:rPr>
                <w:rFonts w:ascii="Arial" w:cs="Arial" w:eastAsia="Arial" w:hAnsi="Arial"/>
                <w:sz w:val="12"/>
                <w:szCs w:val="12"/>
                <w:color w:val="auto"/>
              </w:rPr>
              <w:t>$ 0.22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$ 0.30</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1"/>
        </w:trPr>
        <w:tc>
          <w:tcPr>
            <w:tcW w:w="500" w:type="dxa"/>
            <w:vAlign w:val="bottom"/>
          </w:tcPr>
          <w:p>
            <w:pPr>
              <w:spacing w:after="0"/>
              <w:rPr>
                <w:sz w:val="24"/>
                <w:szCs w:val="24"/>
                <w:color w:val="auto"/>
              </w:rPr>
            </w:pPr>
          </w:p>
        </w:tc>
        <w:tc>
          <w:tcPr>
            <w:tcW w:w="6040" w:type="dxa"/>
            <w:vAlign w:val="bottom"/>
            <w:gridSpan w:val="3"/>
          </w:tcPr>
          <w:p>
            <w:pPr>
              <w:jc w:val="right"/>
              <w:ind w:right="720"/>
              <w:spacing w:after="0"/>
              <w:rPr>
                <w:sz w:val="20"/>
                <w:szCs w:val="20"/>
                <w:color w:val="auto"/>
              </w:rPr>
            </w:pPr>
            <w:r>
              <w:rPr>
                <w:rFonts w:ascii="Arial" w:cs="Arial" w:eastAsia="Arial" w:hAnsi="Arial"/>
                <w:sz w:val="10"/>
                <w:szCs w:val="10"/>
                <w:color w:val="auto"/>
              </w:rPr>
              <w:t>6</w:t>
            </w:r>
          </w:p>
        </w:tc>
        <w:tc>
          <w:tcPr>
            <w:tcW w:w="4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50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538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2"/>
          <w:szCs w:val="12"/>
          <w:b w:val="1"/>
          <w:bCs w:val="1"/>
          <w:color w:val="auto"/>
        </w:rPr>
        <w:t>NN,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322"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Excluded from the shares outstanding for the three month period ended March 31, 2007 were 503,250 anti-dilutive options which had exercise prices ranging from $11.29 and $12.62. There were no anti-dilutive options excluded from shares outstanding for the three month period of March 31, 2006.</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Segment Information</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The segment information and the accounting policies of each segment are the same as those described in the “Segment Information” footnote and the “Summary of Significant Accounting Policies” footnote, respectively, in our annual report on Form 10-K for the year ended December 31, 2006. We evaluate segment performance based on income or loss from operations after income taxes. We account for inter-segment sales and transfers at current market prices. We did not have any significant inter-segment transactions during the three month periods ended March 31, 2007 and 2006. As discussed in our annual report on Form 10-K for the year ended December 31, 2006, we changed our segment reporting during the fourth quarter of 2006. The first quarter of 2006 has been restated to conform to the new segment reporting.</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3"/>
              </w:rPr>
              <w:t>Three Months Ended March 31,</w:t>
            </w: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2"/>
                <w:szCs w:val="12"/>
                <w:b w:val="1"/>
                <w:bCs w:val="1"/>
                <w:color w:val="auto"/>
              </w:rPr>
              <w:t>2007</w:t>
            </w: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80" w:type="dxa"/>
            <w:vAlign w:val="bottom"/>
            <w:gridSpan w:val="2"/>
          </w:tcPr>
          <w:p>
            <w:pPr>
              <w:jc w:val="right"/>
              <w:ind w:right="960"/>
              <w:spacing w:after="0"/>
              <w:rPr>
                <w:sz w:val="20"/>
                <w:szCs w:val="20"/>
                <w:color w:val="auto"/>
              </w:rPr>
            </w:pPr>
            <w:r>
              <w:rPr>
                <w:rFonts w:ascii="Arial" w:cs="Arial" w:eastAsia="Arial" w:hAnsi="Arial"/>
                <w:sz w:val="12"/>
                <w:szCs w:val="12"/>
                <w:b w:val="1"/>
                <w:bCs w:val="1"/>
                <w:color w:val="auto"/>
              </w:rPr>
              <w:t>2006</w:t>
            </w:r>
          </w:p>
        </w:tc>
        <w:tc>
          <w:tcPr>
            <w:tcW w:w="700" w:type="dxa"/>
            <w:vAlign w:val="bottom"/>
          </w:tcPr>
          <w:p>
            <w:pPr>
              <w:spacing w:after="0"/>
              <w:rPr>
                <w:sz w:val="15"/>
                <w:szCs w:val="15"/>
                <w:color w:val="auto"/>
              </w:rPr>
            </w:pPr>
          </w:p>
        </w:tc>
      </w:tr>
      <w:tr>
        <w:trPr>
          <w:trHeight w:val="36"/>
        </w:trPr>
        <w:tc>
          <w:tcPr>
            <w:tcW w:w="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304"/>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91"/>
              </w:rPr>
              <w:t>Metal Bearing</w:t>
            </w:r>
          </w:p>
        </w:tc>
        <w:tc>
          <w:tcPr>
            <w:tcW w:w="900" w:type="dxa"/>
            <w:vAlign w:val="bottom"/>
          </w:tcPr>
          <w:p>
            <w:pPr>
              <w:jc w:val="center"/>
              <w:spacing w:after="0"/>
              <w:rPr>
                <w:sz w:val="20"/>
                <w:szCs w:val="20"/>
                <w:color w:val="auto"/>
              </w:rPr>
            </w:pPr>
            <w:r>
              <w:rPr>
                <w:rFonts w:ascii="Arial" w:cs="Arial" w:eastAsia="Arial" w:hAnsi="Arial"/>
                <w:sz w:val="12"/>
                <w:szCs w:val="12"/>
                <w:color w:val="auto"/>
                <w:w w:val="92"/>
              </w:rPr>
              <w:t>Precision Metal</w:t>
            </w:r>
          </w:p>
        </w:tc>
        <w:tc>
          <w:tcPr>
            <w:tcW w:w="960" w:type="dxa"/>
            <w:vAlign w:val="bottom"/>
          </w:tcPr>
          <w:p>
            <w:pPr>
              <w:jc w:val="center"/>
              <w:spacing w:after="0"/>
              <w:rPr>
                <w:sz w:val="20"/>
                <w:szCs w:val="20"/>
                <w:color w:val="auto"/>
              </w:rPr>
            </w:pPr>
            <w:r>
              <w:rPr>
                <w:rFonts w:ascii="Arial" w:cs="Arial" w:eastAsia="Arial" w:hAnsi="Arial"/>
                <w:sz w:val="12"/>
                <w:szCs w:val="12"/>
                <w:color w:val="auto"/>
                <w:w w:val="90"/>
              </w:rPr>
              <w:t>Plastic and Rubber</w:t>
            </w:r>
          </w:p>
        </w:tc>
        <w:tc>
          <w:tcPr>
            <w:tcW w:w="960" w:type="dxa"/>
            <w:vAlign w:val="bottom"/>
          </w:tcPr>
          <w:p>
            <w:pPr>
              <w:spacing w:after="0"/>
              <w:rPr>
                <w:sz w:val="24"/>
                <w:szCs w:val="24"/>
                <w:color w:val="auto"/>
              </w:rPr>
            </w:pPr>
          </w:p>
        </w:tc>
        <w:tc>
          <w:tcPr>
            <w:tcW w:w="940" w:type="dxa"/>
            <w:vAlign w:val="bottom"/>
          </w:tcPr>
          <w:p>
            <w:pPr>
              <w:jc w:val="center"/>
              <w:ind w:right="60"/>
              <w:spacing w:after="0"/>
              <w:rPr>
                <w:sz w:val="20"/>
                <w:szCs w:val="20"/>
                <w:color w:val="auto"/>
              </w:rPr>
            </w:pPr>
            <w:r>
              <w:rPr>
                <w:rFonts w:ascii="Arial" w:cs="Arial" w:eastAsia="Arial" w:hAnsi="Arial"/>
                <w:sz w:val="12"/>
                <w:szCs w:val="12"/>
                <w:color w:val="auto"/>
                <w:w w:val="94"/>
              </w:rPr>
              <w:t>Metal Bearing</w:t>
            </w:r>
          </w:p>
        </w:tc>
        <w:tc>
          <w:tcPr>
            <w:tcW w:w="900" w:type="dxa"/>
            <w:vAlign w:val="bottom"/>
          </w:tcPr>
          <w:p>
            <w:pPr>
              <w:jc w:val="center"/>
              <w:spacing w:after="0"/>
              <w:rPr>
                <w:sz w:val="20"/>
                <w:szCs w:val="20"/>
                <w:color w:val="auto"/>
              </w:rPr>
            </w:pPr>
            <w:r>
              <w:rPr>
                <w:rFonts w:ascii="Arial" w:cs="Arial" w:eastAsia="Arial" w:hAnsi="Arial"/>
                <w:sz w:val="12"/>
                <w:szCs w:val="12"/>
                <w:color w:val="auto"/>
                <w:w w:val="92"/>
              </w:rPr>
              <w:t>Precision Metal</w:t>
            </w:r>
          </w:p>
        </w:tc>
        <w:tc>
          <w:tcPr>
            <w:tcW w:w="1080" w:type="dxa"/>
            <w:vAlign w:val="bottom"/>
          </w:tcPr>
          <w:p>
            <w:pPr>
              <w:jc w:val="center"/>
              <w:ind w:right="80"/>
              <w:spacing w:after="0"/>
              <w:rPr>
                <w:sz w:val="20"/>
                <w:szCs w:val="20"/>
                <w:color w:val="auto"/>
              </w:rPr>
            </w:pPr>
            <w:r>
              <w:rPr>
                <w:rFonts w:ascii="Arial" w:cs="Arial" w:eastAsia="Arial" w:hAnsi="Arial"/>
                <w:sz w:val="12"/>
                <w:szCs w:val="12"/>
                <w:color w:val="auto"/>
                <w:w w:val="88"/>
              </w:rPr>
              <w:t>Plastic and Rubber</w:t>
            </w:r>
          </w:p>
        </w:tc>
        <w:tc>
          <w:tcPr>
            <w:tcW w:w="700" w:type="dxa"/>
            <w:vAlign w:val="bottom"/>
          </w:tcPr>
          <w:p>
            <w:pPr>
              <w:spacing w:after="0"/>
              <w:rPr>
                <w:sz w:val="24"/>
                <w:szCs w:val="24"/>
                <w:color w:val="auto"/>
              </w:rPr>
            </w:pPr>
          </w:p>
        </w:tc>
      </w:tr>
      <w:tr>
        <w:trPr>
          <w:trHeight w:val="144"/>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88"/>
              </w:rPr>
              <w:t>Components</w:t>
            </w:r>
          </w:p>
        </w:tc>
        <w:tc>
          <w:tcPr>
            <w:tcW w:w="900" w:type="dxa"/>
            <w:vAlign w:val="bottom"/>
          </w:tcPr>
          <w:p>
            <w:pPr>
              <w:jc w:val="center"/>
              <w:spacing w:after="0"/>
              <w:rPr>
                <w:sz w:val="20"/>
                <w:szCs w:val="20"/>
                <w:color w:val="auto"/>
              </w:rPr>
            </w:pPr>
            <w:r>
              <w:rPr>
                <w:rFonts w:ascii="Arial" w:cs="Arial" w:eastAsia="Arial" w:hAnsi="Arial"/>
                <w:sz w:val="12"/>
                <w:szCs w:val="12"/>
                <w:color w:val="auto"/>
                <w:w w:val="88"/>
              </w:rPr>
              <w:t>Com-ponents</w:t>
            </w:r>
          </w:p>
        </w:tc>
        <w:tc>
          <w:tcPr>
            <w:tcW w:w="960" w:type="dxa"/>
            <w:vAlign w:val="bottom"/>
          </w:tcPr>
          <w:p>
            <w:pPr>
              <w:jc w:val="center"/>
              <w:spacing w:after="0"/>
              <w:rPr>
                <w:sz w:val="20"/>
                <w:szCs w:val="20"/>
                <w:color w:val="auto"/>
              </w:rPr>
            </w:pPr>
            <w:r>
              <w:rPr>
                <w:rFonts w:ascii="Arial" w:cs="Arial" w:eastAsia="Arial" w:hAnsi="Arial"/>
                <w:sz w:val="12"/>
                <w:szCs w:val="12"/>
                <w:color w:val="auto"/>
                <w:w w:val="88"/>
              </w:rPr>
              <w:t>Com-ponents</w:t>
            </w:r>
          </w:p>
        </w:tc>
        <w:tc>
          <w:tcPr>
            <w:tcW w:w="960" w:type="dxa"/>
            <w:vAlign w:val="bottom"/>
          </w:tcPr>
          <w:p>
            <w:pPr>
              <w:jc w:val="right"/>
              <w:ind w:right="380"/>
              <w:spacing w:after="0"/>
              <w:rPr>
                <w:sz w:val="20"/>
                <w:szCs w:val="20"/>
                <w:color w:val="auto"/>
              </w:rPr>
            </w:pPr>
            <w:r>
              <w:rPr>
                <w:rFonts w:ascii="Arial" w:cs="Arial" w:eastAsia="Arial" w:hAnsi="Arial"/>
                <w:sz w:val="12"/>
                <w:szCs w:val="12"/>
                <w:color w:val="auto"/>
              </w:rPr>
              <w:t>All</w:t>
            </w:r>
          </w:p>
        </w:tc>
        <w:tc>
          <w:tcPr>
            <w:tcW w:w="940" w:type="dxa"/>
            <w:vAlign w:val="bottom"/>
          </w:tcPr>
          <w:p>
            <w:pPr>
              <w:jc w:val="center"/>
              <w:ind w:right="40"/>
              <w:spacing w:after="0"/>
              <w:rPr>
                <w:sz w:val="20"/>
                <w:szCs w:val="20"/>
                <w:color w:val="auto"/>
              </w:rPr>
            </w:pPr>
            <w:r>
              <w:rPr>
                <w:rFonts w:ascii="Arial" w:cs="Arial" w:eastAsia="Arial" w:hAnsi="Arial"/>
                <w:sz w:val="12"/>
                <w:szCs w:val="12"/>
                <w:color w:val="auto"/>
                <w:w w:val="88"/>
              </w:rPr>
              <w:t>Components</w:t>
            </w:r>
          </w:p>
        </w:tc>
        <w:tc>
          <w:tcPr>
            <w:tcW w:w="900" w:type="dxa"/>
            <w:vAlign w:val="bottom"/>
          </w:tcPr>
          <w:p>
            <w:pPr>
              <w:jc w:val="center"/>
              <w:spacing w:after="0"/>
              <w:rPr>
                <w:sz w:val="20"/>
                <w:szCs w:val="20"/>
                <w:color w:val="auto"/>
              </w:rPr>
            </w:pPr>
            <w:r>
              <w:rPr>
                <w:rFonts w:ascii="Arial" w:cs="Arial" w:eastAsia="Arial" w:hAnsi="Arial"/>
                <w:sz w:val="12"/>
                <w:szCs w:val="12"/>
                <w:color w:val="auto"/>
                <w:w w:val="88"/>
              </w:rPr>
              <w:t>Com-ponents</w:t>
            </w:r>
          </w:p>
        </w:tc>
        <w:tc>
          <w:tcPr>
            <w:tcW w:w="1080" w:type="dxa"/>
            <w:vAlign w:val="bottom"/>
          </w:tcPr>
          <w:p>
            <w:pPr>
              <w:jc w:val="center"/>
              <w:ind w:right="100"/>
              <w:spacing w:after="0"/>
              <w:rPr>
                <w:sz w:val="20"/>
                <w:szCs w:val="20"/>
                <w:color w:val="auto"/>
              </w:rPr>
            </w:pPr>
            <w:r>
              <w:rPr>
                <w:rFonts w:ascii="Arial" w:cs="Arial" w:eastAsia="Arial" w:hAnsi="Arial"/>
                <w:sz w:val="12"/>
                <w:szCs w:val="12"/>
                <w:color w:val="auto"/>
                <w:w w:val="88"/>
              </w:rPr>
              <w:t>Com-ponents</w:t>
            </w:r>
          </w:p>
        </w:tc>
        <w:tc>
          <w:tcPr>
            <w:tcW w:w="700" w:type="dxa"/>
            <w:vAlign w:val="bottom"/>
          </w:tcPr>
          <w:p>
            <w:pPr>
              <w:jc w:val="right"/>
              <w:ind w:right="280"/>
              <w:spacing w:after="0"/>
              <w:rPr>
                <w:sz w:val="20"/>
                <w:szCs w:val="20"/>
                <w:color w:val="auto"/>
              </w:rPr>
            </w:pPr>
            <w:r>
              <w:rPr>
                <w:rFonts w:ascii="Arial" w:cs="Arial" w:eastAsia="Arial" w:hAnsi="Arial"/>
                <w:sz w:val="12"/>
                <w:szCs w:val="12"/>
                <w:color w:val="auto"/>
              </w:rPr>
              <w:t>All</w:t>
            </w:r>
          </w:p>
        </w:tc>
      </w:tr>
      <w:tr>
        <w:trPr>
          <w:trHeight w:val="153"/>
        </w:trPr>
        <w:tc>
          <w:tcPr>
            <w:tcW w:w="1780" w:type="dxa"/>
            <w:vAlign w:val="bottom"/>
            <w:gridSpan w:val="2"/>
          </w:tcPr>
          <w:p>
            <w:pPr>
              <w:spacing w:after="0"/>
              <w:rPr>
                <w:sz w:val="20"/>
                <w:szCs w:val="20"/>
                <w:color w:val="auto"/>
              </w:rPr>
            </w:pPr>
            <w:r>
              <w:rPr>
                <w:rFonts w:ascii="Arial" w:cs="Arial" w:eastAsia="Arial" w:hAnsi="Arial"/>
                <w:sz w:val="12"/>
                <w:szCs w:val="12"/>
                <w:color w:val="auto"/>
              </w:rPr>
              <w:t>(In Thousands of Dollars)</w:t>
            </w:r>
          </w:p>
        </w:tc>
        <w:tc>
          <w:tcPr>
            <w:tcW w:w="980" w:type="dxa"/>
            <w:vAlign w:val="bottom"/>
          </w:tcPr>
          <w:p>
            <w:pPr>
              <w:jc w:val="center"/>
              <w:spacing w:after="0"/>
              <w:rPr>
                <w:sz w:val="20"/>
                <w:szCs w:val="20"/>
                <w:color w:val="auto"/>
              </w:rPr>
            </w:pPr>
            <w:r>
              <w:rPr>
                <w:rFonts w:ascii="Arial" w:cs="Arial" w:eastAsia="Arial" w:hAnsi="Arial"/>
                <w:sz w:val="12"/>
                <w:szCs w:val="12"/>
                <w:color w:val="auto"/>
                <w:w w:val="87"/>
              </w:rPr>
              <w:t>Segment</w:t>
            </w:r>
          </w:p>
        </w:tc>
        <w:tc>
          <w:tcPr>
            <w:tcW w:w="900" w:type="dxa"/>
            <w:vAlign w:val="bottom"/>
          </w:tcPr>
          <w:p>
            <w:pPr>
              <w:jc w:val="center"/>
              <w:spacing w:after="0"/>
              <w:rPr>
                <w:sz w:val="20"/>
                <w:szCs w:val="20"/>
                <w:color w:val="auto"/>
              </w:rPr>
            </w:pPr>
            <w:r>
              <w:rPr>
                <w:rFonts w:ascii="Arial" w:cs="Arial" w:eastAsia="Arial" w:hAnsi="Arial"/>
                <w:sz w:val="12"/>
                <w:szCs w:val="12"/>
                <w:color w:val="auto"/>
                <w:w w:val="91"/>
              </w:rPr>
              <w:t>Segment</w:t>
            </w:r>
          </w:p>
        </w:tc>
        <w:tc>
          <w:tcPr>
            <w:tcW w:w="960" w:type="dxa"/>
            <w:vAlign w:val="bottom"/>
          </w:tcPr>
          <w:p>
            <w:pPr>
              <w:jc w:val="center"/>
              <w:spacing w:after="0"/>
              <w:rPr>
                <w:sz w:val="20"/>
                <w:szCs w:val="20"/>
                <w:color w:val="auto"/>
              </w:rPr>
            </w:pPr>
            <w:r>
              <w:rPr>
                <w:rFonts w:ascii="Arial" w:cs="Arial" w:eastAsia="Arial" w:hAnsi="Arial"/>
                <w:sz w:val="12"/>
                <w:szCs w:val="12"/>
                <w:color w:val="auto"/>
                <w:w w:val="87"/>
              </w:rPr>
              <w:t>Segment</w:t>
            </w:r>
          </w:p>
        </w:tc>
        <w:tc>
          <w:tcPr>
            <w:tcW w:w="960" w:type="dxa"/>
            <w:vAlign w:val="bottom"/>
          </w:tcPr>
          <w:p>
            <w:pPr>
              <w:jc w:val="right"/>
              <w:ind w:right="320"/>
              <w:spacing w:after="0"/>
              <w:rPr>
                <w:sz w:val="20"/>
                <w:szCs w:val="20"/>
                <w:color w:val="auto"/>
              </w:rPr>
            </w:pPr>
            <w:r>
              <w:rPr>
                <w:rFonts w:ascii="Arial" w:cs="Arial" w:eastAsia="Arial" w:hAnsi="Arial"/>
                <w:sz w:val="12"/>
                <w:szCs w:val="12"/>
                <w:color w:val="auto"/>
              </w:rPr>
              <w:t>Other</w:t>
            </w:r>
          </w:p>
        </w:tc>
        <w:tc>
          <w:tcPr>
            <w:tcW w:w="940" w:type="dxa"/>
            <w:vAlign w:val="bottom"/>
          </w:tcPr>
          <w:p>
            <w:pPr>
              <w:jc w:val="center"/>
              <w:ind w:right="60"/>
              <w:spacing w:after="0"/>
              <w:rPr>
                <w:sz w:val="20"/>
                <w:szCs w:val="20"/>
                <w:color w:val="auto"/>
              </w:rPr>
            </w:pPr>
            <w:r>
              <w:rPr>
                <w:rFonts w:ascii="Arial" w:cs="Arial" w:eastAsia="Arial" w:hAnsi="Arial"/>
                <w:sz w:val="12"/>
                <w:szCs w:val="12"/>
                <w:color w:val="auto"/>
                <w:w w:val="87"/>
              </w:rPr>
              <w:t>Segment</w:t>
            </w:r>
          </w:p>
        </w:tc>
        <w:tc>
          <w:tcPr>
            <w:tcW w:w="900" w:type="dxa"/>
            <w:vAlign w:val="bottom"/>
          </w:tcPr>
          <w:p>
            <w:pPr>
              <w:jc w:val="center"/>
              <w:spacing w:after="0"/>
              <w:rPr>
                <w:sz w:val="20"/>
                <w:szCs w:val="20"/>
                <w:color w:val="auto"/>
              </w:rPr>
            </w:pPr>
            <w:r>
              <w:rPr>
                <w:rFonts w:ascii="Arial" w:cs="Arial" w:eastAsia="Arial" w:hAnsi="Arial"/>
                <w:sz w:val="12"/>
                <w:szCs w:val="12"/>
                <w:color w:val="auto"/>
                <w:w w:val="87"/>
              </w:rPr>
              <w:t>Segment</w:t>
            </w:r>
          </w:p>
        </w:tc>
        <w:tc>
          <w:tcPr>
            <w:tcW w:w="1080" w:type="dxa"/>
            <w:vAlign w:val="bottom"/>
          </w:tcPr>
          <w:p>
            <w:pPr>
              <w:jc w:val="center"/>
              <w:ind w:right="80"/>
              <w:spacing w:after="0"/>
              <w:rPr>
                <w:sz w:val="20"/>
                <w:szCs w:val="20"/>
                <w:color w:val="auto"/>
              </w:rPr>
            </w:pPr>
            <w:r>
              <w:rPr>
                <w:rFonts w:ascii="Arial" w:cs="Arial" w:eastAsia="Arial" w:hAnsi="Arial"/>
                <w:sz w:val="12"/>
                <w:szCs w:val="12"/>
                <w:color w:val="auto"/>
                <w:w w:val="87"/>
              </w:rPr>
              <w:t>Segment</w:t>
            </w:r>
          </w:p>
        </w:tc>
        <w:tc>
          <w:tcPr>
            <w:tcW w:w="700" w:type="dxa"/>
            <w:vAlign w:val="bottom"/>
          </w:tcPr>
          <w:p>
            <w:pPr>
              <w:jc w:val="right"/>
              <w:ind w:right="220"/>
              <w:spacing w:after="0"/>
              <w:rPr>
                <w:sz w:val="20"/>
                <w:szCs w:val="20"/>
                <w:color w:val="auto"/>
              </w:rPr>
            </w:pPr>
            <w:r>
              <w:rPr>
                <w:rFonts w:ascii="Arial" w:cs="Arial" w:eastAsia="Arial" w:hAnsi="Arial"/>
                <w:sz w:val="12"/>
                <w:szCs w:val="12"/>
                <w:color w:val="auto"/>
              </w:rPr>
              <w:t>Other</w:t>
            </w:r>
          </w:p>
        </w:tc>
      </w:tr>
      <w:tr>
        <w:trPr>
          <w:trHeight w:val="133"/>
        </w:trPr>
        <w:tc>
          <w:tcPr>
            <w:tcW w:w="20" w:type="dxa"/>
            <w:vAlign w:val="bottom"/>
          </w:tcPr>
          <w:p>
            <w:pPr>
              <w:spacing w:after="0"/>
              <w:rPr>
                <w:sz w:val="11"/>
                <w:szCs w:val="11"/>
                <w:color w:val="auto"/>
              </w:rPr>
            </w:pPr>
          </w:p>
        </w:tc>
        <w:tc>
          <w:tcPr>
            <w:tcW w:w="17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w w:val="93"/>
              </w:rPr>
              <w:t>Revenues from external customers</w:t>
            </w:r>
          </w:p>
        </w:tc>
        <w:tc>
          <w:tcPr>
            <w:tcW w:w="9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$ 77,285</w:t>
            </w: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$ 18,028</w:t>
            </w: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$ 12,631</w:t>
            </w: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 --</w:t>
            </w: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$ 71,340</w:t>
            </w: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 --</w:t>
            </w:r>
          </w:p>
        </w:tc>
        <w:tc>
          <w:tcPr>
            <w:tcW w:w="1080" w:type="dxa"/>
            <w:vAlign w:val="bottom"/>
            <w:tcBorders>
              <w:top w:val="single" w:sz="8" w:color="auto"/>
            </w:tcBorders>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$ 14,677</w:t>
            </w: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 --</w:t>
            </w:r>
          </w:p>
        </w:tc>
      </w:tr>
      <w:tr>
        <w:trPr>
          <w:trHeight w:val="144"/>
        </w:trPr>
        <w:tc>
          <w:tcPr>
            <w:tcW w:w="20" w:type="dxa"/>
            <w:vAlign w:val="bottom"/>
          </w:tcPr>
          <w:p>
            <w:pPr>
              <w:spacing w:after="0"/>
              <w:rPr>
                <w:sz w:val="12"/>
                <w:szCs w:val="12"/>
                <w:color w:val="auto"/>
              </w:rPr>
            </w:pPr>
          </w:p>
        </w:tc>
        <w:tc>
          <w:tcPr>
            <w:tcW w:w="1760" w:type="dxa"/>
            <w:vAlign w:val="bottom"/>
          </w:tcPr>
          <w:p>
            <w:pPr>
              <w:spacing w:after="0"/>
              <w:rPr>
                <w:sz w:val="20"/>
                <w:szCs w:val="20"/>
                <w:color w:val="auto"/>
              </w:rPr>
            </w:pPr>
            <w:r>
              <w:rPr>
                <w:rFonts w:ascii="Arial" w:cs="Arial" w:eastAsia="Arial" w:hAnsi="Arial"/>
                <w:sz w:val="12"/>
                <w:szCs w:val="12"/>
                <w:color w:val="auto"/>
              </w:rPr>
              <w:t>Segment profit (loss)</w:t>
            </w:r>
          </w:p>
        </w:tc>
        <w:tc>
          <w:tcPr>
            <w:tcW w:w="980" w:type="dxa"/>
            <w:vAlign w:val="bottom"/>
          </w:tcPr>
          <w:p>
            <w:pPr>
              <w:jc w:val="right"/>
              <w:spacing w:after="0"/>
              <w:rPr>
                <w:sz w:val="20"/>
                <w:szCs w:val="20"/>
                <w:color w:val="auto"/>
              </w:rPr>
            </w:pPr>
            <w:r>
              <w:rPr>
                <w:rFonts w:ascii="Arial" w:cs="Arial" w:eastAsia="Arial" w:hAnsi="Arial"/>
                <w:sz w:val="12"/>
                <w:szCs w:val="12"/>
                <w:color w:val="auto"/>
              </w:rPr>
              <w:t>4,883</w:t>
            </w:r>
          </w:p>
        </w:tc>
        <w:tc>
          <w:tcPr>
            <w:tcW w:w="900" w:type="dxa"/>
            <w:vAlign w:val="bottom"/>
          </w:tcPr>
          <w:p>
            <w:pPr>
              <w:jc w:val="right"/>
              <w:spacing w:after="0"/>
              <w:rPr>
                <w:sz w:val="20"/>
                <w:szCs w:val="20"/>
                <w:color w:val="auto"/>
              </w:rPr>
            </w:pPr>
            <w:r>
              <w:rPr>
                <w:rFonts w:ascii="Arial" w:cs="Arial" w:eastAsia="Arial" w:hAnsi="Arial"/>
                <w:sz w:val="12"/>
                <w:szCs w:val="12"/>
                <w:color w:val="auto"/>
              </w:rPr>
              <w:t>47</w:t>
            </w:r>
          </w:p>
        </w:tc>
        <w:tc>
          <w:tcPr>
            <w:tcW w:w="960" w:type="dxa"/>
            <w:vAlign w:val="bottom"/>
          </w:tcPr>
          <w:p>
            <w:pPr>
              <w:jc w:val="right"/>
              <w:spacing w:after="0"/>
              <w:rPr>
                <w:sz w:val="20"/>
                <w:szCs w:val="20"/>
                <w:color w:val="auto"/>
              </w:rPr>
            </w:pPr>
            <w:r>
              <w:rPr>
                <w:rFonts w:ascii="Arial" w:cs="Arial" w:eastAsia="Arial" w:hAnsi="Arial"/>
                <w:sz w:val="12"/>
                <w:szCs w:val="12"/>
                <w:color w:val="auto"/>
              </w:rPr>
              <w:t>489</w:t>
            </w:r>
          </w:p>
        </w:tc>
        <w:tc>
          <w:tcPr>
            <w:tcW w:w="960" w:type="dxa"/>
            <w:vAlign w:val="bottom"/>
          </w:tcPr>
          <w:p>
            <w:pPr>
              <w:jc w:val="right"/>
              <w:spacing w:after="0"/>
              <w:rPr>
                <w:sz w:val="20"/>
                <w:szCs w:val="20"/>
                <w:color w:val="auto"/>
              </w:rPr>
            </w:pPr>
            <w:r>
              <w:rPr>
                <w:rFonts w:ascii="Arial" w:cs="Arial" w:eastAsia="Arial" w:hAnsi="Arial"/>
                <w:sz w:val="12"/>
                <w:szCs w:val="12"/>
                <w:color w:val="auto"/>
              </w:rPr>
              <w:t>(1,664)</w:t>
            </w:r>
          </w:p>
        </w:tc>
        <w:tc>
          <w:tcPr>
            <w:tcW w:w="940" w:type="dxa"/>
            <w:vAlign w:val="bottom"/>
          </w:tcPr>
          <w:p>
            <w:pPr>
              <w:jc w:val="right"/>
              <w:spacing w:after="0"/>
              <w:rPr>
                <w:sz w:val="20"/>
                <w:szCs w:val="20"/>
                <w:color w:val="auto"/>
              </w:rPr>
            </w:pPr>
            <w:r>
              <w:rPr>
                <w:rFonts w:ascii="Arial" w:cs="Arial" w:eastAsia="Arial" w:hAnsi="Arial"/>
                <w:sz w:val="12"/>
                <w:szCs w:val="12"/>
                <w:color w:val="auto"/>
              </w:rPr>
              <w:t>5,818</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929</w:t>
            </w:r>
          </w:p>
        </w:tc>
        <w:tc>
          <w:tcPr>
            <w:tcW w:w="700" w:type="dxa"/>
            <w:vAlign w:val="bottom"/>
          </w:tcPr>
          <w:p>
            <w:pPr>
              <w:jc w:val="right"/>
              <w:spacing w:after="0"/>
              <w:rPr>
                <w:sz w:val="20"/>
                <w:szCs w:val="20"/>
                <w:color w:val="auto"/>
              </w:rPr>
            </w:pPr>
            <w:r>
              <w:rPr>
                <w:rFonts w:ascii="Arial" w:cs="Arial" w:eastAsia="Arial" w:hAnsi="Arial"/>
                <w:sz w:val="12"/>
                <w:szCs w:val="12"/>
                <w:color w:val="auto"/>
              </w:rPr>
              <w:t>(1,485)</w:t>
            </w:r>
          </w:p>
        </w:tc>
      </w:tr>
      <w:tr>
        <w:trPr>
          <w:trHeight w:val="144"/>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2"/>
                <w:szCs w:val="12"/>
                <w:color w:val="auto"/>
              </w:rPr>
              <w:t>Assets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244,479</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55,171</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53,039</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6,845</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215,560</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55,623</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5,917</w:t>
            </w:r>
          </w:p>
        </w:tc>
      </w:tr>
    </w:tbl>
    <w:p>
      <w:pPr>
        <w:spacing w:after="0" w:line="200" w:lineRule="exact"/>
        <w:rPr>
          <w:sz w:val="20"/>
          <w:szCs w:val="20"/>
          <w:color w:val="auto"/>
        </w:rPr>
      </w:pPr>
    </w:p>
    <w:p>
      <w:pPr>
        <w:spacing w:after="0" w:line="355"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Note 5.</w:t>
      </w:r>
      <w:r>
        <w:rPr>
          <w:sz w:val="20"/>
          <w:szCs w:val="20"/>
          <w:color w:val="auto"/>
        </w:rPr>
        <w:tab/>
      </w:r>
      <w:r>
        <w:rPr>
          <w:rFonts w:ascii="Arial" w:cs="Arial" w:eastAsia="Arial" w:hAnsi="Arial"/>
          <w:sz w:val="10"/>
          <w:szCs w:val="10"/>
          <w:b w:val="1"/>
          <w:bCs w:val="1"/>
          <w:color w:val="auto"/>
        </w:rPr>
        <w:t>Recent Investing Activity</w:t>
      </w:r>
    </w:p>
    <w:p>
      <w:pPr>
        <w:spacing w:after="0" w:line="199"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The opening balance sheet for the Whirlaway Corporation (“Whirlaway”) acquisition on November 30, 2006 is still in the process of being finalized. For the quarter ended March 31, 2007, there have been no changes to the opening balance sheet assets or liabilities apart from Goodwill which increased $25 as legal costs related to the acquisition paid subsequent to year end were added. The following unaudited proforma financial information shows the net sales, net income, and net income per share for the quarter ended March 31, 2006 as though the acquisition of Whirlaway occured at the beginning of 2006.</w:t>
      </w:r>
    </w:p>
    <w:p>
      <w:pPr>
        <w:spacing w:after="0" w:line="353" w:lineRule="exact"/>
        <w:rPr>
          <w:sz w:val="20"/>
          <w:szCs w:val="20"/>
          <w:color w:val="auto"/>
        </w:rPr>
      </w:pPr>
    </w:p>
    <w:tbl>
      <w:tblPr>
        <w:tblLayout w:type="fixed"/>
        <w:tblInd w:w="1140" w:type="dxa"/>
        <w:tblCellMar>
          <w:top w:w="0" w:type="dxa"/>
          <w:left w:w="0" w:type="dxa"/>
          <w:bottom w:w="0" w:type="dxa"/>
          <w:right w:w="0" w:type="dxa"/>
        </w:tblCellMar>
      </w:tblPr>
      <w:tr>
        <w:trPr>
          <w:trHeight w:val="166"/>
        </w:trPr>
        <w:tc>
          <w:tcPr>
            <w:tcW w:w="6440" w:type="dxa"/>
            <w:vAlign w:val="bottom"/>
          </w:tcPr>
          <w:p>
            <w:pPr>
              <w:spacing w:after="0"/>
              <w:rPr>
                <w:sz w:val="14"/>
                <w:szCs w:val="14"/>
                <w:color w:val="auto"/>
              </w:rPr>
            </w:pPr>
          </w:p>
        </w:tc>
        <w:tc>
          <w:tcPr>
            <w:tcW w:w="23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March 31, 2006</w:t>
            </w:r>
          </w:p>
        </w:tc>
        <w:tc>
          <w:tcPr>
            <w:tcW w:w="440" w:type="dxa"/>
            <w:vAlign w:val="bottom"/>
            <w:tcBorders>
              <w:bottom w:val="single" w:sz="8" w:color="auto"/>
            </w:tcBorders>
          </w:tcPr>
          <w:p>
            <w:pPr>
              <w:spacing w:after="0"/>
              <w:rPr>
                <w:sz w:val="14"/>
                <w:szCs w:val="14"/>
                <w:color w:val="auto"/>
              </w:rPr>
            </w:pPr>
          </w:p>
        </w:tc>
      </w:tr>
      <w:tr>
        <w:trPr>
          <w:trHeight w:val="142"/>
        </w:trPr>
        <w:tc>
          <w:tcPr>
            <w:tcW w:w="6440" w:type="dxa"/>
            <w:vAlign w:val="bottom"/>
            <w:shd w:val="clear" w:color="auto" w:fill="CCEEFF"/>
          </w:tcPr>
          <w:p>
            <w:pPr>
              <w:ind w:left="40"/>
              <w:spacing w:after="0"/>
              <w:rPr>
                <w:sz w:val="20"/>
                <w:szCs w:val="20"/>
                <w:color w:val="auto"/>
              </w:rPr>
            </w:pPr>
            <w:r>
              <w:rPr>
                <w:rFonts w:ascii="Arial" w:cs="Arial" w:eastAsia="Arial" w:hAnsi="Arial"/>
                <w:sz w:val="12"/>
                <w:szCs w:val="12"/>
                <w:color w:val="auto"/>
              </w:rPr>
              <w:t>Net sales</w:t>
            </w:r>
          </w:p>
        </w:tc>
        <w:tc>
          <w:tcPr>
            <w:tcW w:w="2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107,125</w:t>
            </w:r>
          </w:p>
        </w:tc>
      </w:tr>
      <w:tr>
        <w:trPr>
          <w:trHeight w:val="144"/>
        </w:trPr>
        <w:tc>
          <w:tcPr>
            <w:tcW w:w="6440" w:type="dxa"/>
            <w:vAlign w:val="bottom"/>
          </w:tcPr>
          <w:p>
            <w:pPr>
              <w:ind w:left="40"/>
              <w:spacing w:after="0"/>
              <w:rPr>
                <w:sz w:val="20"/>
                <w:szCs w:val="20"/>
                <w:color w:val="auto"/>
              </w:rPr>
            </w:pPr>
            <w:r>
              <w:rPr>
                <w:rFonts w:ascii="Arial" w:cs="Arial" w:eastAsia="Arial" w:hAnsi="Arial"/>
                <w:sz w:val="12"/>
                <w:szCs w:val="12"/>
                <w:color w:val="auto"/>
              </w:rPr>
              <w:t>Net income</w:t>
            </w:r>
          </w:p>
        </w:tc>
        <w:tc>
          <w:tcPr>
            <w:tcW w:w="23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5,898</w:t>
            </w:r>
          </w:p>
        </w:tc>
      </w:tr>
      <w:tr>
        <w:trPr>
          <w:trHeight w:val="144"/>
        </w:trPr>
        <w:tc>
          <w:tcPr>
            <w:tcW w:w="6440" w:type="dxa"/>
            <w:vAlign w:val="bottom"/>
            <w:shd w:val="clear" w:color="auto" w:fill="CCEEFF"/>
          </w:tcPr>
          <w:p>
            <w:pPr>
              <w:ind w:left="40"/>
              <w:spacing w:after="0"/>
              <w:rPr>
                <w:sz w:val="20"/>
                <w:szCs w:val="20"/>
                <w:color w:val="auto"/>
              </w:rPr>
            </w:pPr>
            <w:r>
              <w:rPr>
                <w:rFonts w:ascii="Arial" w:cs="Arial" w:eastAsia="Arial" w:hAnsi="Arial"/>
                <w:sz w:val="12"/>
                <w:szCs w:val="12"/>
                <w:color w:val="auto"/>
              </w:rPr>
              <w:t>Basic net income per share</w:t>
            </w:r>
          </w:p>
        </w:tc>
        <w:tc>
          <w:tcPr>
            <w:tcW w:w="2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0.34</w:t>
            </w:r>
          </w:p>
        </w:tc>
      </w:tr>
      <w:tr>
        <w:trPr>
          <w:trHeight w:val="153"/>
        </w:trPr>
        <w:tc>
          <w:tcPr>
            <w:tcW w:w="6440" w:type="dxa"/>
            <w:vAlign w:val="bottom"/>
          </w:tcPr>
          <w:p>
            <w:pPr>
              <w:ind w:left="40"/>
              <w:spacing w:after="0"/>
              <w:rPr>
                <w:sz w:val="20"/>
                <w:szCs w:val="20"/>
                <w:color w:val="auto"/>
              </w:rPr>
            </w:pPr>
            <w:r>
              <w:rPr>
                <w:rFonts w:ascii="Arial" w:cs="Arial" w:eastAsia="Arial" w:hAnsi="Arial"/>
                <w:sz w:val="12"/>
                <w:szCs w:val="12"/>
                <w:color w:val="auto"/>
              </w:rPr>
              <w:t>Diluted net income per share</w:t>
            </w:r>
          </w:p>
        </w:tc>
        <w:tc>
          <w:tcPr>
            <w:tcW w:w="23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0.34</w:t>
            </w:r>
          </w:p>
        </w:tc>
      </w:tr>
    </w:tbl>
    <w:p>
      <w:pPr>
        <w:spacing w:after="0" w:line="343" w:lineRule="exact"/>
        <w:rPr>
          <w:sz w:val="20"/>
          <w:szCs w:val="20"/>
          <w:color w:val="auto"/>
        </w:rPr>
      </w:pPr>
    </w:p>
    <w:p>
      <w:pPr>
        <w:spacing w:after="0"/>
        <w:rPr>
          <w:sz w:val="20"/>
          <w:szCs w:val="20"/>
          <w:color w:val="auto"/>
        </w:rPr>
      </w:pPr>
      <w:r>
        <w:rPr>
          <w:rFonts w:ascii="Arial" w:cs="Arial" w:eastAsia="Arial" w:hAnsi="Arial"/>
          <w:sz w:val="10"/>
          <w:szCs w:val="10"/>
          <w:color w:val="auto"/>
        </w:rPr>
        <w:t>During the quarter ended March 31, 2007, we acquired $330 of equipment and $66 of intangibles under the SNR purchase agreement. There are $240 of tangible assets and $41 of intangible assets yet to be purchased under the agreement.</w:t>
      </w:r>
    </w:p>
    <w:p>
      <w:pPr>
        <w:spacing w:after="0" w:line="200" w:lineRule="exact"/>
        <w:rPr>
          <w:sz w:val="20"/>
          <w:szCs w:val="20"/>
          <w:color w:val="auto"/>
        </w:rPr>
      </w:pPr>
    </w:p>
    <w:p>
      <w:pPr>
        <w:spacing w:after="0" w:line="212"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Note 6.</w:t>
      </w:r>
      <w:r>
        <w:rPr>
          <w:sz w:val="20"/>
          <w:szCs w:val="20"/>
          <w:color w:val="auto"/>
        </w:rPr>
        <w:tab/>
      </w:r>
      <w:r>
        <w:rPr>
          <w:rFonts w:ascii="Arial" w:cs="Arial" w:eastAsia="Arial" w:hAnsi="Arial"/>
          <w:sz w:val="9"/>
          <w:szCs w:val="9"/>
          <w:b w:val="1"/>
          <w:bCs w:val="1"/>
          <w:color w:val="auto"/>
        </w:rPr>
        <w:t>Pensions</w:t>
      </w:r>
    </w:p>
    <w:p>
      <w:pPr>
        <w:spacing w:after="0" w:line="199"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We have a defined benefit pension plan covering the employees at our Eltmann, Germany facility. The benefits are based on the expected years of service. The plan is unfunded. There were no prior service costs recognized in the three months ended March 31, 2007 and 2006.</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2"/>
          <w:szCs w:val="12"/>
          <w:b w:val="1"/>
          <w:bCs w:val="1"/>
          <w:color w:val="auto"/>
        </w:rPr>
        <w:t>NN,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180" w:type="dxa"/>
            <w:vAlign w:val="bottom"/>
            <w:gridSpan w:val="2"/>
          </w:tcPr>
          <w:p>
            <w:pPr>
              <w:spacing w:after="0"/>
              <w:rPr>
                <w:sz w:val="20"/>
                <w:szCs w:val="20"/>
                <w:color w:val="auto"/>
              </w:rPr>
            </w:pPr>
            <w:r>
              <w:rPr>
                <w:rFonts w:ascii="Arial" w:cs="Arial" w:eastAsia="Arial" w:hAnsi="Arial"/>
                <w:sz w:val="12"/>
                <w:szCs w:val="12"/>
                <w:b w:val="1"/>
                <w:bCs w:val="1"/>
                <w:color w:val="auto"/>
              </w:rPr>
              <w:t>Components of Net Periodic Pension Cost:</w:t>
            </w:r>
          </w:p>
        </w:tc>
        <w:tc>
          <w:tcPr>
            <w:tcW w:w="5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311"/>
        </w:trPr>
        <w:tc>
          <w:tcPr>
            <w:tcW w:w="11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220" w:type="dxa"/>
            <w:vAlign w:val="bottom"/>
            <w:gridSpan w:val="2"/>
          </w:tcPr>
          <w:p>
            <w:pPr>
              <w:jc w:val="center"/>
              <w:ind w:right="1000"/>
              <w:spacing w:after="0"/>
              <w:rPr>
                <w:sz w:val="20"/>
                <w:szCs w:val="20"/>
                <w:color w:val="auto"/>
              </w:rPr>
            </w:pPr>
            <w:r>
              <w:rPr>
                <w:rFonts w:ascii="Arial" w:cs="Arial" w:eastAsia="Arial" w:hAnsi="Arial"/>
                <w:sz w:val="12"/>
                <w:szCs w:val="12"/>
                <w:b w:val="1"/>
                <w:bCs w:val="1"/>
                <w:color w:val="auto"/>
                <w:w w:val="89"/>
              </w:rPr>
              <w:t>Three months ended</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44"/>
        </w:trPr>
        <w:tc>
          <w:tcPr>
            <w:tcW w:w="114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220" w:type="dxa"/>
            <w:vAlign w:val="bottom"/>
            <w:gridSpan w:val="2"/>
          </w:tcPr>
          <w:p>
            <w:pPr>
              <w:jc w:val="center"/>
              <w:ind w:right="1020"/>
              <w:spacing w:after="0"/>
              <w:rPr>
                <w:sz w:val="20"/>
                <w:szCs w:val="20"/>
                <w:color w:val="auto"/>
              </w:rPr>
            </w:pPr>
            <w:r>
              <w:rPr>
                <w:rFonts w:ascii="Arial" w:cs="Arial" w:eastAsia="Arial" w:hAnsi="Arial"/>
                <w:sz w:val="12"/>
                <w:szCs w:val="12"/>
                <w:b w:val="1"/>
                <w:bCs w:val="1"/>
                <w:color w:val="auto"/>
                <w:w w:val="93"/>
              </w:rPr>
              <w:t>March 31,</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66"/>
        </w:trPr>
        <w:tc>
          <w:tcPr>
            <w:tcW w:w="7180" w:type="dxa"/>
            <w:vAlign w:val="bottom"/>
            <w:gridSpan w:val="2"/>
          </w:tcPr>
          <w:p>
            <w:pPr>
              <w:ind w:left="1140"/>
              <w:spacing w:after="0"/>
              <w:rPr>
                <w:sz w:val="20"/>
                <w:szCs w:val="20"/>
                <w:color w:val="auto"/>
              </w:rPr>
            </w:pPr>
            <w:r>
              <w:rPr>
                <w:rFonts w:ascii="Arial" w:cs="Arial" w:eastAsia="Arial" w:hAnsi="Arial"/>
                <w:sz w:val="12"/>
                <w:szCs w:val="12"/>
                <w:color w:val="auto"/>
              </w:rPr>
              <w:t>(In Thousands of Dollars)</w:t>
            </w:r>
          </w:p>
        </w:tc>
        <w:tc>
          <w:tcPr>
            <w:tcW w:w="500" w:type="dxa"/>
            <w:vAlign w:val="bottom"/>
          </w:tcPr>
          <w:p>
            <w:pPr>
              <w:jc w:val="right"/>
              <w:ind w:right="80"/>
              <w:spacing w:after="0"/>
              <w:rPr>
                <w:sz w:val="20"/>
                <w:szCs w:val="20"/>
                <w:color w:val="auto"/>
              </w:rPr>
            </w:pPr>
            <w:r>
              <w:rPr>
                <w:rFonts w:ascii="Arial" w:cs="Arial" w:eastAsia="Arial" w:hAnsi="Arial"/>
                <w:sz w:val="12"/>
                <w:szCs w:val="12"/>
                <w:b w:val="1"/>
                <w:bCs w:val="1"/>
                <w:color w:val="auto"/>
              </w:rPr>
              <w:t>2007</w:t>
            </w:r>
          </w:p>
        </w:tc>
        <w:tc>
          <w:tcPr>
            <w:tcW w:w="1720" w:type="dxa"/>
            <w:vAlign w:val="bottom"/>
          </w:tcPr>
          <w:p>
            <w:pPr>
              <w:spacing w:after="0"/>
              <w:rPr>
                <w:sz w:val="14"/>
                <w:szCs w:val="14"/>
                <w:color w:val="auto"/>
              </w:rPr>
            </w:pPr>
          </w:p>
        </w:tc>
        <w:tc>
          <w:tcPr>
            <w:tcW w:w="500" w:type="dxa"/>
            <w:vAlign w:val="bottom"/>
          </w:tcPr>
          <w:p>
            <w:pPr>
              <w:jc w:val="right"/>
              <w:ind w:right="80"/>
              <w:spacing w:after="0"/>
              <w:rPr>
                <w:sz w:val="20"/>
                <w:szCs w:val="20"/>
                <w:color w:val="auto"/>
              </w:rPr>
            </w:pPr>
            <w:r>
              <w:rPr>
                <w:rFonts w:ascii="Arial" w:cs="Arial" w:eastAsia="Arial" w:hAnsi="Arial"/>
                <w:sz w:val="12"/>
                <w:szCs w:val="12"/>
                <w:b w:val="1"/>
                <w:bCs w:val="1"/>
                <w:color w:val="auto"/>
              </w:rPr>
              <w:t>2006</w:t>
            </w:r>
          </w:p>
        </w:tc>
        <w:tc>
          <w:tcPr>
            <w:tcW w:w="440" w:type="dxa"/>
            <w:vAlign w:val="bottom"/>
          </w:tcPr>
          <w:p>
            <w:pPr>
              <w:spacing w:after="0"/>
              <w:rPr>
                <w:sz w:val="14"/>
                <w:szCs w:val="14"/>
                <w:color w:val="auto"/>
              </w:rPr>
            </w:pPr>
          </w:p>
        </w:tc>
      </w:tr>
      <w:tr>
        <w:trPr>
          <w:trHeight w:val="160"/>
        </w:trPr>
        <w:tc>
          <w:tcPr>
            <w:tcW w:w="1140" w:type="dxa"/>
            <w:vAlign w:val="bottom"/>
          </w:tcPr>
          <w:p>
            <w:pPr>
              <w:spacing w:after="0"/>
              <w:rPr>
                <w:sz w:val="13"/>
                <w:szCs w:val="13"/>
                <w:color w:val="auto"/>
              </w:rPr>
            </w:pPr>
          </w:p>
        </w:tc>
        <w:tc>
          <w:tcPr>
            <w:tcW w:w="6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Service cost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17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$ 25</w:t>
            </w:r>
          </w:p>
        </w:tc>
        <w:tc>
          <w:tcPr>
            <w:tcW w:w="440" w:type="dxa"/>
            <w:vAlign w:val="bottom"/>
            <w:tcBorders>
              <w:top w:val="single" w:sz="8" w:color="auto"/>
            </w:tcBorders>
            <w:shd w:val="clear" w:color="auto" w:fill="CCEEFF"/>
          </w:tcPr>
          <w:p>
            <w:pPr>
              <w:spacing w:after="0"/>
              <w:rPr>
                <w:sz w:val="13"/>
                <w:szCs w:val="13"/>
                <w:color w:val="auto"/>
              </w:rPr>
            </w:pPr>
          </w:p>
        </w:tc>
      </w:tr>
      <w:tr>
        <w:trPr>
          <w:trHeight w:val="162"/>
        </w:trPr>
        <w:tc>
          <w:tcPr>
            <w:tcW w:w="1140" w:type="dxa"/>
            <w:vAlign w:val="bottom"/>
          </w:tcPr>
          <w:p>
            <w:pPr>
              <w:spacing w:after="0"/>
              <w:rPr>
                <w:sz w:val="14"/>
                <w:szCs w:val="14"/>
                <w:color w:val="auto"/>
              </w:rPr>
            </w:pPr>
          </w:p>
        </w:tc>
        <w:tc>
          <w:tcPr>
            <w:tcW w:w="6040" w:type="dxa"/>
            <w:vAlign w:val="bottom"/>
          </w:tcPr>
          <w:p>
            <w:pPr>
              <w:spacing w:after="0"/>
              <w:rPr>
                <w:sz w:val="20"/>
                <w:szCs w:val="20"/>
                <w:color w:val="auto"/>
              </w:rPr>
            </w:pPr>
            <w:r>
              <w:rPr>
                <w:rFonts w:ascii="Arial" w:cs="Arial" w:eastAsia="Arial" w:hAnsi="Arial"/>
                <w:sz w:val="12"/>
                <w:szCs w:val="12"/>
                <w:color w:val="auto"/>
              </w:rPr>
              <w:t>Interest cost</w:t>
            </w:r>
          </w:p>
        </w:tc>
        <w:tc>
          <w:tcPr>
            <w:tcW w:w="500" w:type="dxa"/>
            <w:vAlign w:val="bottom"/>
          </w:tcPr>
          <w:p>
            <w:pPr>
              <w:jc w:val="right"/>
              <w:spacing w:after="0"/>
              <w:rPr>
                <w:sz w:val="20"/>
                <w:szCs w:val="20"/>
                <w:color w:val="auto"/>
              </w:rPr>
            </w:pPr>
            <w:r>
              <w:rPr>
                <w:rFonts w:ascii="Arial" w:cs="Arial" w:eastAsia="Arial" w:hAnsi="Arial"/>
                <w:sz w:val="12"/>
                <w:szCs w:val="12"/>
                <w:color w:val="auto"/>
              </w:rPr>
              <w:t>58</w:t>
            </w:r>
          </w:p>
        </w:tc>
        <w:tc>
          <w:tcPr>
            <w:tcW w:w="17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62</w:t>
            </w:r>
          </w:p>
        </w:tc>
        <w:tc>
          <w:tcPr>
            <w:tcW w:w="44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loss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7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440" w:type="dxa"/>
            <w:vAlign w:val="bottom"/>
            <w:tcBorders>
              <w:bottom w:val="single" w:sz="8" w:color="CCEEFF"/>
            </w:tcBorders>
            <w:shd w:val="clear" w:color="auto" w:fill="CCEEFF"/>
          </w:tcPr>
          <w:p>
            <w:pPr>
              <w:spacing w:after="0"/>
              <w:rPr>
                <w:sz w:val="14"/>
                <w:szCs w:val="14"/>
                <w:color w:val="auto"/>
              </w:rPr>
            </w:pPr>
          </w:p>
        </w:tc>
      </w:tr>
      <w:tr>
        <w:trPr>
          <w:trHeight w:val="167"/>
        </w:trPr>
        <w:tc>
          <w:tcPr>
            <w:tcW w:w="1140" w:type="dxa"/>
            <w:vAlign w:val="bottom"/>
          </w:tcPr>
          <w:p>
            <w:pPr>
              <w:spacing w:after="0"/>
              <w:rPr>
                <w:sz w:val="14"/>
                <w:szCs w:val="14"/>
                <w:color w:val="auto"/>
              </w:rPr>
            </w:pPr>
          </w:p>
        </w:tc>
        <w:tc>
          <w:tcPr>
            <w:tcW w:w="6040" w:type="dxa"/>
            <w:vAlign w:val="bottom"/>
          </w:tcPr>
          <w:p>
            <w:pPr>
              <w:spacing w:after="0"/>
              <w:rPr>
                <w:sz w:val="20"/>
                <w:szCs w:val="20"/>
                <w:color w:val="auto"/>
              </w:rPr>
            </w:pPr>
            <w:r>
              <w:rPr>
                <w:rFonts w:ascii="Arial" w:cs="Arial" w:eastAsia="Arial" w:hAnsi="Arial"/>
                <w:sz w:val="12"/>
                <w:szCs w:val="12"/>
                <w:color w:val="auto"/>
              </w:rPr>
              <w:t>Net periodic pension cost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$ 59</w:t>
            </w:r>
          </w:p>
        </w:tc>
        <w:tc>
          <w:tcPr>
            <w:tcW w:w="17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$ 99</w:t>
            </w:r>
          </w:p>
        </w:tc>
        <w:tc>
          <w:tcPr>
            <w:tcW w:w="44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2"/>
          <w:szCs w:val="12"/>
          <w:color w:val="auto"/>
        </w:rPr>
        <w:t>We expect to contribute approximately $240 to the Eltmann, Germany pension plan in 2007. As of March 31, 2007, approximately $60 of contributions had been made.</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Severance Indemnity</w:t>
      </w:r>
    </w:p>
    <w:p>
      <w:pPr>
        <w:spacing w:after="0" w:line="190" w:lineRule="exact"/>
        <w:rPr>
          <w:sz w:val="20"/>
          <w:szCs w:val="20"/>
          <w:color w:val="auto"/>
        </w:rPr>
      </w:pPr>
    </w:p>
    <w:p>
      <w:pPr>
        <w:ind w:right="380"/>
        <w:spacing w:after="0" w:line="276" w:lineRule="auto"/>
        <w:rPr>
          <w:sz w:val="20"/>
          <w:szCs w:val="20"/>
          <w:color w:val="auto"/>
        </w:rPr>
      </w:pPr>
      <w:r>
        <w:rPr>
          <w:rFonts w:ascii="Arial" w:cs="Arial" w:eastAsia="Arial" w:hAnsi="Arial"/>
          <w:sz w:val="12"/>
          <w:szCs w:val="12"/>
          <w:color w:val="auto"/>
        </w:rPr>
        <w:t>In accordance with Italian law, the Company has an unfunded severance plan covering our Pinerolo, Italy employees under which all employees at that location are entitled to receive severance indemnities upon termination of their employment. The table below summarizes the changes to the severance indemnity at March 31, 2007 and 2006:</w:t>
      </w:r>
    </w:p>
    <w:p>
      <w:pPr>
        <w:spacing w:after="0" w:line="129" w:lineRule="exact"/>
        <w:rPr>
          <w:sz w:val="20"/>
          <w:szCs w:val="20"/>
          <w:color w:val="auto"/>
        </w:rPr>
      </w:pPr>
    </w:p>
    <w:tbl>
      <w:tblPr>
        <w:tblLayout w:type="fixed"/>
        <w:tblInd w:w="114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040" w:type="dxa"/>
            <w:vAlign w:val="bottom"/>
          </w:tcPr>
          <w:p>
            <w:pPr>
              <w:jc w:val="right"/>
              <w:ind w:right="1720"/>
              <w:spacing w:after="0"/>
              <w:rPr>
                <w:sz w:val="20"/>
                <w:szCs w:val="20"/>
                <w:color w:val="auto"/>
              </w:rPr>
            </w:pPr>
            <w:r>
              <w:rPr>
                <w:rFonts w:ascii="Arial" w:cs="Arial" w:eastAsia="Arial" w:hAnsi="Arial"/>
                <w:sz w:val="12"/>
                <w:szCs w:val="12"/>
                <w:b w:val="1"/>
                <w:bCs w:val="1"/>
                <w:color w:val="auto"/>
              </w:rPr>
              <w:t>Three months ended</w:t>
            </w:r>
          </w:p>
        </w:tc>
      </w:tr>
      <w:tr>
        <w:trPr>
          <w:trHeight w:val="157"/>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tcPr>
          <w:p>
            <w:pPr>
              <w:jc w:val="right"/>
              <w:ind w:right="1980"/>
              <w:spacing w:after="0"/>
              <w:rPr>
                <w:sz w:val="20"/>
                <w:szCs w:val="20"/>
                <w:color w:val="auto"/>
              </w:rPr>
            </w:pPr>
            <w:r>
              <w:rPr>
                <w:rFonts w:ascii="Arial" w:cs="Arial" w:eastAsia="Arial" w:hAnsi="Arial"/>
                <w:sz w:val="12"/>
                <w:szCs w:val="12"/>
                <w:b w:val="1"/>
                <w:bCs w:val="1"/>
                <w:color w:val="auto"/>
              </w:rPr>
              <w:t>March 31,</w:t>
            </w:r>
          </w:p>
        </w:tc>
      </w:tr>
      <w:tr>
        <w:trPr>
          <w:trHeight w:val="133"/>
        </w:trPr>
        <w:tc>
          <w:tcPr>
            <w:tcW w:w="4600" w:type="dxa"/>
            <w:vAlign w:val="bottom"/>
            <w:gridSpan w:val="2"/>
          </w:tcPr>
          <w:p>
            <w:pPr>
              <w:spacing w:after="0" w:line="133" w:lineRule="exact"/>
              <w:rPr>
                <w:sz w:val="20"/>
                <w:szCs w:val="20"/>
                <w:color w:val="auto"/>
              </w:rPr>
            </w:pPr>
            <w:r>
              <w:rPr>
                <w:rFonts w:ascii="Arial" w:cs="Arial" w:eastAsia="Arial" w:hAnsi="Arial"/>
                <w:sz w:val="12"/>
                <w:szCs w:val="12"/>
                <w:color w:val="auto"/>
              </w:rPr>
              <w:t>(In Thousands of Dollars)</w:t>
            </w:r>
          </w:p>
        </w:tc>
        <w:tc>
          <w:tcPr>
            <w:tcW w:w="1560" w:type="dxa"/>
            <w:vAlign w:val="bottom"/>
          </w:tcPr>
          <w:p>
            <w:pPr>
              <w:jc w:val="right"/>
              <w:ind w:right="300"/>
              <w:spacing w:after="0" w:line="133" w:lineRule="exact"/>
              <w:rPr>
                <w:sz w:val="20"/>
                <w:szCs w:val="20"/>
                <w:color w:val="auto"/>
              </w:rPr>
            </w:pPr>
            <w:r>
              <w:rPr>
                <w:rFonts w:ascii="Arial" w:cs="Arial" w:eastAsia="Arial" w:hAnsi="Arial"/>
                <w:sz w:val="12"/>
                <w:szCs w:val="12"/>
                <w:b w:val="1"/>
                <w:bCs w:val="1"/>
                <w:color w:val="auto"/>
              </w:rPr>
              <w:t>2007</w:t>
            </w:r>
          </w:p>
        </w:tc>
        <w:tc>
          <w:tcPr>
            <w:tcW w:w="3040" w:type="dxa"/>
            <w:vAlign w:val="bottom"/>
          </w:tcPr>
          <w:p>
            <w:pPr>
              <w:jc w:val="right"/>
              <w:ind w:right="1040"/>
              <w:spacing w:after="0" w:line="133" w:lineRule="exact"/>
              <w:rPr>
                <w:sz w:val="20"/>
                <w:szCs w:val="20"/>
                <w:color w:val="auto"/>
              </w:rPr>
            </w:pPr>
            <w:r>
              <w:rPr>
                <w:rFonts w:ascii="Arial" w:cs="Arial" w:eastAsia="Arial" w:hAnsi="Arial"/>
                <w:sz w:val="12"/>
                <w:szCs w:val="12"/>
                <w:b w:val="1"/>
                <w:bCs w:val="1"/>
                <w:color w:val="auto"/>
              </w:rPr>
              <w:t>2006</w:t>
            </w:r>
          </w:p>
        </w:tc>
      </w:tr>
      <w:tr>
        <w:trPr>
          <w:trHeight w:val="133"/>
        </w:trPr>
        <w:tc>
          <w:tcPr>
            <w:tcW w:w="20" w:type="dxa"/>
            <w:vAlign w:val="bottom"/>
          </w:tcPr>
          <w:p>
            <w:pPr>
              <w:spacing w:after="0"/>
              <w:rPr>
                <w:sz w:val="11"/>
                <w:szCs w:val="11"/>
                <w:color w:val="auto"/>
              </w:rPr>
            </w:pPr>
          </w:p>
        </w:tc>
        <w:tc>
          <w:tcPr>
            <w:tcW w:w="45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Beginning balance</w:t>
            </w:r>
          </w:p>
        </w:tc>
        <w:tc>
          <w:tcPr>
            <w:tcW w:w="1560" w:type="dxa"/>
            <w:vAlign w:val="bottom"/>
            <w:tcBorders>
              <w:top w:val="single" w:sz="8" w:color="auto"/>
            </w:tcBorders>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 (8,020)</w:t>
            </w:r>
          </w:p>
        </w:tc>
        <w:tc>
          <w:tcPr>
            <w:tcW w:w="3040" w:type="dxa"/>
            <w:vAlign w:val="bottom"/>
            <w:tcBorders>
              <w:top w:val="single" w:sz="8" w:color="auto"/>
            </w:tcBorders>
            <w:shd w:val="clear" w:color="auto" w:fill="CCEEFF"/>
          </w:tcPr>
          <w:p>
            <w:pPr>
              <w:jc w:val="right"/>
              <w:ind w:right="920"/>
              <w:spacing w:after="0" w:line="133" w:lineRule="exact"/>
              <w:rPr>
                <w:sz w:val="20"/>
                <w:szCs w:val="20"/>
                <w:color w:val="auto"/>
              </w:rPr>
            </w:pPr>
            <w:r>
              <w:rPr>
                <w:rFonts w:ascii="Arial" w:cs="Arial" w:eastAsia="Arial" w:hAnsi="Arial"/>
                <w:sz w:val="12"/>
                <w:szCs w:val="12"/>
                <w:color w:val="auto"/>
              </w:rPr>
              <w:t>$ (6,644)</w:t>
            </w:r>
          </w:p>
        </w:tc>
      </w:tr>
      <w:tr>
        <w:trPr>
          <w:trHeight w:val="144"/>
        </w:trPr>
        <w:tc>
          <w:tcPr>
            <w:tcW w:w="20" w:type="dxa"/>
            <w:vAlign w:val="bottom"/>
          </w:tcPr>
          <w:p>
            <w:pPr>
              <w:spacing w:after="0"/>
              <w:rPr>
                <w:sz w:val="12"/>
                <w:szCs w:val="12"/>
                <w:color w:val="auto"/>
              </w:rPr>
            </w:pPr>
          </w:p>
        </w:tc>
        <w:tc>
          <w:tcPr>
            <w:tcW w:w="4580" w:type="dxa"/>
            <w:vAlign w:val="bottom"/>
          </w:tcPr>
          <w:p>
            <w:pPr>
              <w:spacing w:after="0"/>
              <w:rPr>
                <w:sz w:val="20"/>
                <w:szCs w:val="20"/>
                <w:color w:val="auto"/>
              </w:rPr>
            </w:pPr>
            <w:r>
              <w:rPr>
                <w:rFonts w:ascii="Arial" w:cs="Arial" w:eastAsia="Arial" w:hAnsi="Arial"/>
                <w:sz w:val="12"/>
                <w:szCs w:val="12"/>
                <w:color w:val="auto"/>
              </w:rPr>
              <w:t>Amounts accrued</w:t>
            </w:r>
          </w:p>
        </w:tc>
        <w:tc>
          <w:tcPr>
            <w:tcW w:w="1560" w:type="dxa"/>
            <w:vAlign w:val="bottom"/>
          </w:tcPr>
          <w:p>
            <w:pPr>
              <w:jc w:val="right"/>
              <w:ind w:right="180"/>
              <w:spacing w:after="0"/>
              <w:rPr>
                <w:sz w:val="20"/>
                <w:szCs w:val="20"/>
                <w:color w:val="auto"/>
              </w:rPr>
            </w:pPr>
            <w:r>
              <w:rPr>
                <w:rFonts w:ascii="Arial" w:cs="Arial" w:eastAsia="Arial" w:hAnsi="Arial"/>
                <w:sz w:val="12"/>
                <w:szCs w:val="12"/>
                <w:color w:val="auto"/>
              </w:rPr>
              <w:t>(294)</w:t>
            </w:r>
          </w:p>
        </w:tc>
        <w:tc>
          <w:tcPr>
            <w:tcW w:w="3040" w:type="dxa"/>
            <w:vAlign w:val="bottom"/>
          </w:tcPr>
          <w:p>
            <w:pPr>
              <w:jc w:val="right"/>
              <w:ind w:right="920"/>
              <w:spacing w:after="0"/>
              <w:rPr>
                <w:sz w:val="20"/>
                <w:szCs w:val="20"/>
                <w:color w:val="auto"/>
              </w:rPr>
            </w:pPr>
            <w:r>
              <w:rPr>
                <w:rFonts w:ascii="Arial" w:cs="Arial" w:eastAsia="Arial" w:hAnsi="Arial"/>
                <w:sz w:val="12"/>
                <w:szCs w:val="12"/>
                <w:color w:val="auto"/>
              </w:rPr>
              <w:t>(256)</w:t>
            </w:r>
          </w:p>
        </w:tc>
      </w:tr>
      <w:tr>
        <w:trPr>
          <w:trHeight w:val="144"/>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Payments</w:t>
            </w:r>
          </w:p>
        </w:tc>
        <w:tc>
          <w:tcPr>
            <w:tcW w:w="15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432</w:t>
            </w:r>
          </w:p>
        </w:tc>
        <w:tc>
          <w:tcPr>
            <w:tcW w:w="3040" w:type="dxa"/>
            <w:vAlign w:val="bottom"/>
            <w:shd w:val="clear" w:color="auto" w:fill="CCEEFF"/>
          </w:tcPr>
          <w:p>
            <w:pPr>
              <w:jc w:val="right"/>
              <w:ind w:right="960"/>
              <w:spacing w:after="0"/>
              <w:rPr>
                <w:sz w:val="20"/>
                <w:szCs w:val="20"/>
                <w:color w:val="auto"/>
              </w:rPr>
            </w:pPr>
            <w:r>
              <w:rPr>
                <w:rFonts w:ascii="Arial" w:cs="Arial" w:eastAsia="Arial" w:hAnsi="Arial"/>
                <w:sz w:val="12"/>
                <w:szCs w:val="12"/>
                <w:color w:val="auto"/>
              </w:rPr>
              <w:t>119</w:t>
            </w:r>
          </w:p>
        </w:tc>
      </w:tr>
      <w:tr>
        <w:trPr>
          <w:trHeight w:val="162"/>
        </w:trPr>
        <w:tc>
          <w:tcPr>
            <w:tcW w:w="20" w:type="dxa"/>
            <w:vAlign w:val="bottom"/>
          </w:tcPr>
          <w:p>
            <w:pPr>
              <w:spacing w:after="0"/>
              <w:rPr>
                <w:sz w:val="14"/>
                <w:szCs w:val="14"/>
                <w:color w:val="auto"/>
              </w:rPr>
            </w:pPr>
          </w:p>
        </w:tc>
        <w:tc>
          <w:tcPr>
            <w:tcW w:w="4580" w:type="dxa"/>
            <w:vAlign w:val="bottom"/>
          </w:tcPr>
          <w:p>
            <w:pPr>
              <w:spacing w:after="0"/>
              <w:rPr>
                <w:sz w:val="20"/>
                <w:szCs w:val="20"/>
                <w:color w:val="auto"/>
              </w:rPr>
            </w:pPr>
            <w:r>
              <w:rPr>
                <w:rFonts w:ascii="Arial" w:cs="Arial" w:eastAsia="Arial" w:hAnsi="Arial"/>
                <w:sz w:val="12"/>
                <w:szCs w:val="12"/>
                <w:color w:val="auto"/>
              </w:rPr>
              <w:t>Currency impacts</w:t>
            </w:r>
          </w:p>
        </w:tc>
        <w:tc>
          <w:tcPr>
            <w:tcW w:w="156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(93)</w:t>
            </w:r>
          </w:p>
        </w:tc>
        <w:tc>
          <w:tcPr>
            <w:tcW w:w="3040" w:type="dxa"/>
            <w:vAlign w:val="bottom"/>
            <w:tcBorders>
              <w:bottom w:val="single" w:sz="8" w:color="auto"/>
            </w:tcBorders>
          </w:tcPr>
          <w:p>
            <w:pPr>
              <w:jc w:val="right"/>
              <w:ind w:right="940"/>
              <w:spacing w:after="0"/>
              <w:rPr>
                <w:sz w:val="20"/>
                <w:szCs w:val="20"/>
                <w:color w:val="auto"/>
              </w:rPr>
            </w:pPr>
            <w:r>
              <w:rPr>
                <w:rFonts w:ascii="Arial" w:cs="Arial" w:eastAsia="Arial" w:hAnsi="Arial"/>
                <w:sz w:val="12"/>
                <w:szCs w:val="12"/>
                <w:color w:val="auto"/>
              </w:rPr>
              <w:t>(169)</w:t>
            </w:r>
          </w:p>
        </w:tc>
      </w:tr>
      <w:tr>
        <w:trPr>
          <w:trHeight w:val="140"/>
        </w:trPr>
        <w:tc>
          <w:tcPr>
            <w:tcW w:w="20" w:type="dxa"/>
            <w:vAlign w:val="bottom"/>
          </w:tcPr>
          <w:p>
            <w:pPr>
              <w:spacing w:after="0"/>
              <w:rPr>
                <w:sz w:val="12"/>
                <w:szCs w:val="12"/>
                <w:color w:val="auto"/>
              </w:rPr>
            </w:pPr>
          </w:p>
        </w:tc>
        <w:tc>
          <w:tcPr>
            <w:tcW w:w="458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Ending balance</w:t>
            </w:r>
          </w:p>
        </w:tc>
        <w:tc>
          <w:tcPr>
            <w:tcW w:w="1560" w:type="dxa"/>
            <w:vAlign w:val="bottom"/>
            <w:tcBorders>
              <w:bottom w:val="single" w:sz="8" w:color="auto"/>
            </w:tcBorders>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 (7,975)</w:t>
            </w:r>
          </w:p>
        </w:tc>
        <w:tc>
          <w:tcPr>
            <w:tcW w:w="3040" w:type="dxa"/>
            <w:vAlign w:val="bottom"/>
            <w:tcBorders>
              <w:bottom w:val="single" w:sz="8" w:color="auto"/>
            </w:tcBorders>
            <w:shd w:val="clear" w:color="auto" w:fill="CCEEFF"/>
          </w:tcPr>
          <w:p>
            <w:pPr>
              <w:jc w:val="right"/>
              <w:ind w:right="940"/>
              <w:spacing w:after="0" w:line="133" w:lineRule="exact"/>
              <w:rPr>
                <w:sz w:val="20"/>
                <w:szCs w:val="20"/>
                <w:color w:val="auto"/>
              </w:rPr>
            </w:pPr>
            <w:r>
              <w:rPr>
                <w:rFonts w:ascii="Arial" w:cs="Arial" w:eastAsia="Arial" w:hAnsi="Arial"/>
                <w:sz w:val="12"/>
                <w:szCs w:val="12"/>
                <w:color w:val="auto"/>
              </w:rPr>
              <w:t>$ (6,950)</w:t>
            </w:r>
          </w:p>
        </w:tc>
      </w:tr>
    </w:tbl>
    <w:p>
      <w:pPr>
        <w:spacing w:after="0" w:line="374"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Note 7.</w:t>
      </w:r>
      <w:r>
        <w:rPr>
          <w:sz w:val="20"/>
          <w:szCs w:val="20"/>
          <w:color w:val="auto"/>
        </w:rPr>
        <w:tab/>
      </w:r>
      <w:r>
        <w:rPr>
          <w:rFonts w:ascii="Arial" w:cs="Arial" w:eastAsia="Arial" w:hAnsi="Arial"/>
          <w:sz w:val="10"/>
          <w:szCs w:val="10"/>
          <w:b w:val="1"/>
          <w:bCs w:val="1"/>
          <w:color w:val="auto"/>
        </w:rPr>
        <w:t>New Accounting Pronouncements</w:t>
      </w:r>
    </w:p>
    <w:p>
      <w:pPr>
        <w:spacing w:after="0" w:line="199"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In July 2006, the FASB issued Interpretation No. 48 ("FIN 48"), "Accounting for Uncertainty in Income Taxes—an Interpretation of SFAS 109 "Accounting for Income Taxes". FIN 48 prescribes a comprehensive model for how a company should recognize, measure, present, and disclose in its financial statements uncertain tax positions that a company has taken or expects to take on a tax return. Under FIN 48, the financial statements will reflect expected future tax consequences of such positions presuming the taxing authorities' full knowledge of the position and all relevant facts, but without considering time values. FIN 48 also revises disclosure requirements and introduces a prescriptive, annual, tabular roll-forward of the unrecognized tax benefits. FIN 48 is effective for fiscal years beginning after December 15, 2006. The Company adopted FIN 48 on January 1, 2007, and the effects on our consolidated financial position, liquidity, and results of operations were not material. See Note 15 for additional information.</w:t>
      </w:r>
    </w:p>
    <w:p>
      <w:pPr>
        <w:spacing w:after="0" w:line="162"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 xml:space="preserve">In September 2006, the FASB issued SFAS No. 157,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(SFAS 157), which provides guidance on how to measure assets and liabilities that use fair value. SFAS 157 will apply whenever another US GAAP standard requires (or permits) assets or liabilities to be measured at fair value but does not expand the use of fair value to any new circumstances. This standard also will require additional disclosures in both annual and quarterly reports. SFAS 157 will be effective for financial statements issued for fiscal years beginning after November 15, 2007, and will be adopted by us beginning in the first quarter of 2008. We are currently evaluating the potential impact this standard may have on our consolidated financial position and results of operations, but do not believe the impact of the adoption will be material.</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27" w:right="2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2"/>
          <w:szCs w:val="12"/>
          <w:b w:val="1"/>
          <w:bCs w:val="1"/>
          <w:color w:val="auto"/>
        </w:rPr>
        <w:t>NN, Inc.</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(unaudited)</w:t>
      </w:r>
    </w:p>
    <w:p>
      <w:pPr>
        <w:spacing w:after="0" w:line="177"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In February, 2007, the FASB issued SFAS No. 159, "The Fair Value Option for Financial Assets and Financial Liabilities—Including an Amendment of FASB Statement No. 115." SFAS No. 159 permits companies to choose to measure many financial instruments and certain other items at fair value at specified election dates. Upon adoption, an entity shall report unrealized gains and losses on items for which the fair value option has been elected in earnings at each subsequent reporting date. Most of the provisions apply only to entities that elect the fair value option. However, the amendment to SFAS No. 115, "Accounting for Certain Investments in Debt and Equity Securities," applies to all entities with available for sale and trading securities. SFAS No. 159 will be effective as of the beginning of an entity's first fiscal year that begins after November 15, 2007. The Company is currently evaluating the effect SFAS No. 159 will have on its consolidated financial position, liquidity, or results of operations.</w:t>
      </w:r>
    </w:p>
    <w:p>
      <w:pPr>
        <w:sectPr>
          <w:pgSz w:w="11900" w:h="16838" w:orient="portrait"/>
          <w:cols w:equalWidth="0" w:num="1">
            <w:col w:w="11400"/>
          </w:cols>
          <w:pgMar w:left="220" w:top="127" w:right="27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Note 8.</w:t>
      </w:r>
      <w:r>
        <w:rPr>
          <w:sz w:val="20"/>
          <w:szCs w:val="20"/>
          <w:color w:val="auto"/>
        </w:rPr>
        <w:tab/>
      </w:r>
      <w:r>
        <w:rPr>
          <w:rFonts w:ascii="Arial" w:cs="Arial" w:eastAsia="Arial" w:hAnsi="Arial"/>
          <w:sz w:val="11"/>
          <w:szCs w:val="11"/>
          <w:b w:val="1"/>
          <w:bCs w:val="1"/>
          <w:color w:val="auto"/>
        </w:rPr>
        <w:t>Long-Term Debt and Short-Term Debt</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color w:val="auto"/>
        </w:rPr>
        <w:t>Long-term debt at March 31, 2007 and December 31, 2006 consisted of the following:</w:t>
      </w:r>
    </w:p>
    <w:p>
      <w:pPr>
        <w:spacing w:after="0" w:line="200" w:lineRule="exact"/>
        <w:rPr>
          <w:sz w:val="20"/>
          <w:szCs w:val="20"/>
          <w:color w:val="auto"/>
        </w:rPr>
      </w:pPr>
    </w:p>
    <w:p>
      <w:pPr>
        <w:spacing w:after="0" w:line="265" w:lineRule="exact"/>
        <w:rPr>
          <w:sz w:val="20"/>
          <w:szCs w:val="20"/>
          <w:color w:val="auto"/>
        </w:rPr>
      </w:pPr>
    </w:p>
    <w:p>
      <w:pPr>
        <w:ind w:left="1360" w:right="160" w:hanging="215"/>
        <w:spacing w:after="0" w:line="323" w:lineRule="auto"/>
        <w:rPr>
          <w:sz w:val="20"/>
          <w:szCs w:val="20"/>
          <w:color w:val="auto"/>
        </w:rPr>
      </w:pPr>
      <w:r>
        <w:rPr>
          <w:rFonts w:ascii="Arial" w:cs="Arial" w:eastAsia="Arial" w:hAnsi="Arial"/>
          <w:sz w:val="11"/>
          <w:szCs w:val="11"/>
          <w:color w:val="auto"/>
        </w:rPr>
        <w:t>Borrowings under our $90,000 revolving credit facility bearing interest at a floating rate equal to LIBOR (5.35% at March 31, 2007) plus an applicable margin of 0.60 to 0.925, expiring September 20,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-210185</wp:posOffset>
            </wp:positionV>
            <wp:extent cx="5833745" cy="182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33745" cy="182880"/>
                    </a:xfrm>
                    <a:prstGeom prst="rect">
                      <a:avLst/>
                    </a:prstGeom>
                    <a:noFill/>
                  </pic:spPr>
                </pic:pic>
              </a:graphicData>
            </a:graphic>
          </wp:anchor>
        </w:drawing>
      </w:r>
    </w:p>
    <w:p>
      <w:pPr>
        <w:spacing w:after="0" w:line="90" w:lineRule="exact"/>
        <w:rPr>
          <w:sz w:val="20"/>
          <w:szCs w:val="20"/>
          <w:color w:val="auto"/>
        </w:rPr>
      </w:pPr>
    </w:p>
    <w:p>
      <w:pPr>
        <w:ind w:left="1360" w:hanging="215"/>
        <w:spacing w:after="0" w:line="263" w:lineRule="auto"/>
        <w:rPr>
          <w:sz w:val="20"/>
          <w:szCs w:val="20"/>
          <w:color w:val="auto"/>
        </w:rPr>
      </w:pPr>
      <w:r>
        <w:rPr>
          <w:rFonts w:ascii="Arial" w:cs="Arial" w:eastAsia="Arial" w:hAnsi="Arial"/>
          <w:sz w:val="12"/>
          <w:szCs w:val="12"/>
          <w:color w:val="auto"/>
        </w:rPr>
        <w:t>Borrowings under our $40,000 aggregate principal amount of senior notes bearing interest at a fixed rate of 4.89% maturing on April 26, 2014. Annual principal payments of $5,714 begin on April 26, 2008 and extend through the date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-281940</wp:posOffset>
            </wp:positionV>
            <wp:extent cx="5833745"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33745" cy="274320"/>
                    </a:xfrm>
                    <a:prstGeom prst="rect">
                      <a:avLst/>
                    </a:prstGeom>
                    <a:noFill/>
                  </pic:spPr>
                </pic:pic>
              </a:graphicData>
            </a:graphic>
          </wp:anchor>
        </w:drawing>
      </w:r>
    </w:p>
    <w:p>
      <w:pPr>
        <w:spacing w:after="0" w:line="121" w:lineRule="exact"/>
        <w:rPr>
          <w:sz w:val="20"/>
          <w:szCs w:val="20"/>
          <w:color w:val="auto"/>
        </w:rPr>
      </w:pPr>
    </w:p>
    <w:p>
      <w:pPr>
        <w:ind w:left="1360" w:right="180" w:hanging="215"/>
        <w:spacing w:after="0" w:line="263" w:lineRule="auto"/>
        <w:rPr>
          <w:sz w:val="20"/>
          <w:szCs w:val="20"/>
          <w:color w:val="auto"/>
        </w:rPr>
      </w:pPr>
      <w:r>
        <w:rPr>
          <w:rFonts w:ascii="Arial" w:cs="Arial" w:eastAsia="Arial" w:hAnsi="Arial"/>
          <w:sz w:val="12"/>
          <w:szCs w:val="12"/>
          <w:color w:val="auto"/>
        </w:rPr>
        <w:t>Long term note payable with customer related to acquiring equipment from customer as part of long term supply agreement. Note carries a 0% rate of interest. Interest on this note has been imputed at a rate of 5.41%. Note is paid down by applying a fixed amount per piece purchased by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-281940</wp:posOffset>
            </wp:positionV>
            <wp:extent cx="5833745"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33745" cy="291465"/>
                    </a:xfrm>
                    <a:prstGeom prst="rect">
                      <a:avLst/>
                    </a:prstGeom>
                    <a:noFill/>
                  </pic:spPr>
                </pic:pic>
              </a:graphicData>
            </a:graphic>
          </wp:anchor>
        </w:drawing>
      </w:r>
    </w:p>
    <w:p>
      <w:pPr>
        <w:spacing w:after="0" w:line="4" w:lineRule="exact"/>
        <w:rPr>
          <w:sz w:val="20"/>
          <w:szCs w:val="20"/>
          <w:color w:val="auto"/>
        </w:rPr>
      </w:pPr>
    </w:p>
    <w:p>
      <w:pPr>
        <w:ind w:left="1460"/>
        <w:spacing w:after="0"/>
        <w:rPr>
          <w:sz w:val="20"/>
          <w:szCs w:val="20"/>
          <w:color w:val="auto"/>
        </w:rPr>
      </w:pPr>
      <w:r>
        <w:rPr>
          <w:rFonts w:ascii="Arial" w:cs="Arial" w:eastAsia="Arial" w:hAnsi="Arial"/>
          <w:sz w:val="12"/>
          <w:szCs w:val="12"/>
          <w:color w:val="auto"/>
        </w:rPr>
        <w:t>Total debt</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2"/>
          <w:szCs w:val="12"/>
          <w:color w:val="auto"/>
        </w:rPr>
        <w:t>Less current maturities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-86995</wp:posOffset>
            </wp:positionV>
            <wp:extent cx="5833745" cy="108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33745" cy="108585"/>
                    </a:xfrm>
                    <a:prstGeom prst="rect">
                      <a:avLst/>
                    </a:prstGeom>
                    <a:noFill/>
                  </pic:spPr>
                </pic:pic>
              </a:graphicData>
            </a:graphic>
          </wp:anchor>
        </w:drawing>
      </w:r>
    </w:p>
    <w:p>
      <w:pPr>
        <w:spacing w:after="0" w:line="4" w:lineRule="exact"/>
        <w:rPr>
          <w:sz w:val="20"/>
          <w:szCs w:val="20"/>
          <w:color w:val="auto"/>
        </w:rPr>
      </w:pPr>
    </w:p>
    <w:p>
      <w:pPr>
        <w:ind w:left="1460"/>
        <w:spacing w:after="0"/>
        <w:rPr>
          <w:sz w:val="20"/>
          <w:szCs w:val="20"/>
          <w:color w:val="auto"/>
        </w:rPr>
      </w:pPr>
      <w:r>
        <w:rPr>
          <w:rFonts w:ascii="Arial" w:cs="Arial" w:eastAsia="Arial" w:hAnsi="Arial"/>
          <w:sz w:val="12"/>
          <w:szCs w:val="12"/>
          <w:color w:val="auto"/>
        </w:rPr>
        <w:t>Long-term debt, excluding current maturities of 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40"/>
        <w:spacing w:after="0"/>
        <w:rPr>
          <w:sz w:val="20"/>
          <w:szCs w:val="20"/>
          <w:color w:val="auto"/>
        </w:rPr>
      </w:pPr>
      <w:r>
        <w:rPr>
          <w:rFonts w:ascii="Arial" w:cs="Arial" w:eastAsia="Arial" w:hAnsi="Arial"/>
          <w:sz w:val="11"/>
          <w:szCs w:val="11"/>
          <w:b w:val="1"/>
          <w:bCs w:val="1"/>
          <w:color w:val="auto"/>
        </w:rPr>
        <w:t>March 31,</w:t>
      </w:r>
    </w:p>
    <w:p>
      <w:pPr>
        <w:spacing w:after="0" w:line="30" w:lineRule="exact"/>
        <w:rPr>
          <w:sz w:val="20"/>
          <w:szCs w:val="20"/>
          <w:color w:val="auto"/>
        </w:rPr>
      </w:pPr>
    </w:p>
    <w:p>
      <w:pPr>
        <w:jc w:val="center"/>
        <w:ind w:right="640"/>
        <w:spacing w:after="0"/>
        <w:rPr>
          <w:sz w:val="20"/>
          <w:szCs w:val="20"/>
          <w:color w:val="auto"/>
        </w:rPr>
      </w:pPr>
      <w:r>
        <w:rPr>
          <w:rFonts w:ascii="Arial" w:cs="Arial" w:eastAsia="Arial" w:hAnsi="Arial"/>
          <w:sz w:val="12"/>
          <w:szCs w:val="12"/>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3810</wp:posOffset>
            </wp:positionV>
            <wp:extent cx="94361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3610" cy="5715"/>
                    </a:xfrm>
                    <a:prstGeom prst="rect">
                      <a:avLst/>
                    </a:prstGeom>
                    <a:noFill/>
                  </pic:spPr>
                </pic:pic>
              </a:graphicData>
            </a:graphic>
          </wp:anchor>
        </w:drawing>
      </w:r>
    </w:p>
    <w:p>
      <w:pPr>
        <w:spacing w:after="0" w:line="293" w:lineRule="exact"/>
        <w:rPr>
          <w:sz w:val="20"/>
          <w:szCs w:val="20"/>
          <w:color w:val="auto"/>
        </w:rPr>
      </w:pPr>
    </w:p>
    <w:p>
      <w:pPr>
        <w:jc w:val="right"/>
        <w:ind w:right="160"/>
        <w:spacing w:after="0"/>
        <w:rPr>
          <w:sz w:val="20"/>
          <w:szCs w:val="20"/>
          <w:color w:val="auto"/>
        </w:rPr>
      </w:pPr>
      <w:r>
        <w:rPr>
          <w:rFonts w:ascii="Arial" w:cs="Arial" w:eastAsia="Arial" w:hAnsi="Arial"/>
          <w:sz w:val="12"/>
          <w:szCs w:val="12"/>
          <w:color w:val="auto"/>
        </w:rPr>
        <w:t>$ 66,140</w:t>
      </w:r>
    </w:p>
    <w:p>
      <w:pPr>
        <w:spacing w:after="0" w:line="200" w:lineRule="exact"/>
        <w:rPr>
          <w:sz w:val="20"/>
          <w:szCs w:val="20"/>
          <w:color w:val="auto"/>
        </w:rPr>
      </w:pPr>
    </w:p>
    <w:p>
      <w:pPr>
        <w:spacing w:after="0" w:line="256" w:lineRule="exact"/>
        <w:rPr>
          <w:sz w:val="20"/>
          <w:szCs w:val="20"/>
          <w:color w:val="auto"/>
        </w:rPr>
      </w:pPr>
    </w:p>
    <w:p>
      <w:pPr>
        <w:jc w:val="right"/>
        <w:ind w:right="160"/>
        <w:spacing w:after="0"/>
        <w:rPr>
          <w:sz w:val="20"/>
          <w:szCs w:val="20"/>
          <w:color w:val="auto"/>
        </w:rPr>
      </w:pPr>
      <w:r>
        <w:rPr>
          <w:rFonts w:ascii="Arial" w:cs="Arial" w:eastAsia="Arial" w:hAnsi="Arial"/>
          <w:sz w:val="12"/>
          <w:szCs w:val="12"/>
          <w:color w:val="auto"/>
        </w:rPr>
        <w:t>40,000</w:t>
      </w:r>
    </w:p>
    <w:p>
      <w:pPr>
        <w:spacing w:after="0" w:line="200" w:lineRule="exact"/>
        <w:rPr>
          <w:sz w:val="20"/>
          <w:szCs w:val="20"/>
          <w:color w:val="auto"/>
        </w:rPr>
      </w:pPr>
    </w:p>
    <w:p>
      <w:pPr>
        <w:spacing w:after="0" w:line="274" w:lineRule="exact"/>
        <w:rPr>
          <w:sz w:val="20"/>
          <w:szCs w:val="20"/>
          <w:color w:val="auto"/>
        </w:rPr>
      </w:pPr>
    </w:p>
    <w:p>
      <w:pPr>
        <w:jc w:val="right"/>
        <w:ind w:right="160"/>
        <w:spacing w:after="0"/>
        <w:rPr>
          <w:sz w:val="20"/>
          <w:szCs w:val="20"/>
          <w:color w:val="auto"/>
        </w:rPr>
      </w:pPr>
      <w:r>
        <w:rPr>
          <w:rFonts w:ascii="Arial" w:cs="Arial" w:eastAsia="Arial" w:hAnsi="Arial"/>
          <w:sz w:val="12"/>
          <w:szCs w:val="12"/>
          <w:color w:val="auto"/>
        </w:rPr>
        <w:t>1,808</w:t>
      </w:r>
    </w:p>
    <w:p>
      <w:pPr>
        <w:spacing w:after="0" w:line="33" w:lineRule="exact"/>
        <w:rPr>
          <w:sz w:val="20"/>
          <w:szCs w:val="20"/>
          <w:color w:val="auto"/>
        </w:rPr>
      </w:pPr>
    </w:p>
    <w:p>
      <w:pPr>
        <w:jc w:val="right"/>
        <w:ind w:right="160"/>
        <w:spacing w:after="0"/>
        <w:rPr>
          <w:sz w:val="20"/>
          <w:szCs w:val="20"/>
          <w:color w:val="auto"/>
        </w:rPr>
      </w:pPr>
      <w:r>
        <w:rPr>
          <w:rFonts w:ascii="Arial" w:cs="Arial" w:eastAsia="Arial" w:hAnsi="Arial"/>
          <w:sz w:val="12"/>
          <w:szCs w:val="12"/>
          <w:color w:val="auto"/>
        </w:rPr>
        <w:t>107,948</w:t>
      </w:r>
    </w:p>
    <w:p>
      <w:pPr>
        <w:spacing w:after="0" w:line="24" w:lineRule="exact"/>
        <w:rPr>
          <w:sz w:val="20"/>
          <w:szCs w:val="20"/>
          <w:color w:val="auto"/>
        </w:rPr>
      </w:pPr>
    </w:p>
    <w:p>
      <w:pPr>
        <w:jc w:val="right"/>
        <w:ind w:right="160"/>
        <w:spacing w:after="0"/>
        <w:rPr>
          <w:sz w:val="20"/>
          <w:szCs w:val="20"/>
          <w:color w:val="auto"/>
        </w:rPr>
      </w:pPr>
      <w:r>
        <w:rPr>
          <w:rFonts w:ascii="Arial" w:cs="Arial" w:eastAsia="Arial" w:hAnsi="Arial"/>
          <w:sz w:val="12"/>
          <w:szCs w:val="12"/>
          <w:color w:val="auto"/>
        </w:rPr>
        <w:t>10,125</w:t>
      </w:r>
    </w:p>
    <w:p>
      <w:pPr>
        <w:spacing w:after="0" w:line="15" w:lineRule="exact"/>
        <w:rPr>
          <w:sz w:val="20"/>
          <w:szCs w:val="20"/>
          <w:color w:val="auto"/>
        </w:rPr>
      </w:pPr>
    </w:p>
    <w:p>
      <w:pPr>
        <w:jc w:val="right"/>
        <w:ind w:right="160"/>
        <w:spacing w:after="0"/>
        <w:rPr>
          <w:sz w:val="20"/>
          <w:szCs w:val="20"/>
          <w:color w:val="auto"/>
        </w:rPr>
      </w:pPr>
      <w:r>
        <w:rPr>
          <w:rFonts w:ascii="Arial" w:cs="Arial" w:eastAsia="Arial" w:hAnsi="Arial"/>
          <w:sz w:val="12"/>
          <w:szCs w:val="12"/>
          <w:color w:val="auto"/>
        </w:rPr>
        <w:t>$ 97,823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9525</wp:posOffset>
            </wp:positionV>
            <wp:extent cx="94361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3610" cy="5715"/>
                    </a:xfrm>
                    <a:prstGeom prst="rect">
                      <a:avLst/>
                    </a:prstGeom>
                    <a:noFill/>
                  </pic:spPr>
                </pic:pic>
              </a:graphicData>
            </a:graphic>
          </wp:anchor>
        </w:drawing>
        <w:drawing>
          <wp:anchor simplePos="0" relativeHeight="251657728" behindDoc="1" locked="0" layoutInCell="0" allowOverlap="1">
            <wp:simplePos x="0" y="0"/>
            <wp:positionH relativeFrom="column">
              <wp:posOffset>-307340</wp:posOffset>
            </wp:positionH>
            <wp:positionV relativeFrom="paragraph">
              <wp:posOffset>20955</wp:posOffset>
            </wp:positionV>
            <wp:extent cx="94361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361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480"/>
        <w:spacing w:after="0"/>
        <w:rPr>
          <w:sz w:val="20"/>
          <w:szCs w:val="20"/>
          <w:color w:val="auto"/>
        </w:rPr>
      </w:pPr>
      <w:r>
        <w:rPr>
          <w:rFonts w:ascii="Arial" w:cs="Arial" w:eastAsia="Arial" w:hAnsi="Arial"/>
          <w:sz w:val="10"/>
          <w:szCs w:val="10"/>
          <w:b w:val="1"/>
          <w:bCs w:val="1"/>
          <w:color w:val="auto"/>
        </w:rPr>
        <w:t>December 31,</w:t>
      </w:r>
    </w:p>
    <w:p>
      <w:pPr>
        <w:spacing w:after="0" w:line="42" w:lineRule="exact"/>
        <w:rPr>
          <w:sz w:val="20"/>
          <w:szCs w:val="20"/>
          <w:color w:val="auto"/>
        </w:rPr>
      </w:pPr>
    </w:p>
    <w:p>
      <w:pPr>
        <w:jc w:val="center"/>
        <w:ind w:right="1480"/>
        <w:spacing w:after="0"/>
        <w:rPr>
          <w:sz w:val="20"/>
          <w:szCs w:val="20"/>
          <w:color w:val="auto"/>
        </w:rPr>
      </w:pPr>
      <w:r>
        <w:rPr>
          <w:rFonts w:ascii="Arial" w:cs="Arial" w:eastAsia="Arial" w:hAnsi="Arial"/>
          <w:sz w:val="12"/>
          <w:szCs w:val="12"/>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3810</wp:posOffset>
            </wp:positionV>
            <wp:extent cx="955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55040" cy="5715"/>
                    </a:xfrm>
                    <a:prstGeom prst="rect">
                      <a:avLst/>
                    </a:prstGeom>
                    <a:noFill/>
                  </pic:spPr>
                </pic:pic>
              </a:graphicData>
            </a:graphic>
          </wp:anchor>
        </w:drawing>
      </w:r>
    </w:p>
    <w:p>
      <w:pPr>
        <w:spacing w:after="0" w:line="293" w:lineRule="exact"/>
        <w:rPr>
          <w:sz w:val="20"/>
          <w:szCs w:val="20"/>
          <w:color w:val="auto"/>
        </w:rPr>
      </w:pPr>
    </w:p>
    <w:p>
      <w:pPr>
        <w:jc w:val="right"/>
        <w:ind w:right="1080"/>
        <w:spacing w:after="0"/>
        <w:rPr>
          <w:sz w:val="20"/>
          <w:szCs w:val="20"/>
          <w:color w:val="auto"/>
        </w:rPr>
      </w:pPr>
      <w:r>
        <w:rPr>
          <w:rFonts w:ascii="Arial" w:cs="Arial" w:eastAsia="Arial" w:hAnsi="Arial"/>
          <w:sz w:val="12"/>
          <w:szCs w:val="12"/>
          <w:color w:val="auto"/>
        </w:rPr>
        <w:t>$ 39,466</w:t>
      </w:r>
    </w:p>
    <w:p>
      <w:pPr>
        <w:spacing w:after="0" w:line="200" w:lineRule="exact"/>
        <w:rPr>
          <w:sz w:val="20"/>
          <w:szCs w:val="20"/>
          <w:color w:val="auto"/>
        </w:rPr>
      </w:pPr>
    </w:p>
    <w:p>
      <w:pPr>
        <w:spacing w:after="0" w:line="256" w:lineRule="exact"/>
        <w:rPr>
          <w:sz w:val="20"/>
          <w:szCs w:val="20"/>
          <w:color w:val="auto"/>
        </w:rPr>
      </w:pPr>
    </w:p>
    <w:p>
      <w:pPr>
        <w:jc w:val="right"/>
        <w:ind w:right="1080"/>
        <w:spacing w:after="0"/>
        <w:rPr>
          <w:sz w:val="20"/>
          <w:szCs w:val="20"/>
          <w:color w:val="auto"/>
        </w:rPr>
      </w:pPr>
      <w:r>
        <w:rPr>
          <w:rFonts w:ascii="Arial" w:cs="Arial" w:eastAsia="Arial" w:hAnsi="Arial"/>
          <w:sz w:val="12"/>
          <w:szCs w:val="12"/>
          <w:color w:val="auto"/>
        </w:rPr>
        <w:t>40,000</w:t>
      </w:r>
    </w:p>
    <w:p>
      <w:pPr>
        <w:spacing w:after="0" w:line="200" w:lineRule="exact"/>
        <w:rPr>
          <w:sz w:val="20"/>
          <w:szCs w:val="20"/>
          <w:color w:val="auto"/>
        </w:rPr>
      </w:pPr>
    </w:p>
    <w:p>
      <w:pPr>
        <w:spacing w:after="0" w:line="274" w:lineRule="exact"/>
        <w:rPr>
          <w:sz w:val="20"/>
          <w:szCs w:val="20"/>
          <w:color w:val="auto"/>
        </w:rPr>
      </w:pPr>
    </w:p>
    <w:p>
      <w:pPr>
        <w:jc w:val="right"/>
        <w:ind w:right="1080"/>
        <w:spacing w:after="0"/>
        <w:rPr>
          <w:sz w:val="20"/>
          <w:szCs w:val="20"/>
          <w:color w:val="auto"/>
        </w:rPr>
      </w:pPr>
      <w:r>
        <w:rPr>
          <w:rFonts w:ascii="Arial" w:cs="Arial" w:eastAsia="Arial" w:hAnsi="Arial"/>
          <w:sz w:val="12"/>
          <w:szCs w:val="12"/>
          <w:color w:val="auto"/>
        </w:rPr>
        <w:t>2,096</w:t>
      </w:r>
    </w:p>
    <w:p>
      <w:pPr>
        <w:spacing w:after="0" w:line="33" w:lineRule="exact"/>
        <w:rPr>
          <w:sz w:val="20"/>
          <w:szCs w:val="20"/>
          <w:color w:val="auto"/>
        </w:rPr>
      </w:pPr>
    </w:p>
    <w:p>
      <w:pPr>
        <w:jc w:val="right"/>
        <w:ind w:right="1080"/>
        <w:spacing w:after="0"/>
        <w:rPr>
          <w:sz w:val="20"/>
          <w:szCs w:val="20"/>
          <w:color w:val="auto"/>
        </w:rPr>
      </w:pPr>
      <w:r>
        <w:rPr>
          <w:rFonts w:ascii="Arial" w:cs="Arial" w:eastAsia="Arial" w:hAnsi="Arial"/>
          <w:sz w:val="12"/>
          <w:szCs w:val="12"/>
          <w:color w:val="auto"/>
        </w:rPr>
        <w:t>81,562</w:t>
      </w:r>
    </w:p>
    <w:p>
      <w:pPr>
        <w:spacing w:after="0" w:line="24" w:lineRule="exact"/>
        <w:rPr>
          <w:sz w:val="20"/>
          <w:szCs w:val="20"/>
          <w:color w:val="auto"/>
        </w:rPr>
      </w:pPr>
    </w:p>
    <w:p>
      <w:pPr>
        <w:jc w:val="right"/>
        <w:ind w:right="1080"/>
        <w:spacing w:after="0"/>
        <w:rPr>
          <w:sz w:val="20"/>
          <w:szCs w:val="20"/>
          <w:color w:val="auto"/>
        </w:rPr>
      </w:pPr>
      <w:r>
        <w:rPr>
          <w:rFonts w:ascii="Arial" w:cs="Arial" w:eastAsia="Arial" w:hAnsi="Arial"/>
          <w:sz w:val="12"/>
          <w:szCs w:val="12"/>
          <w:color w:val="auto"/>
        </w:rPr>
        <w:t>851</w:t>
      </w:r>
    </w:p>
    <w:p>
      <w:pPr>
        <w:spacing w:after="0" w:line="15" w:lineRule="exact"/>
        <w:rPr>
          <w:sz w:val="20"/>
          <w:szCs w:val="20"/>
          <w:color w:val="auto"/>
        </w:rPr>
      </w:pPr>
    </w:p>
    <w:p>
      <w:pPr>
        <w:jc w:val="right"/>
        <w:ind w:right="1080"/>
        <w:spacing w:after="0"/>
        <w:rPr>
          <w:sz w:val="20"/>
          <w:szCs w:val="20"/>
          <w:color w:val="auto"/>
        </w:rPr>
      </w:pPr>
      <w:r>
        <w:rPr>
          <w:rFonts w:ascii="Arial" w:cs="Arial" w:eastAsia="Arial" w:hAnsi="Arial"/>
          <w:sz w:val="12"/>
          <w:szCs w:val="12"/>
          <w:color w:val="auto"/>
        </w:rPr>
        <w:t>$ 80,711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9525</wp:posOffset>
            </wp:positionV>
            <wp:extent cx="955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55040" cy="5715"/>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20955</wp:posOffset>
            </wp:positionV>
            <wp:extent cx="955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5504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840" w:space="500"/>
            <w:col w:w="1160" w:space="720"/>
            <w:col w:w="2180"/>
          </w:cols>
          <w:pgMar w:left="220" w:top="127" w:right="279" w:bottom="1440" w:gutter="0" w:footer="0" w:header="0"/>
          <w:type w:val="continuous"/>
        </w:sectPr>
      </w:pPr>
    </w:p>
    <w:p>
      <w:pPr>
        <w:spacing w:after="0" w:line="1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increase in borrowings under the $90.0 million credit facility is related primarily to the payment of $18.6 in related party notes payable related to the Whirlaway acquisition. The majority of the current maturities of long-term debt are borrowings under our $10.0 million short-term swing line used for cash management purposes. As of March 31, 2007, $1,106 of capitalized loan origination cost for both facilities was recorded on the balance sheet within other assets and additions are presented in the Financing Activities section of the Statements of Cash Flows.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We were in compliance with all covenants related to the $90.0 million credit facility and the $40.0 million senior notes as of March 31, 2007.</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127" w:right="279" w:bottom="1440" w:gutter="0" w:footer="0" w:header="0"/>
          <w:type w:val="continuous"/>
        </w:sectPr>
      </w:pPr>
    </w:p>
    <w:bookmarkStart w:id="10" w:name="page11"/>
    <w:bookmarkEnd w:id="10"/>
    <w:p>
      <w:pPr>
        <w:jc w:val="center"/>
        <w:ind w:right="-179"/>
        <w:spacing w:after="0"/>
        <w:rPr>
          <w:sz w:val="20"/>
          <w:szCs w:val="20"/>
          <w:color w:val="auto"/>
        </w:rPr>
      </w:pPr>
      <w:r>
        <w:rPr>
          <w:rFonts w:ascii="Arial" w:cs="Arial" w:eastAsia="Arial" w:hAnsi="Arial"/>
          <w:sz w:val="12"/>
          <w:szCs w:val="12"/>
          <w:b w:val="1"/>
          <w:bCs w:val="1"/>
          <w:color w:val="auto"/>
        </w:rPr>
        <w:t>NN, Inc.</w:t>
      </w:r>
    </w:p>
    <w:p>
      <w:pPr>
        <w:spacing w:after="0" w:line="19"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6"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color w:val="auto"/>
        </w:rPr>
        <w:t>(unaudited)</w:t>
      </w:r>
    </w:p>
    <w:p>
      <w:pPr>
        <w:spacing w:after="0" w:line="177"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As a result of the Company's cash management system including all U.S. operations, checks issued but not presented to the banks for payment may create negative book cash balances. Such negative balances are included in accounts payable and totaled $1,282 as of March 31, 2007.</w:t>
      </w:r>
    </w:p>
    <w:p>
      <w:pPr>
        <w:spacing w:after="0" w:line="174" w:lineRule="exact"/>
        <w:rPr>
          <w:sz w:val="20"/>
          <w:szCs w:val="20"/>
          <w:color w:val="auto"/>
        </w:rPr>
      </w:pPr>
    </w:p>
    <w:p>
      <w:pPr>
        <w:spacing w:after="0"/>
        <w:tabs>
          <w:tab w:leader="none" w:pos="660" w:val="left"/>
        </w:tabs>
        <w:rPr>
          <w:sz w:val="20"/>
          <w:szCs w:val="20"/>
          <w:color w:val="auto"/>
        </w:rPr>
      </w:pPr>
      <w:r>
        <w:rPr>
          <w:rFonts w:ascii="Arial" w:cs="Arial" w:eastAsia="Arial" w:hAnsi="Arial"/>
          <w:sz w:val="12"/>
          <w:szCs w:val="12"/>
          <w:b w:val="1"/>
          <w:bCs w:val="1"/>
          <w:color w:val="auto"/>
        </w:rPr>
        <w:t>Note 9.</w:t>
      </w:r>
      <w:r>
        <w:rPr>
          <w:sz w:val="20"/>
          <w:szCs w:val="20"/>
          <w:color w:val="auto"/>
        </w:rPr>
        <w:tab/>
      </w:r>
      <w:r>
        <w:rPr>
          <w:rFonts w:ascii="Arial" w:cs="Arial" w:eastAsia="Arial" w:hAnsi="Arial"/>
          <w:sz w:val="10"/>
          <w:szCs w:val="10"/>
          <w:b w:val="1"/>
          <w:bCs w:val="1"/>
          <w:color w:val="auto"/>
        </w:rPr>
        <w:t>Goodwill</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color w:val="auto"/>
        </w:rPr>
        <w:t>The changes in the carrying amount of goodwill for the three month period ended March 31, 2007 and the twelve month period ended December 31, 2006 are as follows:</w:t>
      </w:r>
    </w:p>
    <w:p>
      <w:pPr>
        <w:spacing w:after="0" w:line="200" w:lineRule="exact"/>
        <w:rPr>
          <w:sz w:val="20"/>
          <w:szCs w:val="20"/>
          <w:color w:val="auto"/>
        </w:rPr>
      </w:pP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44"/>
        </w:trPr>
        <w:tc>
          <w:tcPr>
            <w:tcW w:w="2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20" w:type="dxa"/>
            <w:vAlign w:val="bottom"/>
          </w:tcPr>
          <w:p>
            <w:pPr>
              <w:jc w:val="center"/>
              <w:ind w:right="200"/>
              <w:spacing w:after="0"/>
              <w:rPr>
                <w:sz w:val="20"/>
                <w:szCs w:val="20"/>
                <w:color w:val="auto"/>
              </w:rPr>
            </w:pPr>
            <w:r>
              <w:rPr>
                <w:rFonts w:ascii="Arial" w:cs="Arial" w:eastAsia="Arial" w:hAnsi="Arial"/>
                <w:sz w:val="12"/>
                <w:szCs w:val="12"/>
                <w:b w:val="1"/>
                <w:bCs w:val="1"/>
                <w:color w:val="auto"/>
                <w:w w:val="91"/>
              </w:rPr>
              <w:t>Plastic and</w:t>
            </w:r>
          </w:p>
        </w:tc>
        <w:tc>
          <w:tcPr>
            <w:tcW w:w="1440" w:type="dxa"/>
            <w:vAlign w:val="bottom"/>
            <w:vMerge w:val="restart"/>
          </w:tcPr>
          <w:p>
            <w:pPr>
              <w:jc w:val="center"/>
              <w:ind w:right="240"/>
              <w:spacing w:after="0"/>
              <w:rPr>
                <w:sz w:val="20"/>
                <w:szCs w:val="20"/>
                <w:color w:val="auto"/>
              </w:rPr>
            </w:pPr>
            <w:r>
              <w:rPr>
                <w:rFonts w:ascii="Arial" w:cs="Arial" w:eastAsia="Arial" w:hAnsi="Arial"/>
                <w:sz w:val="12"/>
                <w:szCs w:val="12"/>
                <w:b w:val="1"/>
                <w:bCs w:val="1"/>
                <w:color w:val="auto"/>
                <w:w w:val="97"/>
              </w:rPr>
              <w:t>Metal</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26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320" w:type="dxa"/>
            <w:vAlign w:val="bottom"/>
            <w:vMerge w:val="restart"/>
          </w:tcPr>
          <w:p>
            <w:pPr>
              <w:jc w:val="center"/>
              <w:ind w:right="200"/>
              <w:spacing w:after="0"/>
              <w:rPr>
                <w:sz w:val="20"/>
                <w:szCs w:val="20"/>
                <w:color w:val="auto"/>
              </w:rPr>
            </w:pPr>
            <w:r>
              <w:rPr>
                <w:rFonts w:ascii="Arial" w:cs="Arial" w:eastAsia="Arial" w:hAnsi="Arial"/>
                <w:sz w:val="12"/>
                <w:szCs w:val="12"/>
                <w:b w:val="1"/>
                <w:bCs w:val="1"/>
                <w:color w:val="auto"/>
                <w:w w:val="90"/>
              </w:rPr>
              <w:t>Rubber</w:t>
            </w:r>
          </w:p>
        </w:tc>
        <w:tc>
          <w:tcPr>
            <w:tcW w:w="144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6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440" w:type="dxa"/>
            <w:vAlign w:val="bottom"/>
            <w:vMerge w:val="restart"/>
          </w:tcPr>
          <w:p>
            <w:pPr>
              <w:jc w:val="center"/>
              <w:ind w:right="220"/>
              <w:spacing w:after="0"/>
              <w:rPr>
                <w:sz w:val="20"/>
                <w:szCs w:val="20"/>
                <w:color w:val="auto"/>
              </w:rPr>
            </w:pPr>
            <w:r>
              <w:rPr>
                <w:rFonts w:ascii="Arial" w:cs="Arial" w:eastAsia="Arial" w:hAnsi="Arial"/>
                <w:sz w:val="12"/>
                <w:szCs w:val="12"/>
                <w:b w:val="1"/>
                <w:bCs w:val="1"/>
                <w:color w:val="auto"/>
                <w:w w:val="88"/>
              </w:rPr>
              <w:t>Bearing Components</w:t>
            </w: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680" w:type="dxa"/>
            <w:vAlign w:val="bottom"/>
          </w:tcPr>
          <w:p>
            <w:pPr>
              <w:spacing w:after="0"/>
              <w:rPr>
                <w:sz w:val="6"/>
                <w:szCs w:val="6"/>
                <w:color w:val="auto"/>
              </w:rPr>
            </w:pPr>
          </w:p>
        </w:tc>
        <w:tc>
          <w:tcPr>
            <w:tcW w:w="27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Precision Metal Components</w:t>
            </w:r>
          </w:p>
        </w:tc>
        <w:tc>
          <w:tcPr>
            <w:tcW w:w="1320" w:type="dxa"/>
            <w:vAlign w:val="bottom"/>
            <w:vMerge w:val="restart"/>
          </w:tcPr>
          <w:p>
            <w:pPr>
              <w:jc w:val="center"/>
              <w:ind w:right="200"/>
              <w:spacing w:after="0"/>
              <w:rPr>
                <w:sz w:val="20"/>
                <w:szCs w:val="20"/>
                <w:color w:val="auto"/>
              </w:rPr>
            </w:pPr>
            <w:r>
              <w:rPr>
                <w:rFonts w:ascii="Arial" w:cs="Arial" w:eastAsia="Arial" w:hAnsi="Arial"/>
                <w:sz w:val="12"/>
                <w:szCs w:val="12"/>
                <w:b w:val="1"/>
                <w:bCs w:val="1"/>
                <w:color w:val="auto"/>
                <w:w w:val="89"/>
              </w:rPr>
              <w:t>Components</w:t>
            </w:r>
          </w:p>
        </w:tc>
        <w:tc>
          <w:tcPr>
            <w:tcW w:w="144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680" w:type="dxa"/>
            <w:vAlign w:val="bottom"/>
          </w:tcPr>
          <w:p>
            <w:pPr>
              <w:spacing w:after="0"/>
              <w:rPr>
                <w:sz w:val="6"/>
                <w:szCs w:val="6"/>
                <w:color w:val="auto"/>
              </w:rPr>
            </w:pPr>
          </w:p>
        </w:tc>
        <w:tc>
          <w:tcPr>
            <w:tcW w:w="2740" w:type="dxa"/>
            <w:vAlign w:val="bottom"/>
            <w:gridSpan w:val="2"/>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440" w:type="dxa"/>
            <w:vAlign w:val="bottom"/>
            <w:vMerge w:val="restart"/>
          </w:tcPr>
          <w:p>
            <w:pPr>
              <w:jc w:val="center"/>
              <w:ind w:right="220"/>
              <w:spacing w:after="0"/>
              <w:rPr>
                <w:sz w:val="20"/>
                <w:szCs w:val="20"/>
                <w:color w:val="auto"/>
              </w:rPr>
            </w:pPr>
            <w:r>
              <w:rPr>
                <w:rFonts w:ascii="Arial" w:cs="Arial" w:eastAsia="Arial" w:hAnsi="Arial"/>
                <w:sz w:val="12"/>
                <w:szCs w:val="12"/>
                <w:b w:val="1"/>
                <w:bCs w:val="1"/>
                <w:color w:val="auto"/>
                <w:w w:val="86"/>
              </w:rPr>
              <w:t>Segment</w:t>
            </w: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680" w:type="dxa"/>
            <w:vAlign w:val="bottom"/>
            <w:vMerge w:val="restart"/>
          </w:tcPr>
          <w:p>
            <w:pPr>
              <w:ind w:left="40"/>
              <w:spacing w:after="0"/>
              <w:rPr>
                <w:sz w:val="20"/>
                <w:szCs w:val="20"/>
                <w:color w:val="auto"/>
              </w:rPr>
            </w:pPr>
            <w:r>
              <w:rPr>
                <w:rFonts w:ascii="Arial" w:cs="Arial" w:eastAsia="Arial" w:hAnsi="Arial"/>
                <w:sz w:val="12"/>
                <w:szCs w:val="12"/>
                <w:color w:val="auto"/>
              </w:rPr>
              <w:t>(In Thousands of Dollars)</w:t>
            </w:r>
          </w:p>
        </w:tc>
        <w:tc>
          <w:tcPr>
            <w:tcW w:w="1040" w:type="dxa"/>
            <w:vAlign w:val="bottom"/>
          </w:tcPr>
          <w:p>
            <w:pPr>
              <w:spacing w:after="0"/>
              <w:rPr>
                <w:sz w:val="7"/>
                <w:szCs w:val="7"/>
                <w:color w:val="auto"/>
              </w:rPr>
            </w:pPr>
          </w:p>
        </w:tc>
        <w:tc>
          <w:tcPr>
            <w:tcW w:w="1700" w:type="dxa"/>
            <w:vAlign w:val="bottom"/>
            <w:vMerge w:val="restart"/>
          </w:tcPr>
          <w:p>
            <w:pPr>
              <w:jc w:val="right"/>
              <w:ind w:right="680"/>
              <w:spacing w:after="0"/>
              <w:rPr>
                <w:sz w:val="20"/>
                <w:szCs w:val="20"/>
                <w:color w:val="auto"/>
              </w:rPr>
            </w:pPr>
            <w:r>
              <w:rPr>
                <w:rFonts w:ascii="Arial" w:cs="Arial" w:eastAsia="Arial" w:hAnsi="Arial"/>
                <w:sz w:val="12"/>
                <w:szCs w:val="12"/>
                <w:b w:val="1"/>
                <w:bCs w:val="1"/>
                <w:color w:val="auto"/>
              </w:rPr>
              <w:t>Segment</w:t>
            </w:r>
          </w:p>
        </w:tc>
        <w:tc>
          <w:tcPr>
            <w:tcW w:w="1320" w:type="dxa"/>
            <w:vAlign w:val="bottom"/>
            <w:vMerge w:val="restart"/>
          </w:tcPr>
          <w:p>
            <w:pPr>
              <w:jc w:val="center"/>
              <w:ind w:right="220"/>
              <w:spacing w:after="0"/>
              <w:rPr>
                <w:sz w:val="20"/>
                <w:szCs w:val="20"/>
                <w:color w:val="auto"/>
              </w:rPr>
            </w:pPr>
            <w:r>
              <w:rPr>
                <w:rFonts w:ascii="Arial" w:cs="Arial" w:eastAsia="Arial" w:hAnsi="Arial"/>
                <w:sz w:val="12"/>
                <w:szCs w:val="12"/>
                <w:b w:val="1"/>
                <w:bCs w:val="1"/>
                <w:color w:val="auto"/>
                <w:w w:val="86"/>
              </w:rPr>
              <w:t>Segment</w:t>
            </w:r>
          </w:p>
        </w:tc>
        <w:tc>
          <w:tcPr>
            <w:tcW w:w="1440" w:type="dxa"/>
            <w:vAlign w:val="bottom"/>
            <w:vMerge w:val="continue"/>
          </w:tcPr>
          <w:p>
            <w:pPr>
              <w:spacing w:after="0"/>
              <w:rPr>
                <w:sz w:val="7"/>
                <w:szCs w:val="7"/>
                <w:color w:val="auto"/>
              </w:rPr>
            </w:pPr>
          </w:p>
        </w:tc>
        <w:tc>
          <w:tcPr>
            <w:tcW w:w="1020" w:type="dxa"/>
            <w:vAlign w:val="bottom"/>
            <w:vMerge w:val="restart"/>
          </w:tcPr>
          <w:p>
            <w:pPr>
              <w:jc w:val="right"/>
              <w:ind w:right="4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72"/>
        </w:trPr>
        <w:tc>
          <w:tcPr>
            <w:tcW w:w="268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vMerge w:val="continue"/>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680" w:type="dxa"/>
            <w:vAlign w:val="bottom"/>
            <w:shd w:val="clear" w:color="auto" w:fill="CCEEFF"/>
          </w:tcPr>
          <w:p>
            <w:pPr>
              <w:ind w:left="40"/>
              <w:spacing w:after="0"/>
              <w:rPr>
                <w:sz w:val="20"/>
                <w:szCs w:val="20"/>
                <w:color w:val="auto"/>
              </w:rPr>
            </w:pPr>
            <w:r>
              <w:rPr>
                <w:rFonts w:ascii="Arial" w:cs="Arial" w:eastAsia="Arial" w:hAnsi="Arial"/>
                <w:sz w:val="12"/>
                <w:szCs w:val="12"/>
                <w:color w:val="auto"/>
              </w:rPr>
              <w:t>Balance as of January 1, 2006</w:t>
            </w:r>
          </w:p>
        </w:tc>
        <w:tc>
          <w:tcPr>
            <w:tcW w:w="2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 --</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$25,755</w:t>
            </w:r>
          </w:p>
        </w:tc>
        <w:tc>
          <w:tcPr>
            <w:tcW w:w="14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$ 15,893</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$41,648</w:t>
            </w:r>
          </w:p>
        </w:tc>
        <w:tc>
          <w:tcPr>
            <w:tcW w:w="0" w:type="dxa"/>
            <w:vAlign w:val="bottom"/>
          </w:tcPr>
          <w:p>
            <w:pPr>
              <w:spacing w:after="0"/>
              <w:rPr>
                <w:sz w:val="1"/>
                <w:szCs w:val="1"/>
                <w:color w:val="auto"/>
              </w:rPr>
            </w:pPr>
          </w:p>
        </w:tc>
      </w:tr>
      <w:tr>
        <w:trPr>
          <w:trHeight w:val="144"/>
        </w:trPr>
        <w:tc>
          <w:tcPr>
            <w:tcW w:w="2680" w:type="dxa"/>
            <w:vAlign w:val="bottom"/>
          </w:tcPr>
          <w:p>
            <w:pPr>
              <w:ind w:left="100"/>
              <w:spacing w:after="0"/>
              <w:rPr>
                <w:sz w:val="20"/>
                <w:szCs w:val="20"/>
                <w:color w:val="auto"/>
              </w:rPr>
            </w:pPr>
            <w:r>
              <w:rPr>
                <w:rFonts w:ascii="Arial" w:cs="Arial" w:eastAsia="Arial" w:hAnsi="Arial"/>
                <w:sz w:val="12"/>
                <w:szCs w:val="12"/>
                <w:color w:val="auto"/>
              </w:rPr>
              <w:t>Goodwill acquired</w:t>
            </w:r>
          </w:p>
        </w:tc>
        <w:tc>
          <w:tcPr>
            <w:tcW w:w="2740" w:type="dxa"/>
            <w:vAlign w:val="bottom"/>
            <w:gridSpan w:val="2"/>
          </w:tcPr>
          <w:p>
            <w:pPr>
              <w:jc w:val="right"/>
              <w:ind w:right="160"/>
              <w:spacing w:after="0"/>
              <w:rPr>
                <w:sz w:val="20"/>
                <w:szCs w:val="20"/>
                <w:color w:val="auto"/>
              </w:rPr>
            </w:pPr>
            <w:r>
              <w:rPr>
                <w:rFonts w:ascii="Arial" w:cs="Arial" w:eastAsia="Arial" w:hAnsi="Arial"/>
                <w:sz w:val="12"/>
                <w:szCs w:val="12"/>
                <w:color w:val="auto"/>
              </w:rPr>
              <w:t>2,352</w:t>
            </w: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14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2,352</w:t>
            </w:r>
          </w:p>
        </w:tc>
        <w:tc>
          <w:tcPr>
            <w:tcW w:w="0" w:type="dxa"/>
            <w:vAlign w:val="bottom"/>
          </w:tcPr>
          <w:p>
            <w:pPr>
              <w:spacing w:after="0"/>
              <w:rPr>
                <w:sz w:val="1"/>
                <w:szCs w:val="1"/>
                <w:color w:val="auto"/>
              </w:rPr>
            </w:pPr>
          </w:p>
        </w:tc>
      </w:tr>
      <w:tr>
        <w:trPr>
          <w:trHeight w:val="158"/>
        </w:trPr>
        <w:tc>
          <w:tcPr>
            <w:tcW w:w="2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Currency impacts</w:t>
            </w:r>
          </w:p>
        </w:tc>
        <w:tc>
          <w:tcPr>
            <w:tcW w:w="1040" w:type="dxa"/>
            <w:vAlign w:val="bottom"/>
            <w:tcBorders>
              <w:bottom w:val="single" w:sz="8" w:color="CCEEFF"/>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2,147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2,147</w:t>
            </w:r>
          </w:p>
        </w:tc>
        <w:tc>
          <w:tcPr>
            <w:tcW w:w="0" w:type="dxa"/>
            <w:vAlign w:val="bottom"/>
          </w:tcPr>
          <w:p>
            <w:pPr>
              <w:spacing w:after="0"/>
              <w:rPr>
                <w:sz w:val="1"/>
                <w:szCs w:val="1"/>
                <w:color w:val="auto"/>
              </w:rPr>
            </w:pPr>
          </w:p>
        </w:tc>
      </w:tr>
      <w:tr>
        <w:trPr>
          <w:trHeight w:val="145"/>
        </w:trPr>
        <w:tc>
          <w:tcPr>
            <w:tcW w:w="2680" w:type="dxa"/>
            <w:vAlign w:val="bottom"/>
          </w:tcPr>
          <w:p>
            <w:pPr>
              <w:ind w:left="40"/>
              <w:spacing w:after="0"/>
              <w:rPr>
                <w:sz w:val="20"/>
                <w:szCs w:val="20"/>
                <w:color w:val="auto"/>
              </w:rPr>
            </w:pPr>
            <w:r>
              <w:rPr>
                <w:rFonts w:ascii="Arial" w:cs="Arial" w:eastAsia="Arial" w:hAnsi="Arial"/>
                <w:sz w:val="12"/>
                <w:szCs w:val="12"/>
                <w:color w:val="auto"/>
              </w:rPr>
              <w:t>Balance as of December 31, 2006</w:t>
            </w:r>
          </w:p>
        </w:tc>
        <w:tc>
          <w:tcPr>
            <w:tcW w:w="2740" w:type="dxa"/>
            <w:vAlign w:val="bottom"/>
            <w:gridSpan w:val="2"/>
          </w:tcPr>
          <w:p>
            <w:pPr>
              <w:jc w:val="right"/>
              <w:ind w:right="160"/>
              <w:spacing w:after="0"/>
              <w:rPr>
                <w:sz w:val="20"/>
                <w:szCs w:val="20"/>
                <w:color w:val="auto"/>
              </w:rPr>
            </w:pPr>
            <w:r>
              <w:rPr>
                <w:rFonts w:ascii="Arial" w:cs="Arial" w:eastAsia="Arial" w:hAnsi="Arial"/>
                <w:sz w:val="12"/>
                <w:szCs w:val="12"/>
                <w:color w:val="auto"/>
              </w:rPr>
              <w:t>$2,352</w:t>
            </w:r>
          </w:p>
        </w:tc>
        <w:tc>
          <w:tcPr>
            <w:tcW w:w="1320" w:type="dxa"/>
            <w:vAlign w:val="bottom"/>
          </w:tcPr>
          <w:p>
            <w:pPr>
              <w:jc w:val="right"/>
              <w:spacing w:after="0"/>
              <w:rPr>
                <w:sz w:val="20"/>
                <w:szCs w:val="20"/>
                <w:color w:val="auto"/>
              </w:rPr>
            </w:pPr>
            <w:r>
              <w:rPr>
                <w:rFonts w:ascii="Arial" w:cs="Arial" w:eastAsia="Arial" w:hAnsi="Arial"/>
                <w:sz w:val="12"/>
                <w:szCs w:val="12"/>
                <w:color w:val="auto"/>
              </w:rPr>
              <w:t>$25,755</w:t>
            </w:r>
          </w:p>
        </w:tc>
        <w:tc>
          <w:tcPr>
            <w:tcW w:w="1440" w:type="dxa"/>
            <w:vAlign w:val="bottom"/>
          </w:tcPr>
          <w:p>
            <w:pPr>
              <w:jc w:val="right"/>
              <w:ind w:right="180"/>
              <w:spacing w:after="0"/>
              <w:rPr>
                <w:sz w:val="20"/>
                <w:szCs w:val="20"/>
                <w:color w:val="auto"/>
              </w:rPr>
            </w:pPr>
            <w:r>
              <w:rPr>
                <w:rFonts w:ascii="Arial" w:cs="Arial" w:eastAsia="Arial" w:hAnsi="Arial"/>
                <w:sz w:val="12"/>
                <w:szCs w:val="12"/>
                <w:color w:val="auto"/>
              </w:rPr>
              <w:t>$18,040</w:t>
            </w:r>
          </w:p>
        </w:tc>
        <w:tc>
          <w:tcPr>
            <w:tcW w:w="1020" w:type="dxa"/>
            <w:vAlign w:val="bottom"/>
          </w:tcPr>
          <w:p>
            <w:pPr>
              <w:jc w:val="right"/>
              <w:spacing w:after="0"/>
              <w:rPr>
                <w:sz w:val="20"/>
                <w:szCs w:val="20"/>
                <w:color w:val="auto"/>
              </w:rPr>
            </w:pPr>
            <w:r>
              <w:rPr>
                <w:rFonts w:ascii="Arial" w:cs="Arial" w:eastAsia="Arial" w:hAnsi="Arial"/>
                <w:sz w:val="12"/>
                <w:szCs w:val="12"/>
                <w:color w:val="auto"/>
              </w:rPr>
              <w:t>$46,147</w:t>
            </w:r>
          </w:p>
        </w:tc>
        <w:tc>
          <w:tcPr>
            <w:tcW w:w="0" w:type="dxa"/>
            <w:vAlign w:val="bottom"/>
          </w:tcPr>
          <w:p>
            <w:pPr>
              <w:spacing w:after="0"/>
              <w:rPr>
                <w:sz w:val="1"/>
                <w:szCs w:val="1"/>
                <w:color w:val="auto"/>
              </w:rPr>
            </w:pPr>
          </w:p>
        </w:tc>
      </w:tr>
      <w:tr>
        <w:trPr>
          <w:trHeight w:val="144"/>
        </w:trPr>
        <w:tc>
          <w:tcPr>
            <w:tcW w:w="2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80"/>
          </w:cols>
          <w:pgMar w:left="220" w:top="127" w:right="399" w:bottom="1440" w:gutter="0" w:footer="0" w:header="0"/>
        </w:sectPr>
      </w:pPr>
    </w:p>
    <w:p>
      <w:pPr>
        <w:ind w:left="1180"/>
        <w:spacing w:after="0"/>
        <w:rPr>
          <w:sz w:val="20"/>
          <w:szCs w:val="20"/>
          <w:color w:val="auto"/>
        </w:rPr>
      </w:pPr>
      <w:r>
        <w:rPr>
          <w:rFonts w:ascii="Arial" w:cs="Arial" w:eastAsia="Arial" w:hAnsi="Arial"/>
          <w:sz w:val="11"/>
          <w:szCs w:val="11"/>
          <w:color w:val="auto"/>
        </w:rPr>
        <w:t>Balance of January 1, 2007</w:t>
      </w:r>
    </w:p>
    <w:p>
      <w:pPr>
        <w:spacing w:after="0" w:line="18"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Goodwill acquired</w:t>
      </w:r>
    </w:p>
    <w:p>
      <w:pPr>
        <w:spacing w:after="0" w:line="6"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Currency impacts</w:t>
      </w:r>
    </w:p>
    <w:p>
      <w:pPr>
        <w:spacing w:after="0" w:line="24" w:lineRule="exact"/>
        <w:rPr>
          <w:sz w:val="20"/>
          <w:szCs w:val="20"/>
          <w:color w:val="auto"/>
        </w:rPr>
      </w:pPr>
    </w:p>
    <w:p>
      <w:pPr>
        <w:ind w:left="1180"/>
        <w:spacing w:after="0"/>
        <w:rPr>
          <w:sz w:val="20"/>
          <w:szCs w:val="20"/>
          <w:color w:val="auto"/>
        </w:rPr>
      </w:pPr>
      <w:r>
        <w:rPr>
          <w:rFonts w:ascii="Arial" w:cs="Arial" w:eastAsia="Arial" w:hAnsi="Arial"/>
          <w:sz w:val="10"/>
          <w:szCs w:val="10"/>
          <w:color w:val="auto"/>
        </w:rPr>
        <w:t>Balance as of March 31, 2007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2040" w:type="dxa"/>
            <w:vAlign w:val="bottom"/>
          </w:tcPr>
          <w:p>
            <w:pPr>
              <w:jc w:val="right"/>
              <w:ind w:right="500"/>
              <w:spacing w:after="0" w:line="136" w:lineRule="exact"/>
              <w:rPr>
                <w:sz w:val="20"/>
                <w:szCs w:val="20"/>
                <w:color w:val="auto"/>
              </w:rPr>
            </w:pPr>
            <w:r>
              <w:rPr>
                <w:rFonts w:ascii="Arial" w:cs="Arial" w:eastAsia="Arial" w:hAnsi="Arial"/>
                <w:sz w:val="12"/>
                <w:szCs w:val="12"/>
                <w:color w:val="auto"/>
              </w:rPr>
              <w:t>$ 2,352</w:t>
            </w:r>
          </w:p>
        </w:tc>
        <w:tc>
          <w:tcPr>
            <w:tcW w:w="1340" w:type="dxa"/>
            <w:vAlign w:val="bottom"/>
          </w:tcPr>
          <w:p>
            <w:pPr>
              <w:jc w:val="right"/>
              <w:ind w:right="340"/>
              <w:spacing w:after="0" w:line="136" w:lineRule="exact"/>
              <w:rPr>
                <w:sz w:val="20"/>
                <w:szCs w:val="20"/>
                <w:color w:val="auto"/>
              </w:rPr>
            </w:pPr>
            <w:r>
              <w:rPr>
                <w:rFonts w:ascii="Arial" w:cs="Arial" w:eastAsia="Arial" w:hAnsi="Arial"/>
                <w:sz w:val="12"/>
                <w:szCs w:val="12"/>
                <w:color w:val="auto"/>
              </w:rPr>
              <w:t>$25,755</w:t>
            </w:r>
          </w:p>
        </w:tc>
        <w:tc>
          <w:tcPr>
            <w:tcW w:w="1260" w:type="dxa"/>
            <w:vAlign w:val="bottom"/>
          </w:tcPr>
          <w:p>
            <w:pPr>
              <w:jc w:val="right"/>
              <w:ind w:right="360"/>
              <w:spacing w:after="0" w:line="136" w:lineRule="exact"/>
              <w:rPr>
                <w:sz w:val="20"/>
                <w:szCs w:val="20"/>
                <w:color w:val="auto"/>
              </w:rPr>
            </w:pPr>
            <w:r>
              <w:rPr>
                <w:rFonts w:ascii="Arial" w:cs="Arial" w:eastAsia="Arial" w:hAnsi="Arial"/>
                <w:sz w:val="12"/>
                <w:szCs w:val="12"/>
                <w:color w:val="auto"/>
              </w:rPr>
              <w:t>$18,040</w:t>
            </w:r>
          </w:p>
        </w:tc>
        <w:tc>
          <w:tcPr>
            <w:tcW w:w="840" w:type="dxa"/>
            <w:vAlign w:val="bottom"/>
          </w:tcPr>
          <w:p>
            <w:pPr>
              <w:jc w:val="right"/>
              <w:spacing w:after="0" w:line="136" w:lineRule="exact"/>
              <w:rPr>
                <w:sz w:val="20"/>
                <w:szCs w:val="20"/>
                <w:color w:val="auto"/>
              </w:rPr>
            </w:pPr>
            <w:r>
              <w:rPr>
                <w:rFonts w:ascii="Arial" w:cs="Arial" w:eastAsia="Arial" w:hAnsi="Arial"/>
                <w:sz w:val="12"/>
                <w:szCs w:val="12"/>
                <w:color w:val="auto"/>
              </w:rPr>
              <w:t>$46,147</w:t>
            </w:r>
          </w:p>
        </w:tc>
      </w:tr>
      <w:tr>
        <w:trPr>
          <w:trHeight w:val="153"/>
        </w:trPr>
        <w:tc>
          <w:tcPr>
            <w:tcW w:w="2040" w:type="dxa"/>
            <w:vAlign w:val="bottom"/>
          </w:tcPr>
          <w:p>
            <w:pPr>
              <w:jc w:val="right"/>
              <w:ind w:right="500"/>
              <w:spacing w:after="0"/>
              <w:rPr>
                <w:sz w:val="20"/>
                <w:szCs w:val="20"/>
                <w:color w:val="auto"/>
              </w:rPr>
            </w:pPr>
            <w:r>
              <w:rPr>
                <w:rFonts w:ascii="Arial" w:cs="Arial" w:eastAsia="Arial" w:hAnsi="Arial"/>
                <w:sz w:val="12"/>
                <w:szCs w:val="12"/>
                <w:color w:val="auto"/>
              </w:rPr>
              <w:t>25</w:t>
            </w:r>
          </w:p>
        </w:tc>
        <w:tc>
          <w:tcPr>
            <w:tcW w:w="1340" w:type="dxa"/>
            <w:vAlign w:val="bottom"/>
          </w:tcPr>
          <w:p>
            <w:pPr>
              <w:jc w:val="right"/>
              <w:ind w:right="34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25</w:t>
            </w:r>
          </w:p>
        </w:tc>
      </w:tr>
      <w:tr>
        <w:trPr>
          <w:trHeight w:val="158"/>
        </w:trPr>
        <w:tc>
          <w:tcPr>
            <w:tcW w:w="20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w:t>
            </w:r>
          </w:p>
        </w:tc>
        <w:tc>
          <w:tcPr>
            <w:tcW w:w="126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247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247</w:t>
            </w:r>
          </w:p>
        </w:tc>
      </w:tr>
      <w:tr>
        <w:trPr>
          <w:trHeight w:val="145"/>
        </w:trPr>
        <w:tc>
          <w:tcPr>
            <w:tcW w:w="20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color w:val="auto"/>
              </w:rPr>
              <w:t>$2,377</w:t>
            </w:r>
          </w:p>
        </w:tc>
        <w:tc>
          <w:tcPr>
            <w:tcW w:w="134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$25,755</w:t>
            </w:r>
          </w:p>
        </w:tc>
        <w:tc>
          <w:tcPr>
            <w:tcW w:w="126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$ 18,287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$46,419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-2358390</wp:posOffset>
            </wp:positionH>
            <wp:positionV relativeFrom="paragraph">
              <wp:posOffset>-307975</wp:posOffset>
            </wp:positionV>
            <wp:extent cx="5833745" cy="91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33745" cy="91440"/>
                    </a:xfrm>
                    <a:prstGeom prst="rect">
                      <a:avLst/>
                    </a:prstGeom>
                    <a:noFill/>
                  </pic:spPr>
                </pic:pic>
              </a:graphicData>
            </a:graphic>
          </wp:anchor>
        </w:drawing>
        <w:drawing>
          <wp:anchor simplePos="0" relativeHeight="251657728" behindDoc="1" locked="0" layoutInCell="0" allowOverlap="1">
            <wp:simplePos x="0" y="0"/>
            <wp:positionH relativeFrom="column">
              <wp:posOffset>-2358390</wp:posOffset>
            </wp:positionH>
            <wp:positionV relativeFrom="paragraph">
              <wp:posOffset>-107950</wp:posOffset>
            </wp:positionV>
            <wp:extent cx="5833745" cy="1085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33745" cy="108585"/>
                    </a:xfrm>
                    <a:prstGeom prst="rect">
                      <a:avLst/>
                    </a:prstGeom>
                    <a:noFill/>
                  </pic:spPr>
                </pic:pic>
              </a:graphicData>
            </a:graphic>
          </wp:anchor>
        </w:drawing>
      </w:r>
    </w:p>
    <w:p>
      <w:pPr>
        <w:spacing w:after="0" w:line="153" w:lineRule="exact"/>
        <w:rPr>
          <w:sz w:val="20"/>
          <w:szCs w:val="20"/>
          <w:color w:val="auto"/>
        </w:rPr>
      </w:pPr>
    </w:p>
    <w:p>
      <w:pPr>
        <w:sectPr>
          <w:pgSz w:w="11900" w:h="16838" w:orient="portrait"/>
          <w:cols w:equalWidth="0" w:num="2">
            <w:col w:w="4140" w:space="720"/>
            <w:col w:w="6420"/>
          </w:cols>
          <w:pgMar w:left="220" w:top="127" w:right="399" w:bottom="1440" w:gutter="0" w:footer="0" w:header="0"/>
          <w:type w:val="continuous"/>
        </w:sectPr>
      </w:pPr>
    </w:p>
    <w:p>
      <w:pPr>
        <w:spacing w:after="0"/>
        <w:rPr>
          <w:sz w:val="20"/>
          <w:szCs w:val="20"/>
          <w:color w:val="auto"/>
        </w:rPr>
      </w:pPr>
      <w:r>
        <w:rPr>
          <w:rFonts w:ascii="Arial" w:cs="Arial" w:eastAsia="Arial" w:hAnsi="Arial"/>
          <w:sz w:val="12"/>
          <w:szCs w:val="12"/>
          <w:color w:val="auto"/>
        </w:rPr>
        <w:t>The addition of the $25 in the quarter ended March 31, 2007 related to legal cost paid subsequent to the year ended December 31, 2006 for the acquisition of Whirlaway.</w:t>
      </w:r>
    </w:p>
    <w:p>
      <w:pPr>
        <w:spacing w:after="0" w:line="209" w:lineRule="exact"/>
        <w:rPr>
          <w:sz w:val="20"/>
          <w:szCs w:val="20"/>
          <w:color w:val="auto"/>
        </w:rPr>
      </w:pPr>
    </w:p>
    <w:p>
      <w:pPr>
        <w:spacing w:after="0"/>
        <w:tabs>
          <w:tab w:leader="none" w:pos="720" w:val="left"/>
        </w:tabs>
        <w:rPr>
          <w:sz w:val="20"/>
          <w:szCs w:val="20"/>
          <w:color w:val="auto"/>
        </w:rPr>
      </w:pPr>
      <w:r>
        <w:rPr>
          <w:rFonts w:ascii="Arial" w:cs="Arial" w:eastAsia="Arial" w:hAnsi="Arial"/>
          <w:sz w:val="12"/>
          <w:szCs w:val="12"/>
          <w:b w:val="1"/>
          <w:bCs w:val="1"/>
          <w:color w:val="auto"/>
        </w:rPr>
        <w:t>Note 10.</w:t>
      </w:r>
      <w:r>
        <w:rPr>
          <w:sz w:val="20"/>
          <w:szCs w:val="20"/>
          <w:color w:val="auto"/>
        </w:rPr>
        <w:tab/>
      </w:r>
      <w:r>
        <w:rPr>
          <w:rFonts w:ascii="Arial" w:cs="Arial" w:eastAsia="Arial" w:hAnsi="Arial"/>
          <w:sz w:val="10"/>
          <w:szCs w:val="10"/>
          <w:b w:val="1"/>
          <w:bCs w:val="1"/>
          <w:color w:val="auto"/>
        </w:rPr>
        <w:t>Intangible assets, net of amortization</w:t>
      </w:r>
    </w:p>
    <w:p>
      <w:pPr>
        <w:spacing w:after="0" w:line="379" w:lineRule="exact"/>
        <w:rPr>
          <w:sz w:val="20"/>
          <w:szCs w:val="20"/>
          <w:color w:val="auto"/>
        </w:rPr>
      </w:pPr>
    </w:p>
    <w:tbl>
      <w:tblPr>
        <w:tblLayout w:type="fixed"/>
        <w:tblInd w:w="114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620" w:type="dxa"/>
            <w:vAlign w:val="bottom"/>
          </w:tcPr>
          <w:p>
            <w:pPr>
              <w:jc w:val="right"/>
              <w:ind w:right="60"/>
              <w:spacing w:after="0"/>
              <w:rPr>
                <w:sz w:val="20"/>
                <w:szCs w:val="20"/>
                <w:color w:val="auto"/>
              </w:rPr>
            </w:pPr>
            <w:r>
              <w:rPr>
                <w:rFonts w:ascii="Arial" w:cs="Arial" w:eastAsia="Arial" w:hAnsi="Arial"/>
                <w:sz w:val="12"/>
                <w:szCs w:val="12"/>
                <w:color w:val="auto"/>
                <w:w w:val="96"/>
              </w:rPr>
              <w:t>Precision Metal Components</w:t>
            </w:r>
          </w:p>
        </w:tc>
        <w:tc>
          <w:tcPr>
            <w:tcW w:w="1740" w:type="dxa"/>
            <w:vAlign w:val="bottom"/>
            <w:gridSpan w:val="2"/>
          </w:tcPr>
          <w:p>
            <w:pPr>
              <w:jc w:val="right"/>
              <w:ind w:right="300"/>
              <w:spacing w:after="0"/>
              <w:rPr>
                <w:sz w:val="20"/>
                <w:szCs w:val="20"/>
                <w:color w:val="auto"/>
              </w:rPr>
            </w:pPr>
            <w:r>
              <w:rPr>
                <w:rFonts w:ascii="Arial" w:cs="Arial" w:eastAsia="Arial" w:hAnsi="Arial"/>
                <w:sz w:val="12"/>
                <w:szCs w:val="12"/>
                <w:color w:val="auto"/>
                <w:w w:val="93"/>
              </w:rPr>
              <w:t>Metal Bearing Components</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40" w:type="dxa"/>
            <w:vAlign w:val="bottom"/>
            <w:gridSpan w:val="2"/>
          </w:tcPr>
          <w:p>
            <w:pPr>
              <w:spacing w:after="0"/>
              <w:rPr>
                <w:sz w:val="20"/>
                <w:szCs w:val="20"/>
                <w:color w:val="auto"/>
              </w:rPr>
            </w:pPr>
            <w:r>
              <w:rPr>
                <w:rFonts w:ascii="Arial" w:cs="Arial" w:eastAsia="Arial" w:hAnsi="Arial"/>
                <w:sz w:val="12"/>
                <w:szCs w:val="12"/>
                <w:color w:val="auto"/>
              </w:rPr>
              <w:t>(In Thousands of Dollars)</w:t>
            </w:r>
          </w:p>
        </w:tc>
        <w:tc>
          <w:tcPr>
            <w:tcW w:w="1620" w:type="dxa"/>
            <w:vAlign w:val="bottom"/>
          </w:tcPr>
          <w:p>
            <w:pPr>
              <w:jc w:val="right"/>
              <w:ind w:right="560"/>
              <w:spacing w:after="0"/>
              <w:rPr>
                <w:sz w:val="20"/>
                <w:szCs w:val="20"/>
                <w:color w:val="auto"/>
              </w:rPr>
            </w:pPr>
            <w:r>
              <w:rPr>
                <w:rFonts w:ascii="Arial" w:cs="Arial" w:eastAsia="Arial" w:hAnsi="Arial"/>
                <w:sz w:val="12"/>
                <w:szCs w:val="12"/>
                <w:color w:val="auto"/>
              </w:rPr>
              <w:t>Segment</w:t>
            </w:r>
          </w:p>
        </w:tc>
        <w:tc>
          <w:tcPr>
            <w:tcW w:w="320" w:type="dxa"/>
            <w:vAlign w:val="bottom"/>
          </w:tcPr>
          <w:p>
            <w:pPr>
              <w:spacing w:after="0"/>
              <w:rPr>
                <w:sz w:val="13"/>
                <w:szCs w:val="13"/>
                <w:color w:val="auto"/>
              </w:rPr>
            </w:pPr>
          </w:p>
        </w:tc>
        <w:tc>
          <w:tcPr>
            <w:tcW w:w="1420" w:type="dxa"/>
            <w:vAlign w:val="bottom"/>
          </w:tcPr>
          <w:p>
            <w:pPr>
              <w:jc w:val="right"/>
              <w:ind w:right="740"/>
              <w:spacing w:after="0"/>
              <w:rPr>
                <w:sz w:val="20"/>
                <w:szCs w:val="20"/>
                <w:color w:val="auto"/>
              </w:rPr>
            </w:pPr>
            <w:r>
              <w:rPr>
                <w:rFonts w:ascii="Arial" w:cs="Arial" w:eastAsia="Arial" w:hAnsi="Arial"/>
                <w:sz w:val="12"/>
                <w:szCs w:val="12"/>
                <w:color w:val="auto"/>
              </w:rPr>
              <w:t>Segment</w:t>
            </w:r>
          </w:p>
        </w:tc>
        <w:tc>
          <w:tcPr>
            <w:tcW w:w="1100" w:type="dxa"/>
            <w:vAlign w:val="bottom"/>
          </w:tcPr>
          <w:p>
            <w:pPr>
              <w:jc w:val="right"/>
              <w:ind w:right="50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Balance as of January 1, 2006</w:t>
            </w:r>
          </w:p>
        </w:tc>
        <w:tc>
          <w:tcPr>
            <w:tcW w:w="16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 --</w:t>
            </w:r>
          </w:p>
        </w:tc>
        <w:tc>
          <w:tcPr>
            <w:tcW w:w="320" w:type="dxa"/>
            <w:vAlign w:val="bottom"/>
            <w:tcBorders>
              <w:top w:val="single" w:sz="8" w:color="auto"/>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$ 474</w:t>
            </w:r>
          </w:p>
        </w:tc>
        <w:tc>
          <w:tcPr>
            <w:tcW w:w="11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$ 474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20" w:type="dxa"/>
            <w:vAlign w:val="bottom"/>
          </w:tcPr>
          <w:p>
            <w:pPr>
              <w:ind w:left="80"/>
              <w:spacing w:after="0"/>
              <w:rPr>
                <w:sz w:val="20"/>
                <w:szCs w:val="20"/>
                <w:color w:val="auto"/>
              </w:rPr>
            </w:pPr>
            <w:r>
              <w:rPr>
                <w:rFonts w:ascii="Arial" w:cs="Arial" w:eastAsia="Arial" w:hAnsi="Arial"/>
                <w:sz w:val="12"/>
                <w:szCs w:val="12"/>
                <w:color w:val="auto"/>
              </w:rPr>
              <w:t>Acquisition of Intangibles</w:t>
            </w:r>
          </w:p>
        </w:tc>
        <w:tc>
          <w:tcPr>
            <w:tcW w:w="1620" w:type="dxa"/>
            <w:vAlign w:val="bottom"/>
          </w:tcPr>
          <w:p>
            <w:pPr>
              <w:jc w:val="right"/>
              <w:spacing w:after="0"/>
              <w:rPr>
                <w:sz w:val="20"/>
                <w:szCs w:val="20"/>
                <w:color w:val="auto"/>
              </w:rPr>
            </w:pPr>
            <w:r>
              <w:rPr>
                <w:rFonts w:ascii="Arial" w:cs="Arial" w:eastAsia="Arial" w:hAnsi="Arial"/>
                <w:sz w:val="12"/>
                <w:szCs w:val="12"/>
                <w:color w:val="auto"/>
              </w:rPr>
              <w:t>7,180</w:t>
            </w:r>
          </w:p>
        </w:tc>
        <w:tc>
          <w:tcPr>
            <w:tcW w:w="320" w:type="dxa"/>
            <w:vAlign w:val="bottom"/>
          </w:tcPr>
          <w:p>
            <w:pPr>
              <w:spacing w:after="0"/>
              <w:rPr>
                <w:sz w:val="12"/>
                <w:szCs w:val="12"/>
                <w:color w:val="auto"/>
              </w:rPr>
            </w:pPr>
          </w:p>
        </w:tc>
        <w:tc>
          <w:tcPr>
            <w:tcW w:w="1420" w:type="dxa"/>
            <w:vAlign w:val="bottom"/>
          </w:tcPr>
          <w:p>
            <w:pPr>
              <w:jc w:val="right"/>
              <w:ind w:right="220"/>
              <w:spacing w:after="0"/>
              <w:rPr>
                <w:sz w:val="20"/>
                <w:szCs w:val="20"/>
                <w:color w:val="auto"/>
              </w:rPr>
            </w:pPr>
            <w:r>
              <w:rPr>
                <w:rFonts w:ascii="Arial" w:cs="Arial" w:eastAsia="Arial" w:hAnsi="Arial"/>
                <w:sz w:val="12"/>
                <w:szCs w:val="12"/>
                <w:color w:val="auto"/>
              </w:rPr>
              <w:t>1,855</w:t>
            </w:r>
          </w:p>
        </w:tc>
        <w:tc>
          <w:tcPr>
            <w:tcW w:w="1100" w:type="dxa"/>
            <w:vAlign w:val="bottom"/>
          </w:tcPr>
          <w:p>
            <w:pPr>
              <w:jc w:val="right"/>
              <w:spacing w:after="0"/>
              <w:rPr>
                <w:sz w:val="20"/>
                <w:szCs w:val="20"/>
                <w:color w:val="auto"/>
              </w:rPr>
            </w:pPr>
            <w:r>
              <w:rPr>
                <w:rFonts w:ascii="Arial" w:cs="Arial" w:eastAsia="Arial" w:hAnsi="Arial"/>
                <w:sz w:val="12"/>
                <w:szCs w:val="12"/>
                <w:color w:val="auto"/>
              </w:rPr>
              <w:t>9,035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Amortization</w:t>
            </w: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32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(402)</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720" w:type="dxa"/>
            <w:vAlign w:val="bottom"/>
          </w:tcPr>
          <w:p>
            <w:pPr>
              <w:ind w:left="80"/>
              <w:spacing w:after="0"/>
              <w:rPr>
                <w:sz w:val="20"/>
                <w:szCs w:val="20"/>
                <w:color w:val="auto"/>
              </w:rPr>
            </w:pPr>
            <w:r>
              <w:rPr>
                <w:rFonts w:ascii="Arial" w:cs="Arial" w:eastAsia="Arial" w:hAnsi="Arial"/>
                <w:sz w:val="12"/>
                <w:szCs w:val="12"/>
                <w:color w:val="auto"/>
              </w:rPr>
              <w:t>Currency impacts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163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as of December 31, 2006</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$ 7,141</w:t>
            </w:r>
          </w:p>
        </w:tc>
        <w:tc>
          <w:tcPr>
            <w:tcW w:w="32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rPr>
              <w:t>$ 2,090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$ 9,231</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720" w:type="dxa"/>
            <w:vAlign w:val="bottom"/>
          </w:tcPr>
          <w:p>
            <w:pPr>
              <w:spacing w:after="0"/>
              <w:rPr>
                <w:sz w:val="15"/>
                <w:szCs w:val="15"/>
                <w:color w:val="auto"/>
              </w:rPr>
            </w:pPr>
          </w:p>
        </w:tc>
        <w:tc>
          <w:tcPr>
            <w:tcW w:w="1940" w:type="dxa"/>
            <w:vAlign w:val="bottom"/>
            <w:gridSpan w:val="2"/>
          </w:tcPr>
          <w:p>
            <w:pPr>
              <w:spacing w:after="0"/>
              <w:rPr>
                <w:sz w:val="15"/>
                <w:szCs w:val="15"/>
                <w:color w:val="auto"/>
              </w:rPr>
            </w:pPr>
          </w:p>
        </w:tc>
        <w:tc>
          <w:tcPr>
            <w:tcW w:w="1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Balance as of January 1, 2007</w:t>
            </w:r>
          </w:p>
        </w:tc>
        <w:tc>
          <w:tcPr>
            <w:tcW w:w="1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$ 7,141</w:t>
            </w:r>
          </w:p>
        </w:tc>
        <w:tc>
          <w:tcPr>
            <w:tcW w:w="142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$ 2,090</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$ 9,231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20" w:type="dxa"/>
            <w:vAlign w:val="bottom"/>
          </w:tcPr>
          <w:p>
            <w:pPr>
              <w:ind w:left="80"/>
              <w:spacing w:after="0"/>
              <w:rPr>
                <w:sz w:val="20"/>
                <w:szCs w:val="20"/>
                <w:color w:val="auto"/>
              </w:rPr>
            </w:pPr>
            <w:r>
              <w:rPr>
                <w:rFonts w:ascii="Arial" w:cs="Arial" w:eastAsia="Arial" w:hAnsi="Arial"/>
                <w:sz w:val="12"/>
                <w:szCs w:val="12"/>
                <w:color w:val="auto"/>
              </w:rPr>
              <w:t>Acquisition of Intangibles</w:t>
            </w:r>
          </w:p>
        </w:tc>
        <w:tc>
          <w:tcPr>
            <w:tcW w:w="1620" w:type="dxa"/>
            <w:vAlign w:val="bottom"/>
          </w:tcPr>
          <w:p>
            <w:pPr>
              <w:spacing w:after="0"/>
              <w:rPr>
                <w:sz w:val="12"/>
                <w:szCs w:val="12"/>
                <w:color w:val="auto"/>
              </w:rPr>
            </w:pPr>
          </w:p>
        </w:tc>
        <w:tc>
          <w:tcPr>
            <w:tcW w:w="32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220"/>
              <w:spacing w:after="0"/>
              <w:rPr>
                <w:sz w:val="20"/>
                <w:szCs w:val="20"/>
                <w:color w:val="auto"/>
              </w:rPr>
            </w:pPr>
            <w:r>
              <w:rPr>
                <w:rFonts w:ascii="Arial" w:cs="Arial" w:eastAsia="Arial" w:hAnsi="Arial"/>
                <w:sz w:val="12"/>
                <w:szCs w:val="12"/>
                <w:color w:val="auto"/>
              </w:rPr>
              <w:t>66</w:t>
            </w:r>
          </w:p>
        </w:tc>
        <w:tc>
          <w:tcPr>
            <w:tcW w:w="1100" w:type="dxa"/>
            <w:vAlign w:val="bottom"/>
          </w:tcPr>
          <w:p>
            <w:pPr>
              <w:jc w:val="right"/>
              <w:spacing w:after="0"/>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Amortization</w:t>
            </w:r>
          </w:p>
        </w:tc>
        <w:tc>
          <w:tcPr>
            <w:tcW w:w="1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(119)</w:t>
            </w:r>
          </w:p>
        </w:tc>
        <w:tc>
          <w:tcPr>
            <w:tcW w:w="142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(133)</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720" w:type="dxa"/>
            <w:vAlign w:val="bottom"/>
          </w:tcPr>
          <w:p>
            <w:pPr>
              <w:ind w:left="80"/>
              <w:spacing w:after="0"/>
              <w:rPr>
                <w:sz w:val="20"/>
                <w:szCs w:val="20"/>
                <w:color w:val="auto"/>
              </w:rPr>
            </w:pPr>
            <w:r>
              <w:rPr>
                <w:rFonts w:ascii="Arial" w:cs="Arial" w:eastAsia="Arial" w:hAnsi="Arial"/>
                <w:sz w:val="12"/>
                <w:szCs w:val="12"/>
                <w:color w:val="auto"/>
              </w:rPr>
              <w:t>Currency impacts</w:t>
            </w:r>
          </w:p>
        </w:tc>
        <w:tc>
          <w:tcPr>
            <w:tcW w:w="16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142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52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as of March 31, 2007</w:t>
            </w:r>
          </w:p>
        </w:tc>
        <w:tc>
          <w:tcPr>
            <w:tcW w:w="19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$ 7,022</w:t>
            </w:r>
          </w:p>
        </w:tc>
        <w:tc>
          <w:tcPr>
            <w:tcW w:w="14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rPr>
              <w:t>$ 2,075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$ 9,097</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Of the intangible assets within the Precision Metal Components Segment, the majority of the value is customer relationship intangibles with an estimated fair value of $6,900. This intangible asset has an estimated useful life of 20 years and $87 of amortization expense was recorded in 2007. The remaining balance is made up of a covenant not to compete of $150 and a favorable leasehold interest of $130. These items are amortizable over two and two and a half years, respectively, and $19 and $13 in amortization expense was recorded in 2007. The accumulated amortization related to all of these intangible assets at March 31, 2007 was $158. Also in the Precision Metal Components Segment is an intangible asset not subject to amortization of $900 related to the value of the trade names of Whirlaway. The Company is still in the process of finalizing the valuation of these intangible assets.</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80"/>
          </w:cols>
          <w:pgMar w:left="220" w:top="127" w:right="399" w:bottom="1440" w:gutter="0" w:footer="0" w:header="0"/>
          <w:type w:val="continuous"/>
        </w:sectPr>
      </w:pPr>
    </w:p>
    <w:bookmarkStart w:id="11" w:name="page12"/>
    <w:bookmarkEnd w:id="11"/>
    <w:p>
      <w:pPr>
        <w:jc w:val="center"/>
        <w:ind w:right="-7"/>
        <w:spacing w:after="0"/>
        <w:rPr>
          <w:sz w:val="20"/>
          <w:szCs w:val="20"/>
          <w:color w:val="auto"/>
        </w:rPr>
      </w:pPr>
      <w:r>
        <w:rPr>
          <w:rFonts w:ascii="Arial" w:cs="Arial" w:eastAsia="Arial" w:hAnsi="Arial"/>
          <w:sz w:val="12"/>
          <w:szCs w:val="12"/>
          <w:b w:val="1"/>
          <w:bCs w:val="1"/>
          <w:color w:val="auto"/>
        </w:rPr>
        <w:t>NN, Inc.</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(unaudited)</w:t>
      </w:r>
    </w:p>
    <w:p>
      <w:pPr>
        <w:spacing w:after="0" w:line="177" w:lineRule="exact"/>
        <w:rPr>
          <w:sz w:val="20"/>
          <w:szCs w:val="20"/>
          <w:color w:val="auto"/>
        </w:rPr>
      </w:pPr>
    </w:p>
    <w:p>
      <w:pPr>
        <w:ind w:left="8" w:right="120"/>
        <w:spacing w:after="0" w:line="323" w:lineRule="auto"/>
        <w:rPr>
          <w:sz w:val="20"/>
          <w:szCs w:val="20"/>
          <w:color w:val="auto"/>
        </w:rPr>
      </w:pPr>
      <w:r>
        <w:rPr>
          <w:rFonts w:ascii="Arial" w:cs="Arial" w:eastAsia="Arial" w:hAnsi="Arial"/>
          <w:sz w:val="11"/>
          <w:szCs w:val="11"/>
          <w:color w:val="auto"/>
        </w:rPr>
        <w:t>The intangible asset within the Metal Bearing Components Segment is a contract intangible related to the SNR purchase agreement and related supply agreement. This intangible asset is subject to amortization over approximately 5 years and amortization expense will approximate $500 for each of the five years. For the three months ended March 31, 2007, the amortization expense totaled $133 and accumulated amortization totaled $577 at March 31, 2007.</w:t>
      </w:r>
    </w:p>
    <w:p>
      <w:pPr>
        <w:spacing w:after="0" w:line="151" w:lineRule="exact"/>
        <w:rPr>
          <w:sz w:val="20"/>
          <w:szCs w:val="20"/>
          <w:color w:val="auto"/>
        </w:rPr>
      </w:pPr>
    </w:p>
    <w:p>
      <w:pPr>
        <w:ind w:left="8"/>
        <w:spacing w:after="0"/>
        <w:tabs>
          <w:tab w:leader="none" w:pos="708" w:val="left"/>
        </w:tabs>
        <w:rPr>
          <w:sz w:val="20"/>
          <w:szCs w:val="20"/>
          <w:color w:val="auto"/>
        </w:rPr>
      </w:pPr>
      <w:r>
        <w:rPr>
          <w:rFonts w:ascii="Arial" w:cs="Arial" w:eastAsia="Arial" w:hAnsi="Arial"/>
          <w:sz w:val="12"/>
          <w:szCs w:val="12"/>
          <w:b w:val="1"/>
          <w:bCs w:val="1"/>
          <w:color w:val="auto"/>
        </w:rPr>
        <w:t>Note 11.</w:t>
      </w:r>
      <w:r>
        <w:rPr>
          <w:sz w:val="20"/>
          <w:szCs w:val="20"/>
          <w:color w:val="auto"/>
        </w:rPr>
        <w:tab/>
      </w:r>
      <w:r>
        <w:rPr>
          <w:rFonts w:ascii="Arial" w:cs="Arial" w:eastAsia="Arial" w:hAnsi="Arial"/>
          <w:sz w:val="10"/>
          <w:szCs w:val="10"/>
          <w:b w:val="1"/>
          <w:bCs w:val="1"/>
          <w:color w:val="auto"/>
        </w:rPr>
        <w:t>Stock Compensation</w:t>
      </w:r>
    </w:p>
    <w:p>
      <w:pPr>
        <w:spacing w:after="0" w:line="199" w:lineRule="exact"/>
        <w:rPr>
          <w:sz w:val="20"/>
          <w:szCs w:val="20"/>
          <w:color w:val="auto"/>
        </w:rPr>
      </w:pPr>
    </w:p>
    <w:p>
      <w:pPr>
        <w:ind w:left="8" w:right="140"/>
        <w:spacing w:after="0" w:line="259" w:lineRule="auto"/>
        <w:rPr>
          <w:sz w:val="20"/>
          <w:szCs w:val="20"/>
          <w:color w:val="auto"/>
        </w:rPr>
      </w:pPr>
      <w:r>
        <w:rPr>
          <w:rFonts w:ascii="Arial" w:cs="Arial" w:eastAsia="Arial" w:hAnsi="Arial"/>
          <w:sz w:val="12"/>
          <w:szCs w:val="12"/>
          <w:color w:val="auto"/>
        </w:rPr>
        <w:t>In the three month periods ended March 31, 2007 and 2006, approximately $134 and $103, respectively, of compensation expense was recognized in selling, general and administrative expense for all share-based awards. The cost recognized related to the restricted stock awards for the three month periods was $13 and $103, respectively. The compensation expense recognized related to stock options during the three month periods ended March 31, 2007 and 2006 was $121 and $0, respectively. The impact on net income of all stock compensation expense in the three months ended March 31, 2007 and 2006 was approximately $129, net of tax benefits of $5 and $66 net of tax benefits of $37, respectively.</w:t>
      </w:r>
    </w:p>
    <w:p>
      <w:pPr>
        <w:spacing w:after="0" w:line="161" w:lineRule="exact"/>
        <w:rPr>
          <w:sz w:val="20"/>
          <w:szCs w:val="20"/>
          <w:color w:val="auto"/>
        </w:rPr>
      </w:pPr>
    </w:p>
    <w:p>
      <w:pPr>
        <w:ind w:left="8" w:right="260"/>
        <w:spacing w:after="0" w:line="276" w:lineRule="auto"/>
        <w:rPr>
          <w:sz w:val="20"/>
          <w:szCs w:val="20"/>
          <w:color w:val="auto"/>
        </w:rPr>
      </w:pPr>
      <w:r>
        <w:rPr>
          <w:rFonts w:ascii="Arial" w:cs="Arial" w:eastAsia="Arial" w:hAnsi="Arial"/>
          <w:sz w:val="12"/>
          <w:szCs w:val="12"/>
          <w:color w:val="auto"/>
        </w:rPr>
        <w:t>On March 1, 2007, the Company granted 30,000 options to certain employees of Whirlaway. The fair value of the options cannot be determined by market value as our options are not traded in an open market. Accordingly, a financial pricing model is utilized to determine fair value. The Company utilizes the Black Scholes model which relies on certain assumptions to estimate an option's fair value.</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provides a reconciliation of option activity for the three month period ended March 31, 2007:</w:t>
      </w:r>
    </w:p>
    <w:p>
      <w:pPr>
        <w:spacing w:after="0" w:line="362" w:lineRule="exact"/>
        <w:rPr>
          <w:sz w:val="20"/>
          <w:szCs w:val="20"/>
          <w:color w:val="auto"/>
        </w:rPr>
      </w:pPr>
    </w:p>
    <w:tbl>
      <w:tblPr>
        <w:tblLayout w:type="fixed"/>
        <w:tblInd w:w="114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w w:val="91"/>
              </w:rPr>
              <w:t>Weighted-Average</w:t>
            </w: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right"/>
              <w:ind w:right="60"/>
              <w:spacing w:after="0"/>
              <w:rPr>
                <w:sz w:val="20"/>
                <w:szCs w:val="20"/>
                <w:color w:val="auto"/>
              </w:rPr>
            </w:pPr>
            <w:r>
              <w:rPr>
                <w:rFonts w:ascii="Arial" w:cs="Arial" w:eastAsia="Arial" w:hAnsi="Arial"/>
                <w:sz w:val="12"/>
                <w:szCs w:val="12"/>
                <w:b w:val="1"/>
                <w:bCs w:val="1"/>
                <w:color w:val="auto"/>
                <w:w w:val="96"/>
              </w:rPr>
              <w:t>Weighted-Average</w:t>
            </w:r>
          </w:p>
        </w:tc>
        <w:tc>
          <w:tcPr>
            <w:tcW w:w="26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w w:val="91"/>
              </w:rPr>
              <w:t>Remaining Contractual</w:t>
            </w:r>
          </w:p>
        </w:tc>
        <w:tc>
          <w:tcPr>
            <w:tcW w:w="260" w:type="dxa"/>
            <w:vAlign w:val="bottom"/>
          </w:tcPr>
          <w:p>
            <w:pPr>
              <w:spacing w:after="0"/>
              <w:rPr>
                <w:sz w:val="12"/>
                <w:szCs w:val="12"/>
                <w:color w:val="auto"/>
              </w:rPr>
            </w:pPr>
          </w:p>
        </w:tc>
        <w:tc>
          <w:tcPr>
            <w:tcW w:w="1440" w:type="dxa"/>
            <w:vAlign w:val="bottom"/>
          </w:tcPr>
          <w:p>
            <w:pPr>
              <w:jc w:val="right"/>
              <w:ind w:right="22"/>
              <w:spacing w:after="0"/>
              <w:rPr>
                <w:sz w:val="20"/>
                <w:szCs w:val="20"/>
                <w:color w:val="auto"/>
              </w:rPr>
            </w:pPr>
            <w:r>
              <w:rPr>
                <w:rFonts w:ascii="Arial" w:cs="Arial" w:eastAsia="Arial" w:hAnsi="Arial"/>
                <w:sz w:val="12"/>
                <w:szCs w:val="12"/>
                <w:b w:val="1"/>
                <w:bCs w:val="1"/>
                <w:color w:val="auto"/>
                <w:w w:val="92"/>
              </w:rPr>
              <w:t>Aggregate Intrinsic Value</w:t>
            </w:r>
          </w:p>
        </w:tc>
      </w:tr>
      <w:tr>
        <w:trPr>
          <w:trHeight w:val="157"/>
        </w:trPr>
        <w:tc>
          <w:tcPr>
            <w:tcW w:w="20" w:type="dxa"/>
            <w:vAlign w:val="bottom"/>
          </w:tcPr>
          <w:p>
            <w:pPr>
              <w:spacing w:after="0"/>
              <w:rPr>
                <w:sz w:val="13"/>
                <w:szCs w:val="13"/>
                <w:color w:val="auto"/>
              </w:rPr>
            </w:pPr>
          </w:p>
        </w:tc>
        <w:tc>
          <w:tcPr>
            <w:tcW w:w="3600" w:type="dxa"/>
            <w:vAlign w:val="bottom"/>
            <w:tcBorders>
              <w:bottom w:val="single" w:sz="8" w:color="auto"/>
            </w:tcBorders>
          </w:tcPr>
          <w:p>
            <w:pPr>
              <w:ind w:left="1460"/>
              <w:spacing w:after="0"/>
              <w:rPr>
                <w:sz w:val="20"/>
                <w:szCs w:val="20"/>
                <w:color w:val="auto"/>
              </w:rPr>
            </w:pPr>
            <w:r>
              <w:rPr>
                <w:rFonts w:ascii="Arial" w:cs="Arial" w:eastAsia="Arial" w:hAnsi="Arial"/>
                <w:sz w:val="12"/>
                <w:szCs w:val="12"/>
                <w:b w:val="1"/>
                <w:bCs w:val="1"/>
                <w:color w:val="auto"/>
              </w:rPr>
              <w:t>Options</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Shares (000)</w:t>
            </w: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Exercise Price</w:t>
            </w: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Term</w:t>
            </w:r>
          </w:p>
        </w:tc>
        <w:tc>
          <w:tcPr>
            <w:tcW w:w="1700" w:type="dxa"/>
            <w:vAlign w:val="bottom"/>
            <w:tcBorders>
              <w:bottom w:val="single" w:sz="8" w:color="auto"/>
            </w:tcBorders>
            <w:gridSpan w:val="2"/>
          </w:tcPr>
          <w:p>
            <w:pPr>
              <w:jc w:val="right"/>
              <w:ind w:right="522"/>
              <w:spacing w:after="0"/>
              <w:rPr>
                <w:sz w:val="20"/>
                <w:szCs w:val="20"/>
                <w:color w:val="auto"/>
              </w:rPr>
            </w:pPr>
            <w:r>
              <w:rPr>
                <w:rFonts w:ascii="Arial" w:cs="Arial" w:eastAsia="Arial" w:hAnsi="Arial"/>
                <w:sz w:val="12"/>
                <w:szCs w:val="12"/>
                <w:b w:val="1"/>
                <w:bCs w:val="1"/>
                <w:color w:val="auto"/>
              </w:rPr>
              <w:t>($000)</w:t>
            </w:r>
          </w:p>
        </w:tc>
      </w:tr>
      <w:tr>
        <w:trPr>
          <w:trHeight w:val="151"/>
        </w:trPr>
        <w:tc>
          <w:tcPr>
            <w:tcW w:w="20" w:type="dxa"/>
            <w:vAlign w:val="bottom"/>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2"/>
                <w:szCs w:val="12"/>
                <w:color w:val="auto"/>
              </w:rPr>
              <w:t>Outstanding at January 1, 2007</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$ 9.81</w:t>
            </w: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2"/>
                <w:szCs w:val="12"/>
                <w:color w:val="auto"/>
              </w:rPr>
              <w:t>Granted</w:t>
            </w:r>
          </w:p>
        </w:tc>
        <w:tc>
          <w:tcPr>
            <w:tcW w:w="900" w:type="dxa"/>
            <w:vAlign w:val="bottom"/>
          </w:tcPr>
          <w:p>
            <w:pPr>
              <w:jc w:val="right"/>
              <w:spacing w:after="0"/>
              <w:rPr>
                <w:sz w:val="20"/>
                <w:szCs w:val="20"/>
                <w:color w:val="auto"/>
              </w:rPr>
            </w:pPr>
            <w:r>
              <w:rPr>
                <w:rFonts w:ascii="Arial" w:cs="Arial" w:eastAsia="Arial" w:hAnsi="Arial"/>
                <w:sz w:val="12"/>
                <w:szCs w:val="12"/>
                <w:color w:val="auto"/>
              </w:rPr>
              <w:t>30</w:t>
            </w:r>
          </w:p>
        </w:tc>
        <w:tc>
          <w:tcPr>
            <w:tcW w:w="1420" w:type="dxa"/>
            <w:vAlign w:val="bottom"/>
            <w:gridSpan w:val="2"/>
          </w:tcPr>
          <w:p>
            <w:pPr>
              <w:jc w:val="right"/>
              <w:spacing w:after="0"/>
              <w:rPr>
                <w:sz w:val="20"/>
                <w:szCs w:val="20"/>
                <w:color w:val="auto"/>
              </w:rPr>
            </w:pPr>
            <w:r>
              <w:rPr>
                <w:rFonts w:ascii="Arial" w:cs="Arial" w:eastAsia="Arial" w:hAnsi="Arial"/>
                <w:sz w:val="12"/>
                <w:szCs w:val="12"/>
                <w:color w:val="auto"/>
              </w:rPr>
              <w:t>$ 11.69</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2"/>
                <w:szCs w:val="12"/>
                <w:color w:val="auto"/>
              </w:rPr>
              <w:t>Exercised</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$ 10.06</w:t>
            </w: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2"/>
                <w:szCs w:val="12"/>
                <w:color w:val="auto"/>
              </w:rPr>
              <w:t>Forfeited or expired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67"/>
        </w:trPr>
        <w:tc>
          <w:tcPr>
            <w:tcW w:w="20" w:type="dxa"/>
            <w:vAlign w:val="bottom"/>
          </w:tcPr>
          <w:p>
            <w:pPr>
              <w:spacing w:after="0"/>
              <w:rPr>
                <w:sz w:val="14"/>
                <w:szCs w:val="14"/>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Outstanding at March 31, 2007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1,471</w:t>
            </w:r>
          </w:p>
        </w:tc>
        <w:tc>
          <w:tcPr>
            <w:tcW w:w="2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$ 9.85</w:t>
            </w:r>
          </w:p>
        </w:tc>
        <w:tc>
          <w:tcPr>
            <w:tcW w:w="26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5.95</w:t>
            </w:r>
          </w:p>
        </w:tc>
        <w:tc>
          <w:tcPr>
            <w:tcW w:w="2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line="160" w:lineRule="exact"/>
              <w:rPr>
                <w:sz w:val="20"/>
                <w:szCs w:val="20"/>
                <w:color w:val="auto"/>
              </w:rPr>
            </w:pPr>
            <w:r>
              <w:rPr>
                <w:rFonts w:ascii="Arial" w:cs="Arial" w:eastAsia="Arial" w:hAnsi="Arial"/>
                <w:sz w:val="11"/>
                <w:szCs w:val="11"/>
                <w:color w:val="auto"/>
              </w:rPr>
              <w:t xml:space="preserve">$ 3,888 </w:t>
            </w:r>
            <w:r>
              <w:rPr>
                <w:rFonts w:ascii="Arial" w:cs="Arial" w:eastAsia="Arial" w:hAnsi="Arial"/>
                <w:sz w:val="18"/>
                <w:szCs w:val="18"/>
                <w:color w:val="auto"/>
                <w:vertAlign w:val="superscript"/>
              </w:rPr>
              <w:t>(1)</w:t>
            </w:r>
          </w:p>
        </w:tc>
      </w:tr>
      <w:tr>
        <w:trPr>
          <w:trHeight w:val="178"/>
        </w:trPr>
        <w:tc>
          <w:tcPr>
            <w:tcW w:w="2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2"/>
                <w:szCs w:val="12"/>
                <w:color w:val="auto"/>
              </w:rPr>
              <w:t>Exercisable at March 31, 2007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1,269</w:t>
            </w:r>
          </w:p>
        </w:tc>
        <w:tc>
          <w:tcPr>
            <w:tcW w:w="26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$ 9.58</w:t>
            </w:r>
          </w:p>
        </w:tc>
        <w:tc>
          <w:tcPr>
            <w:tcW w:w="260" w:type="dxa"/>
            <w:vAlign w:val="bottom"/>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5.38</w:t>
            </w:r>
          </w:p>
        </w:tc>
        <w:tc>
          <w:tcPr>
            <w:tcW w:w="260" w:type="dxa"/>
            <w:vAlign w:val="bottom"/>
          </w:tcPr>
          <w:p>
            <w:pPr>
              <w:spacing w:after="0"/>
              <w:rPr>
                <w:sz w:val="15"/>
                <w:szCs w:val="15"/>
                <w:color w:val="auto"/>
              </w:rPr>
            </w:pPr>
          </w:p>
        </w:tc>
        <w:tc>
          <w:tcPr>
            <w:tcW w:w="144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2"/>
                <w:szCs w:val="12"/>
                <w:color w:val="auto"/>
              </w:rPr>
              <w:t xml:space="preserve">$ 3,697 </w:t>
            </w:r>
            <w:r>
              <w:rPr>
                <w:rFonts w:ascii="Arial" w:cs="Arial" w:eastAsia="Arial" w:hAnsi="Arial"/>
                <w:sz w:val="19"/>
                <w:szCs w:val="19"/>
                <w:color w:val="auto"/>
                <w:vertAlign w:val="superscript"/>
              </w:rPr>
              <w:t>(1)</w:t>
            </w:r>
          </w:p>
        </w:tc>
      </w:tr>
    </w:tbl>
    <w:p>
      <w:pPr>
        <w:spacing w:after="0" w:line="144" w:lineRule="exact"/>
        <w:rPr>
          <w:sz w:val="20"/>
          <w:szCs w:val="20"/>
          <w:color w:val="auto"/>
        </w:rPr>
      </w:pPr>
    </w:p>
    <w:p>
      <w:pPr>
        <w:ind w:left="148" w:hanging="148"/>
        <w:spacing w:after="0"/>
        <w:tabs>
          <w:tab w:leader="none" w:pos="148" w:val="left"/>
        </w:tabs>
        <w:numPr>
          <w:ilvl w:val="0"/>
          <w:numId w:val="3"/>
        </w:numPr>
        <w:rPr>
          <w:rFonts w:ascii="Arial" w:cs="Arial" w:eastAsia="Arial" w:hAnsi="Arial"/>
          <w:sz w:val="18"/>
          <w:szCs w:val="18"/>
          <w:color w:val="auto"/>
          <w:vertAlign w:val="superscript"/>
        </w:rPr>
      </w:pPr>
      <w:r>
        <w:rPr>
          <w:rFonts w:ascii="Arial" w:cs="Arial" w:eastAsia="Arial" w:hAnsi="Arial"/>
          <w:sz w:val="11"/>
          <w:szCs w:val="11"/>
          <w:color w:val="auto"/>
        </w:rPr>
        <w:t>Intrinsic value is the amount by which the market price of the stock exceeds the exercise price of the options at March 31, 2007.</w:t>
      </w:r>
    </w:p>
    <w:p>
      <w:pPr>
        <w:spacing w:after="0" w:line="3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Restricted Stock Awards</w:t>
      </w:r>
    </w:p>
    <w:p>
      <w:pPr>
        <w:spacing w:after="0" w:line="190" w:lineRule="exact"/>
        <w:rPr>
          <w:sz w:val="20"/>
          <w:szCs w:val="20"/>
          <w:color w:val="auto"/>
        </w:rPr>
      </w:pPr>
    </w:p>
    <w:p>
      <w:pPr>
        <w:jc w:val="both"/>
        <w:ind w:left="8" w:right="220"/>
        <w:spacing w:after="0" w:line="298" w:lineRule="auto"/>
        <w:rPr>
          <w:sz w:val="20"/>
          <w:szCs w:val="20"/>
          <w:color w:val="auto"/>
        </w:rPr>
      </w:pPr>
      <w:r>
        <w:rPr>
          <w:rFonts w:ascii="Arial" w:cs="Arial" w:eastAsia="Arial" w:hAnsi="Arial"/>
          <w:sz w:val="11"/>
          <w:szCs w:val="11"/>
          <w:color w:val="auto"/>
        </w:rPr>
        <w:t>The recognized compensation costs before tax for restricted stock awards in the three month periods ended March 31, 2007 and 2006 were approximately $13 and $103, respectively. The unrecognized compensation cost before tax for these awards at March 31, 2007 and 2006 total approximately $103 and $364, respectively, to be recognized over approximately one and two years, respectively. As of March 31, 2007, the actual cumulative forfeiture rate of the awards granted was approximately 10%. Below is a summary of the status of the non-vested restricted stock as of March 31, 2007 and changes during the three month period ended March 31, 2007:</w:t>
      </w:r>
    </w:p>
    <w:p>
      <w:pPr>
        <w:spacing w:after="0" w:line="137"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11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740" w:type="dxa"/>
            <w:vAlign w:val="bottom"/>
          </w:tcPr>
          <w:p>
            <w:pPr>
              <w:jc w:val="right"/>
              <w:ind w:right="1400"/>
              <w:spacing w:after="0"/>
              <w:rPr>
                <w:sz w:val="20"/>
                <w:szCs w:val="20"/>
                <w:color w:val="auto"/>
              </w:rPr>
            </w:pPr>
            <w:r>
              <w:rPr>
                <w:rFonts w:ascii="Arial" w:cs="Arial" w:eastAsia="Arial" w:hAnsi="Arial"/>
                <w:sz w:val="12"/>
                <w:szCs w:val="12"/>
                <w:b w:val="1"/>
                <w:bCs w:val="1"/>
                <w:color w:val="auto"/>
              </w:rPr>
              <w:t>Weighted-</w:t>
            </w:r>
          </w:p>
        </w:tc>
        <w:tc>
          <w:tcPr>
            <w:tcW w:w="1140" w:type="dxa"/>
            <w:vAlign w:val="bottom"/>
          </w:tcPr>
          <w:p>
            <w:pPr>
              <w:spacing w:after="0"/>
              <w:rPr>
                <w:sz w:val="12"/>
                <w:szCs w:val="12"/>
                <w:color w:val="auto"/>
              </w:rPr>
            </w:pPr>
          </w:p>
        </w:tc>
      </w:tr>
      <w:tr>
        <w:trPr>
          <w:trHeight w:val="144"/>
        </w:trPr>
        <w:tc>
          <w:tcPr>
            <w:tcW w:w="11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740" w:type="dxa"/>
            <w:vAlign w:val="bottom"/>
          </w:tcPr>
          <w:p>
            <w:pPr>
              <w:jc w:val="right"/>
              <w:ind w:right="1260"/>
              <w:spacing w:after="0"/>
              <w:rPr>
                <w:sz w:val="20"/>
                <w:szCs w:val="20"/>
                <w:color w:val="auto"/>
              </w:rPr>
            </w:pPr>
            <w:r>
              <w:rPr>
                <w:rFonts w:ascii="Arial" w:cs="Arial" w:eastAsia="Arial" w:hAnsi="Arial"/>
                <w:sz w:val="12"/>
                <w:szCs w:val="12"/>
                <w:b w:val="1"/>
                <w:bCs w:val="1"/>
                <w:color w:val="auto"/>
              </w:rPr>
              <w:t>Average Grant-</w:t>
            </w:r>
          </w:p>
        </w:tc>
        <w:tc>
          <w:tcPr>
            <w:tcW w:w="1140" w:type="dxa"/>
            <w:vAlign w:val="bottom"/>
          </w:tcPr>
          <w:p>
            <w:pPr>
              <w:spacing w:after="0"/>
              <w:rPr>
                <w:sz w:val="12"/>
                <w:szCs w:val="12"/>
                <w:color w:val="auto"/>
              </w:rPr>
            </w:pPr>
          </w:p>
        </w:tc>
      </w:tr>
      <w:tr>
        <w:trPr>
          <w:trHeight w:val="157"/>
        </w:trPr>
        <w:tc>
          <w:tcPr>
            <w:tcW w:w="1140" w:type="dxa"/>
            <w:vAlign w:val="bottom"/>
          </w:tcPr>
          <w:p>
            <w:pPr>
              <w:spacing w:after="0"/>
              <w:rPr>
                <w:sz w:val="13"/>
                <w:szCs w:val="13"/>
                <w:color w:val="auto"/>
              </w:rPr>
            </w:pPr>
          </w:p>
        </w:tc>
        <w:tc>
          <w:tcPr>
            <w:tcW w:w="4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Shares (000)</w:t>
            </w:r>
          </w:p>
        </w:tc>
        <w:tc>
          <w:tcPr>
            <w:tcW w:w="3740" w:type="dxa"/>
            <w:vAlign w:val="bottom"/>
            <w:tcBorders>
              <w:bottom w:val="single" w:sz="8" w:color="auto"/>
            </w:tcBorders>
          </w:tcPr>
          <w:p>
            <w:pPr>
              <w:jc w:val="right"/>
              <w:ind w:right="1260"/>
              <w:spacing w:after="0"/>
              <w:rPr>
                <w:sz w:val="20"/>
                <w:szCs w:val="20"/>
                <w:color w:val="auto"/>
              </w:rPr>
            </w:pPr>
            <w:r>
              <w:rPr>
                <w:rFonts w:ascii="Arial" w:cs="Arial" w:eastAsia="Arial" w:hAnsi="Arial"/>
                <w:sz w:val="12"/>
                <w:szCs w:val="12"/>
                <w:b w:val="1"/>
                <w:bCs w:val="1"/>
                <w:color w:val="auto"/>
              </w:rPr>
              <w:t>Date Fair Value</w:t>
            </w:r>
          </w:p>
        </w:tc>
        <w:tc>
          <w:tcPr>
            <w:tcW w:w="1140" w:type="dxa"/>
            <w:vAlign w:val="bottom"/>
          </w:tcPr>
          <w:p>
            <w:pPr>
              <w:spacing w:after="0"/>
              <w:rPr>
                <w:sz w:val="13"/>
                <w:szCs w:val="13"/>
                <w:color w:val="auto"/>
              </w:rPr>
            </w:pPr>
          </w:p>
        </w:tc>
      </w:tr>
      <w:tr>
        <w:trPr>
          <w:trHeight w:val="142"/>
        </w:trPr>
        <w:tc>
          <w:tcPr>
            <w:tcW w:w="1140" w:type="dxa"/>
            <w:vAlign w:val="bottom"/>
          </w:tcPr>
          <w:p>
            <w:pPr>
              <w:spacing w:after="0"/>
              <w:rPr>
                <w:sz w:val="12"/>
                <w:szCs w:val="12"/>
                <w:color w:val="auto"/>
              </w:rPr>
            </w:pPr>
          </w:p>
        </w:tc>
        <w:tc>
          <w:tcPr>
            <w:tcW w:w="4360" w:type="dxa"/>
            <w:vAlign w:val="bottom"/>
          </w:tcPr>
          <w:p>
            <w:pPr>
              <w:spacing w:after="0"/>
              <w:rPr>
                <w:sz w:val="20"/>
                <w:szCs w:val="20"/>
                <w:color w:val="auto"/>
              </w:rPr>
            </w:pPr>
            <w:r>
              <w:rPr>
                <w:rFonts w:ascii="Arial" w:cs="Arial" w:eastAsia="Arial" w:hAnsi="Arial"/>
                <w:sz w:val="12"/>
                <w:szCs w:val="12"/>
                <w:color w:val="auto"/>
              </w:rPr>
              <w:t>Non-vested at January 1, 2007</w:t>
            </w:r>
          </w:p>
        </w:tc>
        <w:tc>
          <w:tcPr>
            <w:tcW w:w="1100" w:type="dxa"/>
            <w:vAlign w:val="bottom"/>
          </w:tcPr>
          <w:p>
            <w:pPr>
              <w:jc w:val="right"/>
              <w:spacing w:after="0"/>
              <w:rPr>
                <w:sz w:val="20"/>
                <w:szCs w:val="20"/>
                <w:color w:val="auto"/>
              </w:rPr>
            </w:pPr>
            <w:r>
              <w:rPr>
                <w:rFonts w:ascii="Arial" w:cs="Arial" w:eastAsia="Arial" w:hAnsi="Arial"/>
                <w:sz w:val="12"/>
                <w:szCs w:val="12"/>
                <w:color w:val="auto"/>
              </w:rPr>
              <w:t>33</w:t>
            </w:r>
          </w:p>
        </w:tc>
        <w:tc>
          <w:tcPr>
            <w:tcW w:w="3740" w:type="dxa"/>
            <w:vAlign w:val="bottom"/>
          </w:tcPr>
          <w:p>
            <w:pPr>
              <w:jc w:val="right"/>
              <w:spacing w:after="0"/>
              <w:rPr>
                <w:sz w:val="20"/>
                <w:szCs w:val="20"/>
                <w:color w:val="auto"/>
              </w:rPr>
            </w:pPr>
            <w:r>
              <w:rPr>
                <w:rFonts w:ascii="Arial" w:cs="Arial" w:eastAsia="Arial" w:hAnsi="Arial"/>
                <w:sz w:val="12"/>
                <w:szCs w:val="12"/>
                <w:color w:val="auto"/>
              </w:rPr>
              <w:t>$ 12.70</w:t>
            </w:r>
          </w:p>
        </w:tc>
        <w:tc>
          <w:tcPr>
            <w:tcW w:w="1140" w:type="dxa"/>
            <w:vAlign w:val="bottom"/>
          </w:tcPr>
          <w:p>
            <w:pPr>
              <w:spacing w:after="0"/>
              <w:rPr>
                <w:sz w:val="12"/>
                <w:szCs w:val="12"/>
                <w:color w:val="auto"/>
              </w:rPr>
            </w:pPr>
          </w:p>
        </w:tc>
      </w:tr>
      <w:tr>
        <w:trPr>
          <w:trHeight w:val="162"/>
        </w:trPr>
        <w:tc>
          <w:tcPr>
            <w:tcW w:w="5500" w:type="dxa"/>
            <w:vAlign w:val="bottom"/>
            <w:gridSpan w:val="2"/>
          </w:tcPr>
          <w:p>
            <w:pPr>
              <w:ind w:left="1140"/>
              <w:spacing w:after="0"/>
              <w:rPr>
                <w:sz w:val="20"/>
                <w:szCs w:val="20"/>
                <w:color w:val="auto"/>
              </w:rPr>
            </w:pPr>
            <w:r>
              <w:rPr>
                <w:rFonts w:ascii="Arial" w:cs="Arial" w:eastAsia="Arial" w:hAnsi="Arial"/>
                <w:sz w:val="12"/>
                <w:szCs w:val="12"/>
                <w:color w:val="auto"/>
              </w:rPr>
              <w:t>Granted</w:t>
            </w: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3740" w:type="dxa"/>
            <w:vAlign w:val="bottom"/>
          </w:tcPr>
          <w:p>
            <w:pPr>
              <w:jc w:val="right"/>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4"/>
                <w:szCs w:val="14"/>
                <w:color w:val="auto"/>
              </w:rPr>
            </w:pPr>
          </w:p>
        </w:tc>
      </w:tr>
      <w:tr>
        <w:trPr>
          <w:trHeight w:val="162"/>
        </w:trPr>
        <w:tc>
          <w:tcPr>
            <w:tcW w:w="5500" w:type="dxa"/>
            <w:vAlign w:val="bottom"/>
            <w:gridSpan w:val="2"/>
          </w:tcPr>
          <w:p>
            <w:pPr>
              <w:ind w:left="1140"/>
              <w:spacing w:after="0"/>
              <w:rPr>
                <w:sz w:val="20"/>
                <w:szCs w:val="20"/>
                <w:color w:val="auto"/>
              </w:rPr>
            </w:pPr>
            <w:r>
              <w:rPr>
                <w:rFonts w:ascii="Arial" w:cs="Arial" w:eastAsia="Arial" w:hAnsi="Arial"/>
                <w:sz w:val="12"/>
                <w:szCs w:val="12"/>
                <w:color w:val="auto"/>
              </w:rPr>
              <w:t>Vested</w:t>
            </w: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3740" w:type="dxa"/>
            <w:vAlign w:val="bottom"/>
          </w:tcPr>
          <w:p>
            <w:pPr>
              <w:jc w:val="right"/>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4"/>
                <w:szCs w:val="14"/>
                <w:color w:val="auto"/>
              </w:rPr>
            </w:pPr>
          </w:p>
        </w:tc>
      </w:tr>
      <w:tr>
        <w:trPr>
          <w:trHeight w:val="189"/>
        </w:trPr>
        <w:tc>
          <w:tcPr>
            <w:tcW w:w="5500" w:type="dxa"/>
            <w:vAlign w:val="bottom"/>
            <w:gridSpan w:val="2"/>
          </w:tcPr>
          <w:p>
            <w:pPr>
              <w:ind w:left="1140"/>
              <w:spacing w:after="0"/>
              <w:rPr>
                <w:sz w:val="20"/>
                <w:szCs w:val="20"/>
                <w:color w:val="auto"/>
              </w:rPr>
            </w:pPr>
            <w:r>
              <w:rPr>
                <w:rFonts w:ascii="Arial" w:cs="Arial" w:eastAsia="Arial" w:hAnsi="Arial"/>
                <w:sz w:val="12"/>
                <w:szCs w:val="12"/>
                <w:color w:val="auto"/>
              </w:rPr>
              <w:t>Forfeited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3740" w:type="dxa"/>
            <w:vAlign w:val="bottom"/>
          </w:tcPr>
          <w:p>
            <w:pPr>
              <w:jc w:val="right"/>
              <w:spacing w:after="0"/>
              <w:rPr>
                <w:sz w:val="20"/>
                <w:szCs w:val="20"/>
                <w:color w:val="auto"/>
              </w:rPr>
            </w:pPr>
            <w:r>
              <w:rPr>
                <w:rFonts w:ascii="Arial" w:cs="Arial" w:eastAsia="Arial" w:hAnsi="Arial"/>
                <w:sz w:val="12"/>
                <w:szCs w:val="12"/>
                <w:color w:val="auto"/>
              </w:rPr>
              <w:t>$12.70</w:t>
            </w:r>
          </w:p>
        </w:tc>
        <w:tc>
          <w:tcPr>
            <w:tcW w:w="1140" w:type="dxa"/>
            <w:vAlign w:val="bottom"/>
          </w:tcPr>
          <w:p>
            <w:pPr>
              <w:spacing w:after="0"/>
              <w:rPr>
                <w:sz w:val="16"/>
                <w:szCs w:val="16"/>
                <w:color w:val="auto"/>
              </w:rPr>
            </w:pPr>
          </w:p>
        </w:tc>
      </w:tr>
      <w:tr>
        <w:trPr>
          <w:trHeight w:val="158"/>
        </w:trPr>
        <w:tc>
          <w:tcPr>
            <w:tcW w:w="5500" w:type="dxa"/>
            <w:vAlign w:val="bottom"/>
            <w:gridSpan w:val="2"/>
          </w:tcPr>
          <w:p>
            <w:pPr>
              <w:ind w:left="1140"/>
              <w:spacing w:after="0" w:line="133" w:lineRule="exact"/>
              <w:rPr>
                <w:sz w:val="20"/>
                <w:szCs w:val="20"/>
                <w:color w:val="auto"/>
              </w:rPr>
            </w:pPr>
            <w:r>
              <w:rPr>
                <w:rFonts w:ascii="Arial" w:cs="Arial" w:eastAsia="Arial" w:hAnsi="Arial"/>
                <w:sz w:val="12"/>
                <w:szCs w:val="12"/>
                <w:color w:val="auto"/>
              </w:rPr>
              <w:t>Non-vested at March 31, 2007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w:t>
            </w:r>
          </w:p>
        </w:tc>
        <w:tc>
          <w:tcPr>
            <w:tcW w:w="3740" w:type="dxa"/>
            <w:vAlign w:val="bottom"/>
          </w:tcPr>
          <w:p>
            <w:pPr>
              <w:jc w:val="right"/>
              <w:spacing w:after="0"/>
              <w:rPr>
                <w:sz w:val="20"/>
                <w:szCs w:val="20"/>
                <w:color w:val="auto"/>
              </w:rPr>
            </w:pPr>
            <w:r>
              <w:rPr>
                <w:rFonts w:ascii="Arial" w:cs="Arial" w:eastAsia="Arial" w:hAnsi="Arial"/>
                <w:sz w:val="12"/>
                <w:szCs w:val="12"/>
                <w:color w:val="auto"/>
              </w:rPr>
              <w:t>$ 12.70</w:t>
            </w:r>
          </w:p>
        </w:tc>
        <w:tc>
          <w:tcPr>
            <w:tcW w:w="1140" w:type="dxa"/>
            <w:vAlign w:val="bottom"/>
          </w:tcPr>
          <w:p>
            <w:pPr>
              <w:spacing w:after="0"/>
              <w:rPr>
                <w:sz w:val="13"/>
                <w:szCs w:val="13"/>
                <w:color w:val="auto"/>
              </w:rPr>
            </w:pPr>
          </w:p>
        </w:tc>
      </w:tr>
      <w:tr>
        <w:trPr>
          <w:trHeight w:val="649"/>
        </w:trPr>
        <w:tc>
          <w:tcPr>
            <w:tcW w:w="11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100" w:type="dxa"/>
            <w:vAlign w:val="bottom"/>
          </w:tcPr>
          <w:p>
            <w:pPr>
              <w:jc w:val="right"/>
              <w:ind w:right="762"/>
              <w:spacing w:after="0"/>
              <w:rPr>
                <w:sz w:val="20"/>
                <w:szCs w:val="20"/>
                <w:color w:val="auto"/>
              </w:rPr>
            </w:pPr>
            <w:r>
              <w:rPr>
                <w:rFonts w:ascii="Arial" w:cs="Arial" w:eastAsia="Arial" w:hAnsi="Arial"/>
                <w:sz w:val="10"/>
                <w:szCs w:val="10"/>
                <w:color w:val="auto"/>
              </w:rPr>
              <w:t>11</w:t>
            </w:r>
          </w:p>
        </w:tc>
        <w:tc>
          <w:tcPr>
            <w:tcW w:w="37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6"/>
        </w:trPr>
        <w:tc>
          <w:tcPr>
            <w:tcW w:w="1140" w:type="dxa"/>
            <w:vAlign w:val="bottom"/>
            <w:tcBorders>
              <w:bottom w:val="single" w:sz="8" w:color="808080"/>
            </w:tcBorders>
          </w:tcPr>
          <w:p>
            <w:pPr>
              <w:spacing w:after="0"/>
              <w:rPr>
                <w:sz w:val="5"/>
                <w:szCs w:val="5"/>
                <w:color w:val="auto"/>
              </w:rPr>
            </w:pPr>
          </w:p>
        </w:tc>
        <w:tc>
          <w:tcPr>
            <w:tcW w:w="4360" w:type="dxa"/>
            <w:vAlign w:val="bottom"/>
            <w:tcBorders>
              <w:bottom w:val="single" w:sz="8" w:color="808080"/>
            </w:tcBorders>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3740" w:type="dxa"/>
            <w:vAlign w:val="bottom"/>
            <w:tcBorders>
              <w:bottom w:val="single" w:sz="8" w:color="808080"/>
            </w:tcBorders>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127" w:right="19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2"/>
          <w:szCs w:val="12"/>
          <w:b w:val="1"/>
          <w:bCs w:val="1"/>
          <w:color w:val="auto"/>
        </w:rPr>
        <w:t>NN, Inc.</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(unaudited)</w:t>
      </w:r>
    </w:p>
    <w:p>
      <w:pPr>
        <w:spacing w:after="0" w:line="200" w:lineRule="exact"/>
        <w:rPr>
          <w:sz w:val="20"/>
          <w:szCs w:val="20"/>
          <w:color w:val="auto"/>
        </w:rPr>
      </w:pPr>
    </w:p>
    <w:p>
      <w:pPr>
        <w:spacing w:after="0"/>
        <w:tabs>
          <w:tab w:leader="none" w:pos="720" w:val="left"/>
        </w:tabs>
        <w:rPr>
          <w:sz w:val="20"/>
          <w:szCs w:val="20"/>
          <w:color w:val="auto"/>
        </w:rPr>
      </w:pPr>
      <w:r>
        <w:rPr>
          <w:rFonts w:ascii="Arial" w:cs="Arial" w:eastAsia="Arial" w:hAnsi="Arial"/>
          <w:sz w:val="12"/>
          <w:szCs w:val="12"/>
          <w:b w:val="1"/>
          <w:bCs w:val="1"/>
          <w:color w:val="auto"/>
        </w:rPr>
        <w:t>Note 12.</w:t>
      </w:r>
      <w:r>
        <w:rPr>
          <w:sz w:val="20"/>
          <w:szCs w:val="20"/>
          <w:color w:val="auto"/>
        </w:rPr>
        <w:tab/>
      </w:r>
      <w:r>
        <w:rPr>
          <w:rFonts w:ascii="Arial" w:cs="Arial" w:eastAsia="Arial" w:hAnsi="Arial"/>
          <w:sz w:val="10"/>
          <w:szCs w:val="10"/>
          <w:b w:val="1"/>
          <w:bCs w:val="1"/>
          <w:color w:val="auto"/>
        </w:rPr>
        <w:t>Restructuring Charges</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Eltmann, Germany Restructuring</w:t>
      </w:r>
    </w:p>
    <w:p>
      <w:pPr>
        <w:spacing w:after="0" w:line="190"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During the fourth quarter of 2004, we announced a reduction in staffing at our Eltmann, Germany ball production facility, a component of our Metal Bearing Components Segment. This restructuring has affected 84 employees and was completed in 2006. The final severance payments to certain employees will occur during 2007.</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color w:val="auto"/>
        </w:rPr>
        <w:t>The following summarizes the charges related to the restructuring at the Company’s Eltmann, Germany facility for the three months ended March 31, 2007:</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44"/>
        </w:trPr>
        <w:tc>
          <w:tcPr>
            <w:tcW w:w="2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w w:val="85"/>
              </w:rPr>
              <w:t>Reserve</w:t>
            </w:r>
          </w:p>
        </w:tc>
        <w:tc>
          <w:tcPr>
            <w:tcW w:w="0" w:type="dxa"/>
            <w:vAlign w:val="bottom"/>
          </w:tcPr>
          <w:p>
            <w:pPr>
              <w:spacing w:after="0"/>
              <w:rPr>
                <w:sz w:val="1"/>
                <w:szCs w:val="1"/>
                <w:color w:val="auto"/>
              </w:rPr>
            </w:pPr>
          </w:p>
        </w:tc>
      </w:tr>
      <w:tr>
        <w:trPr>
          <w:trHeight w:val="144"/>
        </w:trPr>
        <w:tc>
          <w:tcPr>
            <w:tcW w:w="2360" w:type="dxa"/>
            <w:vAlign w:val="bottom"/>
            <w:vMerge w:val="restart"/>
          </w:tcPr>
          <w:p>
            <w:pPr>
              <w:spacing w:after="0"/>
              <w:rPr>
                <w:sz w:val="20"/>
                <w:szCs w:val="20"/>
                <w:color w:val="auto"/>
              </w:rPr>
            </w:pPr>
            <w:r>
              <w:rPr>
                <w:rFonts w:ascii="Arial" w:cs="Arial" w:eastAsia="Arial" w:hAnsi="Arial"/>
                <w:sz w:val="12"/>
                <w:szCs w:val="12"/>
                <w:color w:val="auto"/>
              </w:rPr>
              <w:t>(In Thousands of Dollars)</w:t>
            </w:r>
          </w:p>
        </w:tc>
        <w:tc>
          <w:tcPr>
            <w:tcW w:w="1320" w:type="dxa"/>
            <w:vAlign w:val="bottom"/>
          </w:tcPr>
          <w:p>
            <w:pPr>
              <w:ind w:left="180"/>
              <w:spacing w:after="0"/>
              <w:rPr>
                <w:sz w:val="20"/>
                <w:szCs w:val="20"/>
                <w:color w:val="auto"/>
              </w:rPr>
            </w:pPr>
            <w:r>
              <w:rPr>
                <w:rFonts w:ascii="Arial" w:cs="Arial" w:eastAsia="Arial" w:hAnsi="Arial"/>
                <w:sz w:val="12"/>
                <w:szCs w:val="12"/>
                <w:b w:val="1"/>
                <w:bCs w:val="1"/>
                <w:color w:val="auto"/>
              </w:rPr>
              <w:t>Reserve Balance at</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1"/>
              </w:rPr>
              <w:t>Paid in</w:t>
            </w:r>
          </w:p>
        </w:tc>
        <w:tc>
          <w:tcPr>
            <w:tcW w:w="26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Currency</w:t>
            </w:r>
          </w:p>
        </w:tc>
        <w:tc>
          <w:tcPr>
            <w:tcW w:w="2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w w:val="86"/>
              </w:rPr>
              <w:t>Balance at</w:t>
            </w:r>
          </w:p>
        </w:tc>
        <w:tc>
          <w:tcPr>
            <w:tcW w:w="0" w:type="dxa"/>
            <w:vAlign w:val="bottom"/>
          </w:tcPr>
          <w:p>
            <w:pPr>
              <w:spacing w:after="0"/>
              <w:rPr>
                <w:sz w:val="1"/>
                <w:szCs w:val="1"/>
                <w:color w:val="auto"/>
              </w:rPr>
            </w:pPr>
          </w:p>
        </w:tc>
      </w:tr>
      <w:tr>
        <w:trPr>
          <w:trHeight w:val="157"/>
        </w:trPr>
        <w:tc>
          <w:tcPr>
            <w:tcW w:w="2360" w:type="dxa"/>
            <w:vAlign w:val="bottom"/>
            <w:vMerge w:val="continue"/>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01/01/07</w:t>
            </w:r>
          </w:p>
        </w:tc>
        <w:tc>
          <w:tcPr>
            <w:tcW w:w="260" w:type="dxa"/>
            <w:vAlign w:val="bottom"/>
          </w:tcPr>
          <w:p>
            <w:pPr>
              <w:spacing w:after="0"/>
              <w:rPr>
                <w:sz w:val="13"/>
                <w:szCs w:val="13"/>
                <w:color w:val="auto"/>
              </w:rPr>
            </w:pPr>
          </w:p>
        </w:tc>
        <w:tc>
          <w:tcPr>
            <w:tcW w:w="10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2"/>
                <w:szCs w:val="12"/>
                <w:b w:val="1"/>
                <w:bCs w:val="1"/>
                <w:color w:val="auto"/>
              </w:rPr>
              <w:t>Charges</w:t>
            </w:r>
          </w:p>
        </w:tc>
        <w:tc>
          <w:tcPr>
            <w:tcW w:w="2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2007</w:t>
            </w:r>
          </w:p>
        </w:tc>
        <w:tc>
          <w:tcPr>
            <w:tcW w:w="260" w:type="dxa"/>
            <w:vAlign w:val="bottom"/>
          </w:tcPr>
          <w:p>
            <w:pPr>
              <w:spacing w:after="0"/>
              <w:rPr>
                <w:sz w:val="13"/>
                <w:szCs w:val="13"/>
                <w:color w:val="auto"/>
              </w:rPr>
            </w:pPr>
          </w:p>
        </w:tc>
        <w:tc>
          <w:tcPr>
            <w:tcW w:w="11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2"/>
                <w:szCs w:val="12"/>
                <w:b w:val="1"/>
                <w:bCs w:val="1"/>
                <w:color w:val="auto"/>
              </w:rPr>
              <w:t>Impacts</w:t>
            </w:r>
          </w:p>
        </w:tc>
        <w:tc>
          <w:tcPr>
            <w:tcW w:w="260" w:type="dxa"/>
            <w:vAlign w:val="bottom"/>
          </w:tcPr>
          <w:p>
            <w:pPr>
              <w:spacing w:after="0"/>
              <w:rPr>
                <w:sz w:val="13"/>
                <w:szCs w:val="1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03/31/07</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20"/>
                <w:szCs w:val="20"/>
                <w:color w:val="auto"/>
              </w:rPr>
            </w:pPr>
            <w:r>
              <w:rPr>
                <w:rFonts w:ascii="Arial" w:cs="Arial" w:eastAsia="Arial" w:hAnsi="Arial"/>
                <w:sz w:val="12"/>
                <w:szCs w:val="12"/>
                <w:color w:val="auto"/>
              </w:rPr>
              <w:t>Severance and other employee costs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$ 309</w:t>
            </w:r>
          </w:p>
        </w:tc>
        <w:tc>
          <w:tcPr>
            <w:tcW w:w="26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 (7)</w:t>
            </w:r>
          </w:p>
        </w:tc>
        <w:tc>
          <w:tcPr>
            <w:tcW w:w="2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3</w:t>
            </w:r>
          </w:p>
        </w:tc>
        <w:tc>
          <w:tcPr>
            <w:tcW w:w="26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$ 305</w:t>
            </w:r>
          </w:p>
        </w:tc>
        <w:tc>
          <w:tcPr>
            <w:tcW w:w="0" w:type="dxa"/>
            <w:vAlign w:val="bottom"/>
          </w:tcPr>
          <w:p>
            <w:pPr>
              <w:spacing w:after="0"/>
              <w:rPr>
                <w:sz w:val="1"/>
                <w:szCs w:val="1"/>
                <w:color w:val="auto"/>
              </w:rPr>
            </w:pPr>
          </w:p>
        </w:tc>
      </w:tr>
      <w:tr>
        <w:trPr>
          <w:trHeight w:val="158"/>
        </w:trPr>
        <w:tc>
          <w:tcPr>
            <w:tcW w:w="2360" w:type="dxa"/>
            <w:vAlign w:val="bottom"/>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$ 309</w:t>
            </w:r>
          </w:p>
        </w:tc>
        <w:tc>
          <w:tcPr>
            <w:tcW w:w="26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 (7)</w:t>
            </w:r>
          </w:p>
        </w:tc>
        <w:tc>
          <w:tcPr>
            <w:tcW w:w="26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3</w:t>
            </w:r>
          </w:p>
        </w:tc>
        <w:tc>
          <w:tcPr>
            <w:tcW w:w="260" w:type="dxa"/>
            <w:vAlign w:val="bottom"/>
          </w:tcPr>
          <w:p>
            <w:pPr>
              <w:spacing w:after="0"/>
              <w:rPr>
                <w:sz w:val="13"/>
                <w:szCs w:val="1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$ 305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No additional charges are expected to be incurred related to the 2004 restructuring program. We expect to pay all amounts during 2007. There were no additional restructuring charges during the three month periods ended March 31, 2007 or 2006.</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 Property, Plant and Equipment</w:t>
      </w:r>
    </w:p>
    <w:p>
      <w:pPr>
        <w:spacing w:after="0" w:line="190" w:lineRule="exact"/>
        <w:rPr>
          <w:sz w:val="20"/>
          <w:szCs w:val="20"/>
          <w:color w:val="auto"/>
        </w:rPr>
      </w:pPr>
    </w:p>
    <w:p>
      <w:pPr>
        <w:ind w:right="40"/>
        <w:spacing w:after="0" w:line="380" w:lineRule="auto"/>
        <w:rPr>
          <w:sz w:val="20"/>
          <w:szCs w:val="20"/>
          <w:color w:val="auto"/>
        </w:rPr>
      </w:pPr>
      <w:r>
        <w:rPr>
          <w:rFonts w:ascii="Arial" w:cs="Arial" w:eastAsia="Arial" w:hAnsi="Arial"/>
          <w:sz w:val="10"/>
          <w:szCs w:val="10"/>
          <w:color w:val="auto"/>
        </w:rPr>
        <w:t>During the first quarter of 2006, we completed a sale of excess land and two buildings at our Pinerolo, Italy facility. The net book value of this land and buildings was $1,013 and was classified as held for sale at December 31, 2005. The proceeds from the sale were $2,804, resulting in a pre-tax gain of $1,791. In addition, the Pinerolo facility disposed of excess machinery in the first quarter of 2006 with a net book value of $1,087, resulting in a pre-tax loss of $1,062.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27"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2"/>
          <w:szCs w:val="12"/>
          <w:b w:val="1"/>
          <w:bCs w:val="1"/>
          <w:color w:val="auto"/>
        </w:rPr>
        <w:t>NN,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20" w:lineRule="exact"/>
        <w:rPr>
          <w:sz w:val="20"/>
          <w:szCs w:val="20"/>
          <w:color w:val="auto"/>
        </w:rPr>
      </w:pPr>
    </w:p>
    <w:p>
      <w:pPr>
        <w:spacing w:after="0"/>
        <w:tabs>
          <w:tab w:leader="none" w:pos="720" w:val="left"/>
        </w:tabs>
        <w:rPr>
          <w:sz w:val="20"/>
          <w:szCs w:val="20"/>
          <w:color w:val="auto"/>
        </w:rPr>
      </w:pPr>
      <w:r>
        <w:rPr>
          <w:rFonts w:ascii="Arial" w:cs="Arial" w:eastAsia="Arial" w:hAnsi="Arial"/>
          <w:sz w:val="12"/>
          <w:szCs w:val="12"/>
          <w:b w:val="1"/>
          <w:bCs w:val="1"/>
          <w:color w:val="auto"/>
        </w:rPr>
        <w:t>Note 14.</w:t>
      </w:r>
      <w:r>
        <w:rPr>
          <w:sz w:val="20"/>
          <w:szCs w:val="20"/>
          <w:color w:val="auto"/>
        </w:rPr>
        <w:tab/>
      </w:r>
      <w:r>
        <w:rPr>
          <w:rFonts w:ascii="Arial" w:cs="Arial" w:eastAsia="Arial" w:hAnsi="Arial"/>
          <w:sz w:val="10"/>
          <w:szCs w:val="10"/>
          <w:b w:val="1"/>
          <w:bCs w:val="1"/>
          <w:color w:val="auto"/>
        </w:rPr>
        <w:t>Related Party Transactions</w:t>
      </w:r>
    </w:p>
    <w:p>
      <w:pPr>
        <w:spacing w:after="0" w:line="199"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During the first quarter of 2007, the Company remitted $18,638 to the former sole shareholder of Whirlaway to partially pay-off the related party note payable. The payment was financed under our $90 million credit facility. The remaining balance owed of $2,667 relates to guarantees to the former sole shareholder for tax liabilities related to the sale of Whirlaway.</w:t>
      </w:r>
    </w:p>
    <w:p>
      <w:pPr>
        <w:spacing w:after="0" w:line="174" w:lineRule="exact"/>
        <w:rPr>
          <w:sz w:val="20"/>
          <w:szCs w:val="20"/>
          <w:color w:val="auto"/>
        </w:rPr>
      </w:pPr>
    </w:p>
    <w:p>
      <w:pPr>
        <w:spacing w:after="0"/>
        <w:tabs>
          <w:tab w:leader="none" w:pos="720" w:val="left"/>
        </w:tabs>
        <w:rPr>
          <w:sz w:val="20"/>
          <w:szCs w:val="20"/>
          <w:color w:val="auto"/>
        </w:rPr>
      </w:pPr>
      <w:r>
        <w:rPr>
          <w:rFonts w:ascii="Arial" w:cs="Arial" w:eastAsia="Arial" w:hAnsi="Arial"/>
          <w:sz w:val="12"/>
          <w:szCs w:val="12"/>
          <w:b w:val="1"/>
          <w:bCs w:val="1"/>
          <w:color w:val="auto"/>
        </w:rPr>
        <w:t>Note 15.</w:t>
      </w:r>
      <w:r>
        <w:rPr>
          <w:sz w:val="20"/>
          <w:szCs w:val="20"/>
          <w:color w:val="auto"/>
        </w:rPr>
        <w:tab/>
      </w:r>
      <w:r>
        <w:rPr>
          <w:rFonts w:ascii="Arial" w:cs="Arial" w:eastAsia="Arial" w:hAnsi="Arial"/>
          <w:sz w:val="10"/>
          <w:szCs w:val="10"/>
          <w:b w:val="1"/>
          <w:bCs w:val="1"/>
          <w:color w:val="auto"/>
        </w:rPr>
        <w:t>Provision for Income Taxes</w:t>
      </w:r>
    </w:p>
    <w:p>
      <w:pPr>
        <w:spacing w:after="0" w:line="199"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The Company adopted the provisions of FIN 48 on January 1, 2007. As a result of the implementation of FIN 48, the company recognized a $600 increase in our income tax liabilities and a corresponding reduction in beginning retained earnings.</w:t>
      </w:r>
    </w:p>
    <w:p>
      <w:pPr>
        <w:spacing w:after="0" w:line="151"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As of the date of adoption, the total unrecognized benefits were approximately $1,464 all of which, if recognized, would affect the effective tax rate. The amount of unrecognized benefits increased approximately $300 in the first quarter of 2007. The increase in the unrecognized benefits in the first quarter of 2007 was for continued operations and was not the result of any new tax positions adopted. During the next twelve months, we expect that this balance will be reduced by approximately $200 due to a state tax liability that will be paid in the second quarter of 2007.</w:t>
      </w:r>
    </w:p>
    <w:p>
      <w:pPr>
        <w:spacing w:after="0" w:line="159"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Interest and penalties related to federal, state, and foreign income tax matters are recorded as a component of the provision for income taxes in our statements of income. We recorded an insignificant amount of foreign interest and penalties to the provision for income taxes in the quarter ended March 31, 2007.</w:t>
      </w:r>
    </w:p>
    <w:p>
      <w:pPr>
        <w:spacing w:after="0" w:line="151" w:lineRule="exact"/>
        <w:rPr>
          <w:sz w:val="20"/>
          <w:szCs w:val="20"/>
          <w:color w:val="auto"/>
        </w:rPr>
      </w:pPr>
    </w:p>
    <w:p>
      <w:pPr>
        <w:ind w:right="540"/>
        <w:spacing w:after="0" w:line="323" w:lineRule="auto"/>
        <w:rPr>
          <w:sz w:val="20"/>
          <w:szCs w:val="20"/>
          <w:color w:val="auto"/>
        </w:rPr>
      </w:pPr>
      <w:r>
        <w:rPr>
          <w:rFonts w:ascii="Arial" w:cs="Arial" w:eastAsia="Arial" w:hAnsi="Arial"/>
          <w:sz w:val="11"/>
          <w:szCs w:val="11"/>
          <w:color w:val="auto"/>
        </w:rPr>
        <w:t>The Company or its subsidiaries file income tax returns in the U.S. federal jurisdiction, and in various states and foreign jurisdictions. With few exceptions, the Company is no longer subject to federal, state and local income tax examinations by tax authorities for years before 2001. The Company is no longer subject to non-U.S. income tax examinations within various European Union Countries for years before 2002.</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For the quarter ended March 31, 2007, the difference between the federal statutory tax rate of 34% and our effective tax rate of 39% is due to non-U.S. based earnings taxed at higher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4" w:name="page15"/>
    <w:bookmarkEnd w:id="14"/>
    <w:p>
      <w:pPr>
        <w:ind w:left="440"/>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Factors</w:t>
      </w:r>
    </w:p>
    <w:p>
      <w:pPr>
        <w:spacing w:after="0" w:line="190" w:lineRule="exact"/>
        <w:rPr>
          <w:sz w:val="20"/>
          <w:szCs w:val="20"/>
          <w:color w:val="auto"/>
        </w:rPr>
      </w:pPr>
    </w:p>
    <w:p>
      <w:pPr>
        <w:spacing w:after="0"/>
        <w:rPr>
          <w:sz w:val="20"/>
          <w:szCs w:val="20"/>
          <w:color w:val="auto"/>
        </w:rPr>
      </w:pPr>
      <w:r>
        <w:rPr>
          <w:rFonts w:ascii="Arial" w:cs="Arial" w:eastAsia="Arial" w:hAnsi="Arial"/>
          <w:sz w:val="11"/>
          <w:szCs w:val="11"/>
          <w:color w:val="auto"/>
        </w:rPr>
        <w:t>Our risk factors are disclosed in our Annual Report on Form 10-K for the fiscal year ended December 31, 2006 under Item 1.A. “Risk Factors”. There have been no material changes to these risk factors since December 31, 2006.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260" w:type="dxa"/>
            <w:vAlign w:val="bottom"/>
            <w:gridSpan w:val="3"/>
          </w:tcPr>
          <w:p>
            <w:pPr>
              <w:spacing w:after="0"/>
              <w:rPr>
                <w:sz w:val="20"/>
                <w:szCs w:val="20"/>
                <w:color w:val="auto"/>
              </w:rPr>
            </w:pPr>
            <w:r>
              <w:rPr>
                <w:rFonts w:ascii="Arial" w:cs="Arial" w:eastAsia="Arial" w:hAnsi="Arial"/>
                <w:sz w:val="12"/>
                <w:szCs w:val="12"/>
                <w:b w:val="1"/>
                <w:bCs w:val="1"/>
                <w:color w:val="auto"/>
              </w:rPr>
              <w:t>Results of Operations</w:t>
            </w: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324"/>
        </w:trPr>
        <w:tc>
          <w:tcPr>
            <w:tcW w:w="726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Three Months Ended March 31, 2007 Compared to the Three Months Ended March 31, 2006.</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4"/>
        </w:trPr>
        <w:tc>
          <w:tcPr>
            <w:tcW w:w="7260" w:type="dxa"/>
            <w:vAlign w:val="bottom"/>
            <w:gridSpan w:val="3"/>
          </w:tcPr>
          <w:p>
            <w:pPr>
              <w:spacing w:after="0"/>
              <w:rPr>
                <w:sz w:val="20"/>
                <w:szCs w:val="20"/>
                <w:color w:val="auto"/>
              </w:rPr>
            </w:pPr>
            <w:r>
              <w:rPr>
                <w:rFonts w:ascii="Arial" w:cs="Arial" w:eastAsia="Arial" w:hAnsi="Arial"/>
                <w:sz w:val="12"/>
                <w:szCs w:val="12"/>
                <w:b w:val="1"/>
                <w:bCs w:val="1"/>
                <w:color w:val="auto"/>
              </w:rPr>
              <w:t>OVERALL RESULTS</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7260" w:type="dxa"/>
            <w:vAlign w:val="bottom"/>
            <w:gridSpan w:val="3"/>
          </w:tcPr>
          <w:p>
            <w:pPr>
              <w:ind w:left="1140"/>
              <w:spacing w:after="0"/>
              <w:rPr>
                <w:sz w:val="20"/>
                <w:szCs w:val="20"/>
                <w:color w:val="auto"/>
              </w:rPr>
            </w:pPr>
            <w:r>
              <w:rPr>
                <w:rFonts w:ascii="Arial" w:cs="Arial" w:eastAsia="Arial" w:hAnsi="Arial"/>
                <w:sz w:val="12"/>
                <w:szCs w:val="12"/>
                <w:color w:val="auto"/>
              </w:rPr>
              <w:t>(In Thousands of Dollars)</w:t>
            </w:r>
          </w:p>
        </w:tc>
        <w:tc>
          <w:tcPr>
            <w:tcW w:w="740" w:type="dxa"/>
            <w:vAlign w:val="bottom"/>
          </w:tcPr>
          <w:p>
            <w:pPr>
              <w:spacing w:after="0"/>
              <w:rPr>
                <w:sz w:val="24"/>
                <w:szCs w:val="24"/>
                <w:color w:val="auto"/>
              </w:rPr>
            </w:pPr>
          </w:p>
        </w:tc>
        <w:tc>
          <w:tcPr>
            <w:tcW w:w="1200" w:type="dxa"/>
            <w:vAlign w:val="bottom"/>
          </w:tcPr>
          <w:p>
            <w:pPr>
              <w:jc w:val="right"/>
              <w:ind w:right="640"/>
              <w:spacing w:after="0"/>
              <w:rPr>
                <w:sz w:val="20"/>
                <w:szCs w:val="20"/>
                <w:color w:val="auto"/>
              </w:rPr>
            </w:pPr>
            <w:r>
              <w:rPr>
                <w:rFonts w:ascii="Arial" w:cs="Arial" w:eastAsia="Arial" w:hAnsi="Arial"/>
                <w:sz w:val="12"/>
                <w:szCs w:val="12"/>
                <w:b w:val="1"/>
                <w:bCs w:val="1"/>
                <w:color w:val="auto"/>
              </w:rPr>
              <w:t>Total</w:t>
            </w:r>
          </w:p>
        </w:tc>
        <w:tc>
          <w:tcPr>
            <w:tcW w:w="1140" w:type="dxa"/>
            <w:vAlign w:val="bottom"/>
          </w:tcPr>
          <w:p>
            <w:pPr>
              <w:spacing w:after="0"/>
              <w:rPr>
                <w:sz w:val="24"/>
                <w:szCs w:val="24"/>
                <w:color w:val="auto"/>
              </w:rPr>
            </w:pPr>
          </w:p>
        </w:tc>
      </w:tr>
      <w:tr>
        <w:trPr>
          <w:trHeight w:val="157"/>
        </w:trPr>
        <w:tc>
          <w:tcPr>
            <w:tcW w:w="6420" w:type="dxa"/>
            <w:vAlign w:val="bottom"/>
            <w:gridSpan w:val="2"/>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2007</w:t>
            </w:r>
          </w:p>
        </w:tc>
        <w:tc>
          <w:tcPr>
            <w:tcW w:w="7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660"/>
              <w:spacing w:after="0"/>
              <w:rPr>
                <w:sz w:val="20"/>
                <w:szCs w:val="20"/>
                <w:color w:val="auto"/>
              </w:rPr>
            </w:pPr>
            <w:r>
              <w:rPr>
                <w:rFonts w:ascii="Arial" w:cs="Arial" w:eastAsia="Arial" w:hAnsi="Arial"/>
                <w:sz w:val="12"/>
                <w:szCs w:val="12"/>
                <w:b w:val="1"/>
                <w:bCs w:val="1"/>
                <w:color w:val="auto"/>
              </w:rPr>
              <w:t>2006</w:t>
            </w:r>
          </w:p>
        </w:tc>
        <w:tc>
          <w:tcPr>
            <w:tcW w:w="1140" w:type="dxa"/>
            <w:vAlign w:val="bottom"/>
            <w:tcBorders>
              <w:top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Change</w:t>
            </w:r>
          </w:p>
        </w:tc>
      </w:tr>
      <w:tr>
        <w:trPr>
          <w:trHeight w:val="23"/>
        </w:trPr>
        <w:tc>
          <w:tcPr>
            <w:tcW w:w="1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3"/>
        </w:trPr>
        <w:tc>
          <w:tcPr>
            <w:tcW w:w="1140" w:type="dxa"/>
            <w:vAlign w:val="bottom"/>
          </w:tcPr>
          <w:p>
            <w:pPr>
              <w:spacing w:after="0"/>
              <w:rPr>
                <w:sz w:val="11"/>
                <w:szCs w:val="11"/>
                <w:color w:val="auto"/>
              </w:rPr>
            </w:pPr>
          </w:p>
        </w:tc>
        <w:tc>
          <w:tcPr>
            <w:tcW w:w="612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Net sales</w:t>
            </w:r>
          </w:p>
        </w:tc>
        <w:tc>
          <w:tcPr>
            <w:tcW w:w="740" w:type="dxa"/>
            <w:vAlign w:val="bottom"/>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w w:val="89"/>
              </w:rPr>
              <w:t>$ 107,944</w:t>
            </w:r>
          </w:p>
        </w:tc>
        <w:tc>
          <w:tcPr>
            <w:tcW w:w="1200" w:type="dxa"/>
            <w:vAlign w:val="bottom"/>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$ 86,017</w:t>
            </w:r>
          </w:p>
        </w:tc>
        <w:tc>
          <w:tcPr>
            <w:tcW w:w="11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$ 21,927</w:t>
            </w:r>
          </w:p>
        </w:tc>
      </w:tr>
      <w:tr>
        <w:trPr>
          <w:trHeight w:val="135"/>
        </w:trPr>
        <w:tc>
          <w:tcPr>
            <w:tcW w:w="1140" w:type="dxa"/>
            <w:vAlign w:val="bottom"/>
          </w:tcPr>
          <w:p>
            <w:pPr>
              <w:spacing w:after="0"/>
              <w:rPr>
                <w:sz w:val="11"/>
                <w:szCs w:val="11"/>
                <w:color w:val="auto"/>
              </w:rPr>
            </w:pPr>
          </w:p>
        </w:tc>
        <w:tc>
          <w:tcPr>
            <w:tcW w:w="6120" w:type="dxa"/>
            <w:vAlign w:val="bottom"/>
            <w:gridSpan w:val="2"/>
          </w:tcPr>
          <w:p>
            <w:pPr>
              <w:spacing w:after="0" w:line="136" w:lineRule="exact"/>
              <w:rPr>
                <w:sz w:val="20"/>
                <w:szCs w:val="20"/>
                <w:color w:val="auto"/>
              </w:rPr>
            </w:pPr>
            <w:r>
              <w:rPr>
                <w:rFonts w:ascii="Arial" w:cs="Arial" w:eastAsia="Arial" w:hAnsi="Arial"/>
                <w:sz w:val="12"/>
                <w:szCs w:val="12"/>
                <w:color w:val="auto"/>
              </w:rPr>
              <w:t>Cost of products sold (exclusive of depreciation</w:t>
            </w: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53"/>
        </w:trPr>
        <w:tc>
          <w:tcPr>
            <w:tcW w:w="1140" w:type="dxa"/>
            <w:vAlign w:val="bottom"/>
          </w:tcPr>
          <w:p>
            <w:pPr>
              <w:spacing w:after="0"/>
              <w:rPr>
                <w:sz w:val="13"/>
                <w:szCs w:val="13"/>
                <w:color w:val="auto"/>
              </w:rPr>
            </w:pPr>
          </w:p>
        </w:tc>
        <w:tc>
          <w:tcPr>
            <w:tcW w:w="6120" w:type="dxa"/>
            <w:vAlign w:val="bottom"/>
            <w:gridSpan w:val="2"/>
          </w:tcPr>
          <w:p>
            <w:pPr>
              <w:ind w:left="100"/>
              <w:spacing w:after="0"/>
              <w:rPr>
                <w:sz w:val="20"/>
                <w:szCs w:val="20"/>
                <w:color w:val="auto"/>
              </w:rPr>
            </w:pPr>
            <w:r>
              <w:rPr>
                <w:rFonts w:ascii="Arial" w:cs="Arial" w:eastAsia="Arial" w:hAnsi="Arial"/>
                <w:sz w:val="12"/>
                <w:szCs w:val="12"/>
                <w:color w:val="auto"/>
              </w:rPr>
              <w:t>and amortization shown separately below)</w:t>
            </w:r>
          </w:p>
        </w:tc>
        <w:tc>
          <w:tcPr>
            <w:tcW w:w="740" w:type="dxa"/>
            <w:vAlign w:val="bottom"/>
          </w:tcPr>
          <w:p>
            <w:pPr>
              <w:jc w:val="right"/>
              <w:ind w:right="180"/>
              <w:spacing w:after="0"/>
              <w:rPr>
                <w:sz w:val="20"/>
                <w:szCs w:val="20"/>
                <w:color w:val="auto"/>
              </w:rPr>
            </w:pPr>
            <w:r>
              <w:rPr>
                <w:rFonts w:ascii="Arial" w:cs="Arial" w:eastAsia="Arial" w:hAnsi="Arial"/>
                <w:sz w:val="12"/>
                <w:szCs w:val="12"/>
                <w:color w:val="auto"/>
              </w:rPr>
              <w:t>85,082</w:t>
            </w:r>
          </w:p>
        </w:tc>
        <w:tc>
          <w:tcPr>
            <w:tcW w:w="1200" w:type="dxa"/>
            <w:vAlign w:val="bottom"/>
          </w:tcPr>
          <w:p>
            <w:pPr>
              <w:jc w:val="right"/>
              <w:ind w:right="180"/>
              <w:spacing w:after="0"/>
              <w:rPr>
                <w:sz w:val="20"/>
                <w:szCs w:val="20"/>
                <w:color w:val="auto"/>
              </w:rPr>
            </w:pPr>
            <w:r>
              <w:rPr>
                <w:rFonts w:ascii="Arial" w:cs="Arial" w:eastAsia="Arial" w:hAnsi="Arial"/>
                <w:sz w:val="12"/>
                <w:szCs w:val="12"/>
                <w:color w:val="auto"/>
              </w:rPr>
              <w:t>65,999</w:t>
            </w:r>
          </w:p>
        </w:tc>
        <w:tc>
          <w:tcPr>
            <w:tcW w:w="1140" w:type="dxa"/>
            <w:vAlign w:val="bottom"/>
          </w:tcPr>
          <w:p>
            <w:pPr>
              <w:jc w:val="right"/>
              <w:spacing w:after="0"/>
              <w:rPr>
                <w:sz w:val="20"/>
                <w:szCs w:val="20"/>
                <w:color w:val="auto"/>
              </w:rPr>
            </w:pPr>
            <w:r>
              <w:rPr>
                <w:rFonts w:ascii="Arial" w:cs="Arial" w:eastAsia="Arial" w:hAnsi="Arial"/>
                <w:sz w:val="12"/>
                <w:szCs w:val="12"/>
                <w:color w:val="auto"/>
              </w:rPr>
              <w:t>19,083</w:t>
            </w:r>
          </w:p>
        </w:tc>
      </w:tr>
      <w:tr>
        <w:trPr>
          <w:trHeight w:val="144"/>
        </w:trPr>
        <w:tc>
          <w:tcPr>
            <w:tcW w:w="1140" w:type="dxa"/>
            <w:vAlign w:val="bottom"/>
          </w:tcPr>
          <w:p>
            <w:pPr>
              <w:spacing w:after="0"/>
              <w:rPr>
                <w:sz w:val="12"/>
                <w:szCs w:val="12"/>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Selling, general, and administrative</w:t>
            </w:r>
          </w:p>
        </w:tc>
        <w:tc>
          <w:tcPr>
            <w:tcW w:w="7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9,424</w:t>
            </w:r>
          </w:p>
        </w:tc>
        <w:tc>
          <w:tcPr>
            <w:tcW w:w="12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7,681</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1,743</w:t>
            </w:r>
          </w:p>
        </w:tc>
      </w:tr>
      <w:tr>
        <w:trPr>
          <w:trHeight w:val="144"/>
        </w:trPr>
        <w:tc>
          <w:tcPr>
            <w:tcW w:w="1140" w:type="dxa"/>
            <w:vAlign w:val="bottom"/>
          </w:tcPr>
          <w:p>
            <w:pPr>
              <w:spacing w:after="0"/>
              <w:rPr>
                <w:sz w:val="12"/>
                <w:szCs w:val="12"/>
                <w:color w:val="auto"/>
              </w:rPr>
            </w:pPr>
          </w:p>
        </w:tc>
        <w:tc>
          <w:tcPr>
            <w:tcW w:w="6120" w:type="dxa"/>
            <w:vAlign w:val="bottom"/>
            <w:gridSpan w:val="2"/>
          </w:tcPr>
          <w:p>
            <w:pPr>
              <w:spacing w:after="0"/>
              <w:rPr>
                <w:sz w:val="20"/>
                <w:szCs w:val="20"/>
                <w:color w:val="auto"/>
              </w:rPr>
            </w:pPr>
            <w:r>
              <w:rPr>
                <w:rFonts w:ascii="Arial" w:cs="Arial" w:eastAsia="Arial" w:hAnsi="Arial"/>
                <w:sz w:val="12"/>
                <w:szCs w:val="12"/>
                <w:color w:val="auto"/>
              </w:rPr>
              <w:t>Depreciation and amortization</w:t>
            </w:r>
          </w:p>
        </w:tc>
        <w:tc>
          <w:tcPr>
            <w:tcW w:w="740" w:type="dxa"/>
            <w:vAlign w:val="bottom"/>
          </w:tcPr>
          <w:p>
            <w:pPr>
              <w:jc w:val="right"/>
              <w:ind w:right="180"/>
              <w:spacing w:after="0"/>
              <w:rPr>
                <w:sz w:val="20"/>
                <w:szCs w:val="20"/>
                <w:color w:val="auto"/>
              </w:rPr>
            </w:pPr>
            <w:r>
              <w:rPr>
                <w:rFonts w:ascii="Arial" w:cs="Arial" w:eastAsia="Arial" w:hAnsi="Arial"/>
                <w:sz w:val="12"/>
                <w:szCs w:val="12"/>
                <w:color w:val="auto"/>
              </w:rPr>
              <w:t>5,523</w:t>
            </w:r>
          </w:p>
        </w:tc>
        <w:tc>
          <w:tcPr>
            <w:tcW w:w="1200" w:type="dxa"/>
            <w:vAlign w:val="bottom"/>
          </w:tcPr>
          <w:p>
            <w:pPr>
              <w:jc w:val="right"/>
              <w:ind w:right="180"/>
              <w:spacing w:after="0"/>
              <w:rPr>
                <w:sz w:val="20"/>
                <w:szCs w:val="20"/>
                <w:color w:val="auto"/>
              </w:rPr>
            </w:pPr>
            <w:r>
              <w:rPr>
                <w:rFonts w:ascii="Arial" w:cs="Arial" w:eastAsia="Arial" w:hAnsi="Arial"/>
                <w:sz w:val="12"/>
                <w:szCs w:val="12"/>
                <w:color w:val="auto"/>
              </w:rPr>
              <w:t>4,162</w:t>
            </w:r>
          </w:p>
        </w:tc>
        <w:tc>
          <w:tcPr>
            <w:tcW w:w="1140" w:type="dxa"/>
            <w:vAlign w:val="bottom"/>
          </w:tcPr>
          <w:p>
            <w:pPr>
              <w:jc w:val="right"/>
              <w:spacing w:after="0"/>
              <w:rPr>
                <w:sz w:val="20"/>
                <w:szCs w:val="20"/>
                <w:color w:val="auto"/>
              </w:rPr>
            </w:pPr>
            <w:r>
              <w:rPr>
                <w:rFonts w:ascii="Arial" w:cs="Arial" w:eastAsia="Arial" w:hAnsi="Arial"/>
                <w:sz w:val="12"/>
                <w:szCs w:val="12"/>
                <w:color w:val="auto"/>
              </w:rPr>
              <w:t>1,361</w:t>
            </w:r>
          </w:p>
        </w:tc>
      </w:tr>
      <w:tr>
        <w:trPr>
          <w:trHeight w:val="144"/>
        </w:trPr>
        <w:tc>
          <w:tcPr>
            <w:tcW w:w="1140" w:type="dxa"/>
            <w:vAlign w:val="bottom"/>
          </w:tcPr>
          <w:p>
            <w:pPr>
              <w:spacing w:after="0"/>
              <w:rPr>
                <w:sz w:val="12"/>
                <w:szCs w:val="12"/>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7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1,694</w:t>
            </w:r>
          </w:p>
        </w:tc>
        <w:tc>
          <w:tcPr>
            <w:tcW w:w="12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986</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708</w:t>
            </w:r>
          </w:p>
        </w:tc>
      </w:tr>
      <w:tr>
        <w:trPr>
          <w:trHeight w:val="144"/>
        </w:trPr>
        <w:tc>
          <w:tcPr>
            <w:tcW w:w="1140" w:type="dxa"/>
            <w:vAlign w:val="bottom"/>
          </w:tcPr>
          <w:p>
            <w:pPr>
              <w:spacing w:after="0"/>
              <w:rPr>
                <w:sz w:val="12"/>
                <w:szCs w:val="12"/>
                <w:color w:val="auto"/>
              </w:rPr>
            </w:pPr>
          </w:p>
        </w:tc>
        <w:tc>
          <w:tcPr>
            <w:tcW w:w="6120" w:type="dxa"/>
            <w:vAlign w:val="bottom"/>
            <w:gridSpan w:val="2"/>
          </w:tcPr>
          <w:p>
            <w:pPr>
              <w:spacing w:after="0"/>
              <w:rPr>
                <w:sz w:val="20"/>
                <w:szCs w:val="20"/>
                <w:color w:val="auto"/>
              </w:rPr>
            </w:pPr>
            <w:r>
              <w:rPr>
                <w:rFonts w:ascii="Arial" w:cs="Arial" w:eastAsia="Arial" w:hAnsi="Arial"/>
                <w:sz w:val="12"/>
                <w:szCs w:val="12"/>
                <w:color w:val="auto"/>
              </w:rPr>
              <w:t>Gain on disposal of assets</w:t>
            </w:r>
          </w:p>
        </w:tc>
        <w:tc>
          <w:tcPr>
            <w:tcW w:w="740" w:type="dxa"/>
            <w:vAlign w:val="bottom"/>
          </w:tcPr>
          <w:p>
            <w:pPr>
              <w:jc w:val="right"/>
              <w:ind w:right="180"/>
              <w:spacing w:after="0"/>
              <w:rPr>
                <w:sz w:val="20"/>
                <w:szCs w:val="20"/>
                <w:color w:val="auto"/>
              </w:rPr>
            </w:pPr>
            <w:r>
              <w:rPr>
                <w:rFonts w:ascii="Arial" w:cs="Arial" w:eastAsia="Arial" w:hAnsi="Arial"/>
                <w:sz w:val="12"/>
                <w:szCs w:val="12"/>
                <w:color w:val="auto"/>
              </w:rPr>
              <w:t>(5)</w:t>
            </w:r>
          </w:p>
        </w:tc>
        <w:tc>
          <w:tcPr>
            <w:tcW w:w="1200" w:type="dxa"/>
            <w:vAlign w:val="bottom"/>
          </w:tcPr>
          <w:p>
            <w:pPr>
              <w:jc w:val="right"/>
              <w:ind w:right="180"/>
              <w:spacing w:after="0"/>
              <w:rPr>
                <w:sz w:val="20"/>
                <w:szCs w:val="20"/>
                <w:color w:val="auto"/>
              </w:rPr>
            </w:pPr>
            <w:r>
              <w:rPr>
                <w:rFonts w:ascii="Arial" w:cs="Arial" w:eastAsia="Arial" w:hAnsi="Arial"/>
                <w:sz w:val="12"/>
                <w:szCs w:val="12"/>
                <w:color w:val="auto"/>
              </w:rPr>
              <w:t>(730)</w:t>
            </w:r>
          </w:p>
        </w:tc>
        <w:tc>
          <w:tcPr>
            <w:tcW w:w="1140" w:type="dxa"/>
            <w:vAlign w:val="bottom"/>
          </w:tcPr>
          <w:p>
            <w:pPr>
              <w:jc w:val="right"/>
              <w:spacing w:after="0"/>
              <w:rPr>
                <w:sz w:val="20"/>
                <w:szCs w:val="20"/>
                <w:color w:val="auto"/>
              </w:rPr>
            </w:pPr>
            <w:r>
              <w:rPr>
                <w:rFonts w:ascii="Arial" w:cs="Arial" w:eastAsia="Arial" w:hAnsi="Arial"/>
                <w:sz w:val="12"/>
                <w:szCs w:val="12"/>
                <w:color w:val="auto"/>
              </w:rPr>
              <w:t>725</w:t>
            </w:r>
          </w:p>
        </w:tc>
      </w:tr>
      <w:tr>
        <w:trPr>
          <w:trHeight w:val="162"/>
        </w:trPr>
        <w:tc>
          <w:tcPr>
            <w:tcW w:w="1140" w:type="dxa"/>
            <w:vAlign w:val="bottom"/>
          </w:tcPr>
          <w:p>
            <w:pPr>
              <w:spacing w:after="0"/>
              <w:rPr>
                <w:sz w:val="14"/>
                <w:szCs w:val="14"/>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Other (income) expense, net</w:t>
            </w:r>
          </w:p>
        </w:tc>
        <w:tc>
          <w:tcPr>
            <w:tcW w:w="8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26</w:t>
            </w:r>
          </w:p>
        </w:tc>
        <w:tc>
          <w:tcPr>
            <w:tcW w:w="12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(209)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235</w:t>
            </w:r>
          </w:p>
        </w:tc>
      </w:tr>
      <w:tr>
        <w:trPr>
          <w:trHeight w:val="133"/>
        </w:trPr>
        <w:tc>
          <w:tcPr>
            <w:tcW w:w="1140" w:type="dxa"/>
            <w:vAlign w:val="bottom"/>
          </w:tcPr>
          <w:p>
            <w:pPr>
              <w:spacing w:after="0"/>
              <w:rPr>
                <w:sz w:val="11"/>
                <w:szCs w:val="11"/>
                <w:color w:val="auto"/>
              </w:rPr>
            </w:pPr>
          </w:p>
        </w:tc>
        <w:tc>
          <w:tcPr>
            <w:tcW w:w="6120" w:type="dxa"/>
            <w:vAlign w:val="bottom"/>
            <w:gridSpan w:val="2"/>
          </w:tcPr>
          <w:p>
            <w:pPr>
              <w:spacing w:after="0" w:line="133" w:lineRule="exact"/>
              <w:rPr>
                <w:sz w:val="20"/>
                <w:szCs w:val="20"/>
                <w:color w:val="auto"/>
              </w:rPr>
            </w:pPr>
            <w:r>
              <w:rPr>
                <w:rFonts w:ascii="Arial" w:cs="Arial" w:eastAsia="Arial" w:hAnsi="Arial"/>
                <w:sz w:val="12"/>
                <w:szCs w:val="12"/>
                <w:color w:val="auto"/>
              </w:rPr>
              <w:t>Income before provision for income taxes</w:t>
            </w:r>
          </w:p>
        </w:tc>
        <w:tc>
          <w:tcPr>
            <w:tcW w:w="740" w:type="dxa"/>
            <w:vAlign w:val="bottom"/>
          </w:tcPr>
          <w:p>
            <w:pPr>
              <w:jc w:val="right"/>
              <w:ind w:right="180"/>
              <w:spacing w:after="0" w:line="133" w:lineRule="exact"/>
              <w:rPr>
                <w:sz w:val="20"/>
                <w:szCs w:val="20"/>
                <w:color w:val="auto"/>
              </w:rPr>
            </w:pPr>
            <w:r>
              <w:rPr>
                <w:rFonts w:ascii="Arial" w:cs="Arial" w:eastAsia="Arial" w:hAnsi="Arial"/>
                <w:sz w:val="12"/>
                <w:szCs w:val="12"/>
                <w:color w:val="auto"/>
              </w:rPr>
              <w:t>6,200</w:t>
            </w:r>
          </w:p>
        </w:tc>
        <w:tc>
          <w:tcPr>
            <w:tcW w:w="1200" w:type="dxa"/>
            <w:vAlign w:val="bottom"/>
          </w:tcPr>
          <w:p>
            <w:pPr>
              <w:jc w:val="right"/>
              <w:ind w:right="180"/>
              <w:spacing w:after="0" w:line="133" w:lineRule="exact"/>
              <w:rPr>
                <w:sz w:val="20"/>
                <w:szCs w:val="20"/>
                <w:color w:val="auto"/>
              </w:rPr>
            </w:pPr>
            <w:r>
              <w:rPr>
                <w:rFonts w:ascii="Arial" w:cs="Arial" w:eastAsia="Arial" w:hAnsi="Arial"/>
                <w:sz w:val="12"/>
                <w:szCs w:val="12"/>
                <w:color w:val="auto"/>
              </w:rPr>
              <w:t>8,128</w:t>
            </w:r>
          </w:p>
        </w:tc>
        <w:tc>
          <w:tcPr>
            <w:tcW w:w="1140" w:type="dxa"/>
            <w:vAlign w:val="bottom"/>
          </w:tcPr>
          <w:p>
            <w:pPr>
              <w:jc w:val="right"/>
              <w:spacing w:after="0" w:line="133" w:lineRule="exact"/>
              <w:rPr>
                <w:sz w:val="20"/>
                <w:szCs w:val="20"/>
                <w:color w:val="auto"/>
              </w:rPr>
            </w:pPr>
            <w:r>
              <w:rPr>
                <w:rFonts w:ascii="Arial" w:cs="Arial" w:eastAsia="Arial" w:hAnsi="Arial"/>
                <w:sz w:val="12"/>
                <w:szCs w:val="12"/>
                <w:color w:val="auto"/>
              </w:rPr>
              <w:t>(1,928)</w:t>
            </w:r>
          </w:p>
        </w:tc>
      </w:tr>
      <w:tr>
        <w:trPr>
          <w:trHeight w:val="162"/>
        </w:trPr>
        <w:tc>
          <w:tcPr>
            <w:tcW w:w="1140" w:type="dxa"/>
            <w:vAlign w:val="bottom"/>
          </w:tcPr>
          <w:p>
            <w:pPr>
              <w:spacing w:after="0"/>
              <w:rPr>
                <w:sz w:val="14"/>
                <w:szCs w:val="14"/>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Provision for income taxes</w:t>
            </w:r>
          </w:p>
        </w:tc>
        <w:tc>
          <w:tcPr>
            <w:tcW w:w="8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2,445</w:t>
            </w:r>
          </w:p>
        </w:tc>
        <w:tc>
          <w:tcPr>
            <w:tcW w:w="12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2,866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(421)</w:t>
            </w:r>
          </w:p>
        </w:tc>
      </w:tr>
      <w:tr>
        <w:trPr>
          <w:trHeight w:val="140"/>
        </w:trPr>
        <w:tc>
          <w:tcPr>
            <w:tcW w:w="1140" w:type="dxa"/>
            <w:vAlign w:val="bottom"/>
          </w:tcPr>
          <w:p>
            <w:pPr>
              <w:spacing w:after="0"/>
              <w:rPr>
                <w:sz w:val="12"/>
                <w:szCs w:val="12"/>
                <w:color w:val="auto"/>
              </w:rPr>
            </w:pPr>
          </w:p>
        </w:tc>
        <w:tc>
          <w:tcPr>
            <w:tcW w:w="5280" w:type="dxa"/>
            <w:vAlign w:val="bottom"/>
          </w:tcPr>
          <w:p>
            <w:pPr>
              <w:spacing w:after="0" w:line="133" w:lineRule="exact"/>
              <w:rPr>
                <w:sz w:val="20"/>
                <w:szCs w:val="20"/>
                <w:color w:val="auto"/>
              </w:rPr>
            </w:pPr>
            <w:r>
              <w:rPr>
                <w:rFonts w:ascii="Arial" w:cs="Arial" w:eastAsia="Arial" w:hAnsi="Arial"/>
                <w:sz w:val="12"/>
                <w:szCs w:val="12"/>
                <w:color w:val="auto"/>
              </w:rPr>
              <w:t>Net income</w:t>
            </w:r>
          </w:p>
        </w:tc>
        <w:tc>
          <w:tcPr>
            <w:tcW w:w="8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80"/>
              <w:spacing w:after="0" w:line="133" w:lineRule="exact"/>
              <w:rPr>
                <w:sz w:val="20"/>
                <w:szCs w:val="20"/>
                <w:color w:val="auto"/>
              </w:rPr>
            </w:pPr>
            <w:r>
              <w:rPr>
                <w:rFonts w:ascii="Arial" w:cs="Arial" w:eastAsia="Arial" w:hAnsi="Arial"/>
                <w:sz w:val="12"/>
                <w:szCs w:val="12"/>
                <w:color w:val="auto"/>
              </w:rPr>
              <w:t>$ 3,755</w:t>
            </w:r>
          </w:p>
        </w:tc>
        <w:tc>
          <w:tcPr>
            <w:tcW w:w="1200" w:type="dxa"/>
            <w:vAlign w:val="bottom"/>
            <w:tcBorders>
              <w:bottom w:val="single" w:sz="8" w:color="auto"/>
            </w:tcBorders>
          </w:tcPr>
          <w:p>
            <w:pPr>
              <w:jc w:val="right"/>
              <w:ind w:right="180"/>
              <w:spacing w:after="0" w:line="133" w:lineRule="exact"/>
              <w:rPr>
                <w:sz w:val="20"/>
                <w:szCs w:val="20"/>
                <w:color w:val="auto"/>
              </w:rPr>
            </w:pPr>
            <w:r>
              <w:rPr>
                <w:rFonts w:ascii="Arial" w:cs="Arial" w:eastAsia="Arial" w:hAnsi="Arial"/>
                <w:sz w:val="12"/>
                <w:szCs w:val="12"/>
                <w:color w:val="auto"/>
              </w:rPr>
              <w:t>$ 5,262</w:t>
            </w:r>
          </w:p>
        </w:tc>
        <w:tc>
          <w:tcPr>
            <w:tcW w:w="1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 (1,507)</w:t>
            </w:r>
          </w:p>
        </w:tc>
      </w:tr>
    </w:tbl>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i w:val="1"/>
          <w:iCs w:val="1"/>
          <w:color w:val="auto"/>
        </w:rPr>
        <w:t xml:space="preserve">Net Sales. </w:t>
      </w:r>
      <w:r>
        <w:rPr>
          <w:rFonts w:ascii="Arial" w:cs="Arial" w:eastAsia="Arial" w:hAnsi="Arial"/>
          <w:sz w:val="12"/>
          <w:szCs w:val="12"/>
          <w:color w:val="auto"/>
        </w:rPr>
        <w:t>Sales have increased due to the addition of Whirlaway, which at March 31, 2007 made up the entire Precision Metal Components Segment, in November 2006 ($18.0 million) and due to appreciation in value of Euro</w:t>
      </w:r>
      <w:r>
        <w:rPr>
          <w:rFonts w:ascii="Arial" w:cs="Arial" w:eastAsia="Arial" w:hAnsi="Arial"/>
          <w:sz w:val="12"/>
          <w:szCs w:val="12"/>
          <w:i w:val="1"/>
          <w:iCs w:val="1"/>
          <w:color w:val="auto"/>
        </w:rPr>
        <w:t xml:space="preserve"> </w:t>
      </w:r>
      <w:r>
        <w:rPr>
          <w:rFonts w:ascii="Arial" w:cs="Arial" w:eastAsia="Arial" w:hAnsi="Arial"/>
          <w:sz w:val="12"/>
          <w:szCs w:val="12"/>
          <w:color w:val="auto"/>
        </w:rPr>
        <w:t>denominated sales relative to the U.S. Dollar ($5.4 million). In addition, sales have increased due to passing through raw material inflation to customers ($1.0 million). Partially offsetting these increases are reductions from price decreases given to several large customers in agreement with contractual terms ($1.2 million) and unfavorable product mix to existing customers ($1.3 million).</w:t>
      </w:r>
    </w:p>
    <w:p>
      <w:pPr>
        <w:spacing w:after="0" w:line="159" w:lineRule="exact"/>
        <w:rPr>
          <w:sz w:val="20"/>
          <w:szCs w:val="20"/>
          <w:color w:val="auto"/>
        </w:rPr>
      </w:pPr>
    </w:p>
    <w:p>
      <w:pPr>
        <w:jc w:val="both"/>
        <w:ind w:right="140"/>
        <w:spacing w:after="0" w:line="263" w:lineRule="auto"/>
        <w:rPr>
          <w:sz w:val="20"/>
          <w:szCs w:val="20"/>
          <w:color w:val="auto"/>
        </w:rPr>
      </w:pPr>
      <w:r>
        <w:rPr>
          <w:rFonts w:ascii="Arial" w:cs="Arial" w:eastAsia="Arial" w:hAnsi="Arial"/>
          <w:sz w:val="12"/>
          <w:szCs w:val="12"/>
          <w:i w:val="1"/>
          <w:iCs w:val="1"/>
          <w:color w:val="auto"/>
        </w:rPr>
        <w:t xml:space="preserve">Cost of Products Sold (exclusive of depreciation and amortization). </w:t>
      </w:r>
      <w:r>
        <w:rPr>
          <w:rFonts w:ascii="Arial" w:cs="Arial" w:eastAsia="Arial" w:hAnsi="Arial"/>
          <w:sz w:val="12"/>
          <w:szCs w:val="12"/>
          <w:color w:val="auto"/>
        </w:rPr>
        <w:t>Cost of products sold increased primarily due to the addition of the Precision Metal Components Segment in November 2006 ($15.1 million) and due to the increase in</w:t>
      </w:r>
      <w:r>
        <w:rPr>
          <w:rFonts w:ascii="Arial" w:cs="Arial" w:eastAsia="Arial" w:hAnsi="Arial"/>
          <w:sz w:val="12"/>
          <w:szCs w:val="12"/>
          <w:i w:val="1"/>
          <w:iCs w:val="1"/>
          <w:color w:val="auto"/>
        </w:rPr>
        <w:t xml:space="preserve"> </w:t>
      </w:r>
      <w:r>
        <w:rPr>
          <w:rFonts w:ascii="Arial" w:cs="Arial" w:eastAsia="Arial" w:hAnsi="Arial"/>
          <w:sz w:val="12"/>
          <w:szCs w:val="12"/>
          <w:color w:val="auto"/>
        </w:rPr>
        <w:t>value of Euro denominated costs relative to the U.S. Dollar ($4.3 million). In addition, raw material, labor and utility inflation increased ($2.0 million). Offsetting these increases were favorable mix impacts to cost of products sold ($1.0 million) and the impact of planned projects focused at reducing cost of manufacturing ($1.3 million).</w:t>
      </w:r>
    </w:p>
    <w:p>
      <w:pPr>
        <w:spacing w:after="0" w:line="159" w:lineRule="exact"/>
        <w:rPr>
          <w:sz w:val="20"/>
          <w:szCs w:val="20"/>
          <w:color w:val="auto"/>
        </w:rPr>
      </w:pPr>
    </w:p>
    <w:p>
      <w:pPr>
        <w:spacing w:after="0" w:line="323" w:lineRule="auto"/>
        <w:rPr>
          <w:sz w:val="20"/>
          <w:szCs w:val="20"/>
          <w:color w:val="auto"/>
        </w:rPr>
      </w:pPr>
      <w:r>
        <w:rPr>
          <w:rFonts w:ascii="Arial" w:cs="Arial" w:eastAsia="Arial" w:hAnsi="Arial"/>
          <w:sz w:val="11"/>
          <w:szCs w:val="11"/>
          <w:i w:val="1"/>
          <w:iCs w:val="1"/>
          <w:color w:val="auto"/>
        </w:rPr>
        <w:t xml:space="preserve">Selling, General and Administrative Expenses. </w:t>
      </w:r>
      <w:r>
        <w:rPr>
          <w:rFonts w:ascii="Arial" w:cs="Arial" w:eastAsia="Arial" w:hAnsi="Arial"/>
          <w:sz w:val="11"/>
          <w:szCs w:val="11"/>
          <w:color w:val="auto"/>
        </w:rPr>
        <w:t>The increase was primarily due to the addition of the Precision Metal Components Segment in November 2006 ($1.1 million). In addition, the total increased due to the increase in the value of</w:t>
      </w:r>
      <w:r>
        <w:rPr>
          <w:rFonts w:ascii="Arial" w:cs="Arial" w:eastAsia="Arial" w:hAnsi="Arial"/>
          <w:sz w:val="11"/>
          <w:szCs w:val="11"/>
          <w:i w:val="1"/>
          <w:iCs w:val="1"/>
          <w:color w:val="auto"/>
        </w:rPr>
        <w:t xml:space="preserve"> </w:t>
      </w:r>
      <w:r>
        <w:rPr>
          <w:rFonts w:ascii="Arial" w:cs="Arial" w:eastAsia="Arial" w:hAnsi="Arial"/>
          <w:sz w:val="11"/>
          <w:szCs w:val="11"/>
          <w:color w:val="auto"/>
        </w:rPr>
        <w:t>the Euro relative to the U.S. Dollar ($0.4 million). Finally, the total was higher due to recognizing stock option expense and from higher spending on consulting and professional fees ($0.2 million).</w:t>
      </w:r>
    </w:p>
    <w:p>
      <w:pPr>
        <w:spacing w:after="0" w:line="128"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i w:val="1"/>
          <w:iCs w:val="1"/>
          <w:color w:val="auto"/>
        </w:rPr>
        <w:t xml:space="preserve">Depreciation and Amortization. </w:t>
      </w:r>
      <w:r>
        <w:rPr>
          <w:rFonts w:ascii="Arial" w:cs="Arial" w:eastAsia="Arial" w:hAnsi="Arial"/>
          <w:sz w:val="12"/>
          <w:szCs w:val="12"/>
          <w:color w:val="auto"/>
        </w:rPr>
        <w:t>These costs are higher due to the acquisition of the Precision Metal Components Segment ($1.0 million) and due to the increase in the value of the Euro based depreciation and amortization relative to the</w:t>
      </w:r>
      <w:r>
        <w:rPr>
          <w:rFonts w:ascii="Arial" w:cs="Arial" w:eastAsia="Arial" w:hAnsi="Arial"/>
          <w:sz w:val="12"/>
          <w:szCs w:val="12"/>
          <w:i w:val="1"/>
          <w:iCs w:val="1"/>
          <w:color w:val="auto"/>
        </w:rPr>
        <w:t xml:space="preserve"> </w:t>
      </w:r>
      <w:r>
        <w:rPr>
          <w:rFonts w:ascii="Arial" w:cs="Arial" w:eastAsia="Arial" w:hAnsi="Arial"/>
          <w:sz w:val="12"/>
          <w:szCs w:val="12"/>
          <w:color w:val="auto"/>
        </w:rPr>
        <w:t>U.S. Dollar ($0.3 million).</w:t>
      </w:r>
    </w:p>
    <w:p>
      <w:pPr>
        <w:spacing w:after="0" w:line="151"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 xml:space="preserve">Interest expense. </w:t>
      </w:r>
      <w:r>
        <w:rPr>
          <w:rFonts w:ascii="Arial" w:cs="Arial" w:eastAsia="Arial" w:hAnsi="Arial"/>
          <w:sz w:val="10"/>
          <w:szCs w:val="10"/>
          <w:color w:val="auto"/>
        </w:rPr>
        <w:t>Interest expense is higher due to the additional debt assumed to acquire the Precision Metal Components Segment, in November 2006 ($0.6 million) and from interest on a note assumed with that acquisition ($0.1 million).</w:t>
      </w:r>
    </w:p>
    <w:p>
      <w:pPr>
        <w:spacing w:after="0" w:line="20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 xml:space="preserve">Gain on disposal of assets. </w:t>
      </w:r>
      <w:r>
        <w:rPr>
          <w:rFonts w:ascii="Arial" w:cs="Arial" w:eastAsia="Arial" w:hAnsi="Arial"/>
          <w:sz w:val="11"/>
          <w:szCs w:val="11"/>
          <w:color w:val="auto"/>
        </w:rPr>
        <w:t>In 2006, we incurred a gain from the sale of excess land at our Pinerolo, Italy facility ($1.8 million) partially offset by a loss on disposal of excess equipment at the same facility ($1.1 million).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51" w:right="219" w:bottom="1440" w:gutter="0" w:footer="0" w:header="0"/>
        </w:sectPr>
      </w:pPr>
    </w:p>
    <w:bookmarkStart w:id="15" w:name="page16"/>
    <w:bookmarkEnd w:id="15"/>
    <w:p>
      <w:pPr>
        <w:spacing w:after="0"/>
        <w:rPr>
          <w:sz w:val="20"/>
          <w:szCs w:val="20"/>
          <w:color w:val="auto"/>
        </w:rPr>
      </w:pPr>
      <w:r>
        <w:rPr>
          <w:rFonts w:ascii="Arial" w:cs="Arial" w:eastAsia="Arial" w:hAnsi="Arial"/>
          <w:sz w:val="12"/>
          <w:szCs w:val="12"/>
          <w:i w:val="1"/>
          <w:iCs w:val="1"/>
          <w:color w:val="auto"/>
        </w:rPr>
        <w:t xml:space="preserve">Provision for income taxes. </w:t>
      </w:r>
      <w:r>
        <w:rPr>
          <w:rFonts w:ascii="Arial" w:cs="Arial" w:eastAsia="Arial" w:hAnsi="Arial"/>
          <w:sz w:val="12"/>
          <w:szCs w:val="12"/>
          <w:color w:val="auto"/>
        </w:rPr>
        <w:t>The 2006 first quarter effective rate is lower than the historical effective rate due to the favorable 19% tax rate on the gain from sale of land at our Pinerolo, Italy facility.</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BY SEGMENT</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METAL BEARING COMPONENTS SEGMENT</w:t>
      </w:r>
    </w:p>
    <w:p>
      <w:pPr>
        <w:spacing w:after="0" w:line="208"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(In 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9525</wp:posOffset>
            </wp:positionV>
            <wp:extent cx="583374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33745" cy="5715"/>
                    </a:xfrm>
                    <a:prstGeom prst="rect">
                      <a:avLst/>
                    </a:prstGeom>
                    <a:noFill/>
                  </pic:spPr>
                </pic:pic>
              </a:graphicData>
            </a:graphic>
          </wp:anchor>
        </w:drawing>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4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2007</w:t>
            </w:r>
          </w:p>
        </w:tc>
        <w:tc>
          <w:tcPr>
            <w:tcW w:w="1740" w:type="dxa"/>
            <w:vAlign w:val="bottom"/>
          </w:tcPr>
          <w:p>
            <w:pPr>
              <w:jc w:val="right"/>
              <w:ind w:right="120"/>
              <w:spacing w:after="0"/>
              <w:rPr>
                <w:sz w:val="20"/>
                <w:szCs w:val="20"/>
                <w:color w:val="auto"/>
              </w:rPr>
            </w:pPr>
            <w:r>
              <w:rPr>
                <w:rFonts w:ascii="Arial" w:cs="Arial" w:eastAsia="Arial" w:hAnsi="Arial"/>
                <w:sz w:val="12"/>
                <w:szCs w:val="12"/>
                <w:b w:val="1"/>
                <w:bCs w:val="1"/>
                <w:color w:val="auto"/>
              </w:rPr>
              <w:t>2006</w:t>
            </w:r>
          </w:p>
        </w:tc>
        <w:tc>
          <w:tcPr>
            <w:tcW w:w="840" w:type="dxa"/>
            <w:vAlign w:val="bottom"/>
          </w:tcPr>
          <w:p>
            <w:pPr>
              <w:spacing w:after="0"/>
              <w:rPr>
                <w:sz w:val="13"/>
                <w:szCs w:val="13"/>
                <w:color w:val="auto"/>
              </w:rPr>
            </w:pPr>
          </w:p>
        </w:tc>
        <w:tc>
          <w:tcPr>
            <w:tcW w:w="1180" w:type="dxa"/>
            <w:vAlign w:val="bottom"/>
          </w:tcPr>
          <w:p>
            <w:pPr>
              <w:jc w:val="right"/>
              <w:ind w:right="460"/>
              <w:spacing w:after="0"/>
              <w:rPr>
                <w:sz w:val="20"/>
                <w:szCs w:val="20"/>
                <w:color w:val="auto"/>
              </w:rPr>
            </w:pPr>
            <w:r>
              <w:rPr>
                <w:rFonts w:ascii="Arial" w:cs="Arial" w:eastAsia="Arial" w:hAnsi="Arial"/>
                <w:sz w:val="12"/>
                <w:szCs w:val="12"/>
                <w:b w:val="1"/>
                <w:bCs w:val="1"/>
                <w:color w:val="auto"/>
              </w:rPr>
              <w:t>Change</w:t>
            </w:r>
          </w:p>
        </w:tc>
      </w:tr>
      <w:tr>
        <w:trPr>
          <w:trHeight w:val="151"/>
        </w:trPr>
        <w:tc>
          <w:tcPr>
            <w:tcW w:w="44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r>
      <w:tr>
        <w:trPr>
          <w:trHeight w:val="162"/>
        </w:trPr>
        <w:tc>
          <w:tcPr>
            <w:tcW w:w="54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sales</w:t>
            </w:r>
          </w:p>
        </w:tc>
        <w:tc>
          <w:tcPr>
            <w:tcW w:w="1740" w:type="dxa"/>
            <w:vAlign w:val="bottom"/>
            <w:shd w:val="clear" w:color="auto" w:fill="CCEEFF"/>
          </w:tcPr>
          <w:p>
            <w:pPr>
              <w:jc w:val="right"/>
              <w:ind w:right="1120"/>
              <w:spacing w:after="0"/>
              <w:rPr>
                <w:sz w:val="20"/>
                <w:szCs w:val="20"/>
                <w:color w:val="auto"/>
              </w:rPr>
            </w:pPr>
            <w:r>
              <w:rPr>
                <w:rFonts w:ascii="Arial" w:cs="Arial" w:eastAsia="Arial" w:hAnsi="Arial"/>
                <w:sz w:val="12"/>
                <w:szCs w:val="12"/>
                <w:color w:val="auto"/>
              </w:rPr>
              <w:t>$ 77,285</w:t>
            </w:r>
          </w:p>
        </w:tc>
        <w:tc>
          <w:tcPr>
            <w:tcW w:w="8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$ 71,340</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$ 5,945</w:t>
            </w:r>
          </w:p>
        </w:tc>
      </w:tr>
      <w:tr>
        <w:trPr>
          <w:trHeight w:val="162"/>
        </w:trPr>
        <w:tc>
          <w:tcPr>
            <w:tcW w:w="4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54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Segment profit</w:t>
            </w:r>
          </w:p>
        </w:tc>
        <w:tc>
          <w:tcPr>
            <w:tcW w:w="1740" w:type="dxa"/>
            <w:vAlign w:val="bottom"/>
            <w:shd w:val="clear" w:color="auto" w:fill="CCEEFF"/>
          </w:tcPr>
          <w:p>
            <w:pPr>
              <w:jc w:val="right"/>
              <w:ind w:right="1120"/>
              <w:spacing w:after="0"/>
              <w:rPr>
                <w:sz w:val="20"/>
                <w:szCs w:val="20"/>
                <w:color w:val="auto"/>
              </w:rPr>
            </w:pPr>
            <w:r>
              <w:rPr>
                <w:rFonts w:ascii="Arial" w:cs="Arial" w:eastAsia="Arial" w:hAnsi="Arial"/>
                <w:sz w:val="12"/>
                <w:szCs w:val="12"/>
                <w:color w:val="auto"/>
              </w:rPr>
              <w:t>$ 4,883</w:t>
            </w:r>
          </w:p>
        </w:tc>
        <w:tc>
          <w:tcPr>
            <w:tcW w:w="8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$ 5,818</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(935)</w:t>
            </w:r>
          </w:p>
        </w:tc>
      </w:tr>
    </w:tbl>
    <w:p>
      <w:pPr>
        <w:spacing w:after="0" w:line="351"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sales increase at the Metal Bearing Components Segment was primarily due to the positive impacts from the rise in value of Euro based sales relative to the U.S. Dollar ($5.4 million). Additionally, the Metal Bearing Components Segment experienced higher volume with existing European customers ($2.2 million) and increases related to passing through raw material inflation to customers ($0.9 million). These increases were partially offset by unfavorable product mix to existing customers ($1.4 million) and due to contractual price decreases to certain large customers ($1.2 million).</w:t>
      </w:r>
    </w:p>
    <w:p>
      <w:pPr>
        <w:spacing w:after="0" w:line="159"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The decrease in segment profit in the first quarter of 2007 was primarily related to price decreases given to certain customers under contractual terms ($0.7 million, net of tax) and a gain on the sale of land at our Pinerolo, Italy facility in the first quarter of 2006 ($0.8 million, net of tax). Raw material cost inflation was offset by price increases under contractual terms to certain customers, resulting in little impact on segment profit. Additionally, cost reduction projects offset utility and labor inflation. Euro denominated net sales and profits were favorably impacted by the increase in the value of the Euro against the U.S. Dollar ($0.3 million, net of tax). Finally, the favorable impact from higher sales volumes in Europe increased profit ($0.4 million, net of tax).</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PRECISION METAL COMPONENTS SEGMENT</w:t>
      </w:r>
    </w:p>
    <w:p>
      <w:pPr>
        <w:spacing w:after="0" w:line="208"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(In 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9525</wp:posOffset>
            </wp:positionV>
            <wp:extent cx="583374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33745" cy="5715"/>
                    </a:xfrm>
                    <a:prstGeom prst="rect">
                      <a:avLst/>
                    </a:prstGeom>
                    <a:noFill/>
                  </pic:spPr>
                </pic:pic>
              </a:graphicData>
            </a:graphic>
          </wp:anchor>
        </w:drawing>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3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2007</w:t>
            </w:r>
          </w:p>
        </w:tc>
        <w:tc>
          <w:tcPr>
            <w:tcW w:w="1820" w:type="dxa"/>
            <w:vAlign w:val="bottom"/>
          </w:tcPr>
          <w:p>
            <w:pPr>
              <w:jc w:val="right"/>
              <w:ind w:right="220"/>
              <w:spacing w:after="0"/>
              <w:rPr>
                <w:sz w:val="20"/>
                <w:szCs w:val="20"/>
                <w:color w:val="auto"/>
              </w:rPr>
            </w:pPr>
            <w:r>
              <w:rPr>
                <w:rFonts w:ascii="Arial" w:cs="Arial" w:eastAsia="Arial" w:hAnsi="Arial"/>
                <w:sz w:val="12"/>
                <w:szCs w:val="12"/>
                <w:b w:val="1"/>
                <w:bCs w:val="1"/>
                <w:color w:val="auto"/>
              </w:rPr>
              <w:t>2006</w:t>
            </w:r>
          </w:p>
        </w:tc>
        <w:tc>
          <w:tcPr>
            <w:tcW w:w="760" w:type="dxa"/>
            <w:vAlign w:val="bottom"/>
          </w:tcPr>
          <w:p>
            <w:pPr>
              <w:spacing w:after="0"/>
              <w:rPr>
                <w:sz w:val="13"/>
                <w:szCs w:val="13"/>
                <w:color w:val="auto"/>
              </w:rPr>
            </w:pPr>
          </w:p>
        </w:tc>
        <w:tc>
          <w:tcPr>
            <w:tcW w:w="1280" w:type="dxa"/>
            <w:vAlign w:val="bottom"/>
          </w:tcPr>
          <w:p>
            <w:pPr>
              <w:jc w:val="right"/>
              <w:ind w:right="540"/>
              <w:spacing w:after="0"/>
              <w:rPr>
                <w:sz w:val="20"/>
                <w:szCs w:val="20"/>
                <w:color w:val="auto"/>
              </w:rPr>
            </w:pPr>
            <w:r>
              <w:rPr>
                <w:rFonts w:ascii="Arial" w:cs="Arial" w:eastAsia="Arial" w:hAnsi="Arial"/>
                <w:sz w:val="12"/>
                <w:szCs w:val="12"/>
                <w:b w:val="1"/>
                <w:bCs w:val="1"/>
                <w:color w:val="auto"/>
              </w:rPr>
              <w:t>Change</w:t>
            </w:r>
          </w:p>
        </w:tc>
      </w:tr>
      <w:tr>
        <w:trPr>
          <w:trHeight w:val="151"/>
        </w:trPr>
        <w:tc>
          <w:tcPr>
            <w:tcW w:w="43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r>
      <w:tr>
        <w:trPr>
          <w:trHeight w:val="162"/>
        </w:trPr>
        <w:tc>
          <w:tcPr>
            <w:tcW w:w="5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sales</w:t>
            </w:r>
          </w:p>
        </w:tc>
        <w:tc>
          <w:tcPr>
            <w:tcW w:w="1820" w:type="dxa"/>
            <w:vAlign w:val="bottom"/>
            <w:shd w:val="clear" w:color="auto" w:fill="CCEEFF"/>
          </w:tcPr>
          <w:p>
            <w:pPr>
              <w:jc w:val="right"/>
              <w:ind w:right="1220"/>
              <w:spacing w:after="0"/>
              <w:rPr>
                <w:sz w:val="20"/>
                <w:szCs w:val="20"/>
                <w:color w:val="auto"/>
              </w:rPr>
            </w:pPr>
            <w:r>
              <w:rPr>
                <w:rFonts w:ascii="Arial" w:cs="Arial" w:eastAsia="Arial" w:hAnsi="Arial"/>
                <w:sz w:val="12"/>
                <w:szCs w:val="12"/>
                <w:color w:val="auto"/>
              </w:rPr>
              <w:t>$ 18,028</w:t>
            </w:r>
          </w:p>
        </w:tc>
        <w:tc>
          <w:tcPr>
            <w:tcW w:w="76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 --</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$ 18,028</w:t>
            </w:r>
          </w:p>
        </w:tc>
      </w:tr>
      <w:tr>
        <w:trPr>
          <w:trHeight w:val="162"/>
        </w:trPr>
        <w:tc>
          <w:tcPr>
            <w:tcW w:w="4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5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Segment profit</w:t>
            </w:r>
          </w:p>
        </w:tc>
        <w:tc>
          <w:tcPr>
            <w:tcW w:w="1820" w:type="dxa"/>
            <w:vAlign w:val="bottom"/>
            <w:shd w:val="clear" w:color="auto" w:fill="CCEEFF"/>
          </w:tcPr>
          <w:p>
            <w:pPr>
              <w:jc w:val="right"/>
              <w:ind w:right="1220"/>
              <w:spacing w:after="0"/>
              <w:rPr>
                <w:sz w:val="20"/>
                <w:szCs w:val="20"/>
                <w:color w:val="auto"/>
              </w:rPr>
            </w:pPr>
            <w:r>
              <w:rPr>
                <w:rFonts w:ascii="Arial" w:cs="Arial" w:eastAsia="Arial" w:hAnsi="Arial"/>
                <w:sz w:val="12"/>
                <w:szCs w:val="12"/>
                <w:color w:val="auto"/>
              </w:rPr>
              <w:t>$ 47</w:t>
            </w:r>
          </w:p>
        </w:tc>
        <w:tc>
          <w:tcPr>
            <w:tcW w:w="76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 --</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$ 47</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The Precision Metal Components Segment was added on November 30, 2006 with the purchase of Whirlaway. Therefore, the segment was not included in the financial statements of the quarter ended March 31, 2006.</w:t>
      </w:r>
    </w:p>
    <w:p>
      <w:pPr>
        <w:spacing w:after="0" w:line="198" w:lineRule="exact"/>
        <w:rPr>
          <w:sz w:val="20"/>
          <w:szCs w:val="20"/>
          <w:color w:val="auto"/>
        </w:rPr>
      </w:pPr>
    </w:p>
    <w:p>
      <w:pPr>
        <w:ind w:right="240"/>
        <w:spacing w:after="0" w:line="263" w:lineRule="auto"/>
        <w:rPr>
          <w:sz w:val="20"/>
          <w:szCs w:val="20"/>
          <w:color w:val="auto"/>
        </w:rPr>
      </w:pPr>
      <w:r>
        <w:rPr>
          <w:rFonts w:ascii="Arial" w:cs="Arial" w:eastAsia="Arial" w:hAnsi="Arial"/>
          <w:sz w:val="12"/>
          <w:szCs w:val="12"/>
          <w:color w:val="auto"/>
        </w:rPr>
        <w:t>The first quarter 2007 results of Whirlaway are not indicative of normalized annual operations. Historically, the first quarter has lower volume than average due to the purchasing patterns of the end markets served. Volume in the first quarter of 2007 was down against historical sales levels due to lower demand at customers that serve the U.S. automotive and housing markets. The segment sales and segment profit were in line with management expectations for the quarter.</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131" w:right="25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u w:val="single" w:color="auto"/>
          <w:color w:val="auto"/>
        </w:rPr>
        <w:t>PLASTIC AND RUBBER COMPONENTS SEGMENT</w:t>
      </w:r>
    </w:p>
    <w:p>
      <w:pPr>
        <w:spacing w:after="0" w:line="208"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(In 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9525</wp:posOffset>
            </wp:positionV>
            <wp:extent cx="583374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33745" cy="5715"/>
                    </a:xfrm>
                    <a:prstGeom prst="rect">
                      <a:avLst/>
                    </a:prstGeom>
                    <a:noFill/>
                  </pic:spPr>
                </pic:pic>
              </a:graphicData>
            </a:graphic>
          </wp:anchor>
        </w:drawing>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5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2007</w:t>
            </w:r>
          </w:p>
        </w:tc>
        <w:tc>
          <w:tcPr>
            <w:tcW w:w="2080" w:type="dxa"/>
            <w:vAlign w:val="bottom"/>
          </w:tcPr>
          <w:p>
            <w:pPr>
              <w:jc w:val="right"/>
              <w:ind w:right="240"/>
              <w:spacing w:after="0"/>
              <w:rPr>
                <w:sz w:val="20"/>
                <w:szCs w:val="20"/>
                <w:color w:val="auto"/>
              </w:rPr>
            </w:pPr>
            <w:r>
              <w:rPr>
                <w:rFonts w:ascii="Arial" w:cs="Arial" w:eastAsia="Arial" w:hAnsi="Arial"/>
                <w:sz w:val="12"/>
                <w:szCs w:val="12"/>
                <w:b w:val="1"/>
                <w:bCs w:val="1"/>
                <w:color w:val="auto"/>
              </w:rPr>
              <w:t>2006</w:t>
            </w:r>
          </w:p>
        </w:tc>
        <w:tc>
          <w:tcPr>
            <w:tcW w:w="1080" w:type="dxa"/>
            <w:vAlign w:val="bottom"/>
          </w:tcPr>
          <w:p>
            <w:pPr>
              <w:spacing w:after="0"/>
              <w:rPr>
                <w:sz w:val="13"/>
                <w:szCs w:val="13"/>
                <w:color w:val="auto"/>
              </w:rPr>
            </w:pPr>
          </w:p>
        </w:tc>
        <w:tc>
          <w:tcPr>
            <w:tcW w:w="1520" w:type="dxa"/>
            <w:vAlign w:val="bottom"/>
          </w:tcPr>
          <w:p>
            <w:pPr>
              <w:jc w:val="right"/>
              <w:ind w:right="700"/>
              <w:spacing w:after="0"/>
              <w:rPr>
                <w:sz w:val="20"/>
                <w:szCs w:val="20"/>
                <w:color w:val="auto"/>
              </w:rPr>
            </w:pPr>
            <w:r>
              <w:rPr>
                <w:rFonts w:ascii="Arial" w:cs="Arial" w:eastAsia="Arial" w:hAnsi="Arial"/>
                <w:sz w:val="12"/>
                <w:szCs w:val="12"/>
                <w:b w:val="1"/>
                <w:bCs w:val="1"/>
                <w:color w:val="auto"/>
              </w:rPr>
              <w:t>Change</w:t>
            </w:r>
          </w:p>
        </w:tc>
      </w:tr>
      <w:tr>
        <w:trPr>
          <w:trHeight w:val="151"/>
        </w:trPr>
        <w:tc>
          <w:tcPr>
            <w:tcW w:w="356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r>
      <w:tr>
        <w:trPr>
          <w:trHeight w:val="162"/>
        </w:trPr>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sales</w:t>
            </w:r>
          </w:p>
        </w:tc>
        <w:tc>
          <w:tcPr>
            <w:tcW w:w="2080" w:type="dxa"/>
            <w:vAlign w:val="bottom"/>
            <w:shd w:val="clear" w:color="auto" w:fill="CCEEFF"/>
          </w:tcPr>
          <w:p>
            <w:pPr>
              <w:jc w:val="right"/>
              <w:ind w:right="1480"/>
              <w:spacing w:after="0"/>
              <w:rPr>
                <w:sz w:val="20"/>
                <w:szCs w:val="20"/>
                <w:color w:val="auto"/>
              </w:rPr>
            </w:pPr>
            <w:r>
              <w:rPr>
                <w:rFonts w:ascii="Arial" w:cs="Arial" w:eastAsia="Arial" w:hAnsi="Arial"/>
                <w:sz w:val="12"/>
                <w:szCs w:val="12"/>
                <w:color w:val="auto"/>
              </w:rPr>
              <w:t>$ 12,631</w:t>
            </w:r>
          </w:p>
        </w:tc>
        <w:tc>
          <w:tcPr>
            <w:tcW w:w="10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$ 14,677</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(2,046)</w:t>
            </w:r>
          </w:p>
        </w:tc>
      </w:tr>
      <w:tr>
        <w:trPr>
          <w:trHeight w:val="162"/>
        </w:trPr>
        <w:tc>
          <w:tcPr>
            <w:tcW w:w="3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4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Segment profit</w:t>
            </w:r>
          </w:p>
        </w:tc>
        <w:tc>
          <w:tcPr>
            <w:tcW w:w="2080" w:type="dxa"/>
            <w:vAlign w:val="bottom"/>
            <w:shd w:val="clear" w:color="auto" w:fill="CCEEFF"/>
          </w:tcPr>
          <w:p>
            <w:pPr>
              <w:jc w:val="right"/>
              <w:ind w:right="1480"/>
              <w:spacing w:after="0"/>
              <w:rPr>
                <w:sz w:val="20"/>
                <w:szCs w:val="20"/>
                <w:color w:val="auto"/>
              </w:rPr>
            </w:pPr>
            <w:r>
              <w:rPr>
                <w:rFonts w:ascii="Arial" w:cs="Arial" w:eastAsia="Arial" w:hAnsi="Arial"/>
                <w:sz w:val="12"/>
                <w:szCs w:val="12"/>
                <w:color w:val="auto"/>
              </w:rPr>
              <w:t>$ 489</w:t>
            </w:r>
          </w:p>
        </w:tc>
        <w:tc>
          <w:tcPr>
            <w:tcW w:w="10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$ 929</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(440)</w:t>
            </w:r>
          </w:p>
        </w:tc>
      </w:tr>
    </w:tbl>
    <w:p>
      <w:pPr>
        <w:spacing w:after="0" w:line="171"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Revenues in the Plastic and Rubber Components Segment were down due to lower sales volume into the automotive market ($1.4 million) and lower sales to certain specialty non-automotive customers ($0.8 million). Partially offsetting the volume decreases were benefits from raw material inflation pass through ($0.2 million).</w:t>
      </w:r>
    </w:p>
    <w:p>
      <w:pPr>
        <w:spacing w:after="0" w:line="151" w:lineRule="exact"/>
        <w:rPr>
          <w:sz w:val="20"/>
          <w:szCs w:val="20"/>
          <w:color w:val="auto"/>
        </w:rPr>
      </w:pPr>
    </w:p>
    <w:p>
      <w:pPr>
        <w:spacing w:after="0"/>
        <w:rPr>
          <w:sz w:val="20"/>
          <w:szCs w:val="20"/>
          <w:color w:val="auto"/>
        </w:rPr>
      </w:pPr>
      <w:r>
        <w:rPr>
          <w:rFonts w:ascii="Arial" w:cs="Arial" w:eastAsia="Arial" w:hAnsi="Arial"/>
          <w:sz w:val="11"/>
          <w:szCs w:val="11"/>
          <w:color w:val="auto"/>
        </w:rPr>
        <w:t>Segment profit was negatively affected by the volume decreases in sales net of cost of goods sold ($0.7 million, after tax). Partially offsetting the volume impact were planned cost reduction projects net of inflation ($0.3 million, after tax).</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90"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Amounts outstanding under our $90.0 million credit facility and our $40.0 million notes as of March 31, 2007 were $66.1 million and $40.0 million, respectively. See Note 8 of the Notes to Consolidated Financial Statements. We were in compliance with all covenants of our $90.0 million syndicated credit facility and our $40.0 million senior notes as of March 31, 2007.</w:t>
      </w:r>
    </w:p>
    <w:p>
      <w:pPr>
        <w:spacing w:after="0" w:line="151"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As of March 31, 2007, the Company had $24 million of availability under the $90.0 million five year revolving credit facility, with Key Bank as the administrative agent, which can be increased up to a maximum of $120.0 million under certain conditions. Our borrowings under the credit facility increased by $18.6 million related to the acquisition of Whirlaway. In addition, short-term borrowings increased $8.1million due to short-term cash flow needs from increased receivable balances and increased cash balances at our European operations.</w:t>
      </w:r>
    </w:p>
    <w:p>
      <w:pPr>
        <w:spacing w:after="0" w:line="159" w:lineRule="exact"/>
        <w:rPr>
          <w:sz w:val="20"/>
          <w:szCs w:val="20"/>
          <w:color w:val="auto"/>
        </w:rPr>
      </w:pPr>
    </w:p>
    <w:p>
      <w:pPr>
        <w:ind w:right="100"/>
        <w:spacing w:after="0" w:line="298" w:lineRule="auto"/>
        <w:rPr>
          <w:sz w:val="20"/>
          <w:szCs w:val="20"/>
          <w:color w:val="auto"/>
        </w:rPr>
      </w:pPr>
      <w:r>
        <w:rPr>
          <w:rFonts w:ascii="Arial" w:cs="Arial" w:eastAsia="Arial" w:hAnsi="Arial"/>
          <w:sz w:val="11"/>
          <w:szCs w:val="11"/>
          <w:color w:val="auto"/>
        </w:rPr>
        <w:t>Many of our locations use the Euro as their functional currency. In 2007, the fluctuation of the Euro against the U.S. Dollar favorably impacted revenue and income and increased the value of assets and liabilities, as the average Euro exchange rate was higher for the three months ended March 31, 2007 compared with the three months ended March 31, 2006 and the spot rate at March 31, 2007 was higher than the exchange rate at December 31, 2006. As of March 31, 2007, no currency hedges were in place. Changes in value of the U.S. Dollar and/or Euro against foreign currencies could impair our ability to compete with international competitors for foreign as well as domestic sales.</w:t>
      </w:r>
    </w:p>
    <w:p>
      <w:pPr>
        <w:spacing w:after="0" w:line="141"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Working capital, which consists principally of accounts receivable and inventories offset by accounts payable, was $53.8 million at March 31, 2007 as compared to $51.0 million at December 31, 2006. The ratio of current assets to current liabilities decreased from 1.68:1 at December 31, 2006 to 1.61:1 at March 31, 2007. The increase in working capital was due primarily to the increase in the cash balance at our European operations ($5.6 million) and the increase in accounts receivable balances ($9.0 million) due to higher sales volume in the first quarter of 2007 compared to the fourth quarter of 2006. Partially offsetting these increases was the addition of dividends payable ($1.4 million) and a higher current maturities of long-term debt balance ($9.3 million).</w:t>
      </w:r>
    </w:p>
    <w:p>
      <w:pPr>
        <w:spacing w:after="0" w:line="161"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Cash flow used by operations was $ 0.1 million during the first three months of 2007, compared with cash flow used by operations of $3.2 million during the first three months of 2006. The decrease in cash flow used by operations is due to accounts receivable having increased in 2007 at a much lower rate than 2006 due to improved days sales outstanding in 2007.</w:t>
      </w:r>
    </w:p>
    <w:p>
      <w:pPr>
        <w:spacing w:after="0" w:line="151" w:lineRule="exact"/>
        <w:rPr>
          <w:sz w:val="20"/>
          <w:szCs w:val="20"/>
          <w:color w:val="auto"/>
        </w:rPr>
      </w:pPr>
    </w:p>
    <w:p>
      <w:pPr>
        <w:spacing w:after="0" w:line="340" w:lineRule="auto"/>
        <w:rPr>
          <w:sz w:val="20"/>
          <w:szCs w:val="20"/>
          <w:color w:val="auto"/>
        </w:rPr>
      </w:pPr>
      <w:r>
        <w:rPr>
          <w:rFonts w:ascii="Arial" w:cs="Arial" w:eastAsia="Arial" w:hAnsi="Arial"/>
          <w:sz w:val="10"/>
          <w:szCs w:val="10"/>
          <w:color w:val="auto"/>
        </w:rPr>
        <w:t>Total assets and current assets increased approximately $2.2 million and $0.8 million, respectively, from the December 31, 2006 balance due to appreciation of the Euro relative to the U.S. Dollar. Factoring out the foreign exchange effects, accounts receivable was up due to higher sales volume in the first quarter of 2007 than the fourth quarter of 2006 ($9.0 million). Inventories were higher ($0.9 million) due to higher sales volumes. Cash and cash equivalents were higher due to the positive cash flow at our European operations ($5.7 million). Factoring out foreign exchange effects, property, plant and equipment was lower as year to date capital spending has been lower than depreciation ($1.9 million).</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289" w:right="239" w:bottom="1440" w:gutter="0" w:footer="0" w:header="0"/>
        </w:sectPr>
      </w:pPr>
    </w:p>
    <w:bookmarkStart w:id="17" w:name="page18"/>
    <w:bookmarkEnd w:id="17"/>
    <w:p>
      <w:pPr>
        <w:spacing w:after="0" w:line="259" w:lineRule="auto"/>
        <w:rPr>
          <w:sz w:val="20"/>
          <w:szCs w:val="20"/>
          <w:color w:val="auto"/>
        </w:rPr>
      </w:pPr>
      <w:r>
        <w:rPr>
          <w:rFonts w:ascii="Arial" w:cs="Arial" w:eastAsia="Arial" w:hAnsi="Arial"/>
          <w:sz w:val="12"/>
          <w:szCs w:val="12"/>
          <w:color w:val="auto"/>
        </w:rPr>
        <w:t>Total liabilities and current liabilities increased approximately $1.0 million and $0.7 million, respectively, from the December 31, 2006 balance due to appreciation of the Euro relative to the U.S. Dollar. Factoring out the foreign exchange effects, accounts payable was lower primarily due to the pay-off of certain payables from year end December 31, 2006 ($2.0 million). The short-term portion of long-term debt increased as we used our short-term swing line to finance the increase in working capital from year end due to higher sales ($9.3 million). In addition, due to the declared but unpaid dividend, liabilities increased in the first quarter ($1.4 million). Finally, liabilities increased due to the accrual of taxes on first quarter income and from the adoption of FIN 48 ($2.5 million).</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During 2007, we plan to spend approximately $19.0 million on capital expenditures of which $11.3 million is related primarily to equipment, process upgrades, and replacements and approximately $7.7 million is related to geographic expansion of our manufacturing base. Of these amounts, approximately $3.2 million has been spent through March 31, 2007. We intend to finance these activities with cash generated from operations and funds available under the credit facilities described above. We believe that funds generated from operations and borrowings from the credit facilities will be sufficient to finance our working capital needs, projected capital expenditure requirements and dividend payments through December 2007.</w:t>
      </w:r>
    </w:p>
    <w:p>
      <w:pPr>
        <w:spacing w:after="0" w:line="161" w:lineRule="exact"/>
        <w:rPr>
          <w:sz w:val="20"/>
          <w:szCs w:val="20"/>
          <w:color w:val="auto"/>
        </w:rPr>
      </w:pPr>
    </w:p>
    <w:p>
      <w:pPr>
        <w:ind w:right="20"/>
        <w:spacing w:after="0" w:line="380" w:lineRule="auto"/>
        <w:rPr>
          <w:sz w:val="20"/>
          <w:szCs w:val="20"/>
          <w:color w:val="auto"/>
        </w:rPr>
      </w:pPr>
      <w:r>
        <w:rPr>
          <w:rFonts w:ascii="Arial" w:cs="Arial" w:eastAsia="Arial" w:hAnsi="Arial"/>
          <w:sz w:val="10"/>
          <w:szCs w:val="10"/>
          <w:color w:val="auto"/>
        </w:rPr>
        <w:t>During the first quarter of 2006, our Board of Directors authorized a stock repurchase program under which we are authorized to repurchase up to $10 million in our common stock during the subsequent 18 months in the open market or in private transactions, in accordance with applicable laws and regulations. During the three month period ended March 31, 2007, the Company did not repurchase any shares under this plan or make any other repurchases of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auto"/>
        </w:rPr>
        <w:t>During the first quarter of 2007, a dividend was declared on March 14, 2007 totaling $1.4 million. This dividend was paid on April 6, 2007.</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Seasonality and Fluctuation in Quarterly Results</w:t>
      </w:r>
    </w:p>
    <w:p>
      <w:pPr>
        <w:spacing w:after="0" w:line="190"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Our net sales in the Metal Bearing Components Segment historically have been of a seasonal nature due to the fact that a significant portion of our sales are to European customers that significantly slow production during the month of August. With the addition of the Precision Metal Components Segment, the seasonality of the Company should become less pronounced as sales volumes within this segment are lower in the first and fourth quarters and higher in the second and third quarters.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90"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Our significant accounting policies, including the assumptions and judgments underlying them, are disclosed in our annual report on Form 10-K for the year ended December 31, 2006, including those policies as discussed in Note 1 to the annual report. These policies have been consistently applied in all material respects and address such matters as revenue recognition, inventory valuation, asset impairment recognition, business combination accounting and pension and postretirement benefits. There can be no assurance that actual results will not significantly differ from the estimates used in these critical immaterial accounting policies. The only change during the three month period ended March 31, 2007 was adoption of FIN 48 related to accounting for uncertain tax positions. FIN 48 has had an immaterial effect on the financial statements for the three month period ended March 31, 2007.</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 Concentration</w:t>
      </w:r>
    </w:p>
    <w:p>
      <w:pPr>
        <w:spacing w:after="0" w:line="190"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In January 2007, we entered into a two-year supply agreement with Schaeffler Group (INA) effective as of July 1, 2006 that replaced the agreement that expired on June 30, 2006. Terms of a new multi-year contract were agreed to with SKF in the second quarter of 2007 and those terms will be retroactively effective as of January 1, 2007 and will be effective until December 31, 2009.</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European Restructuring</w:t>
      </w:r>
    </w:p>
    <w:p>
      <w:pPr>
        <w:spacing w:after="0" w:line="190" w:lineRule="exact"/>
        <w:rPr>
          <w:sz w:val="20"/>
          <w:szCs w:val="20"/>
          <w:color w:val="auto"/>
        </w:rPr>
      </w:pPr>
    </w:p>
    <w:p>
      <w:pPr>
        <w:ind w:right="440"/>
        <w:spacing w:after="0" w:line="276" w:lineRule="auto"/>
        <w:rPr>
          <w:sz w:val="20"/>
          <w:szCs w:val="20"/>
          <w:color w:val="auto"/>
        </w:rPr>
      </w:pPr>
      <w:r>
        <w:rPr>
          <w:rFonts w:ascii="Arial" w:cs="Arial" w:eastAsia="Arial" w:hAnsi="Arial"/>
          <w:sz w:val="12"/>
          <w:szCs w:val="12"/>
          <w:color w:val="auto"/>
        </w:rPr>
        <w:t>As previously mentioned in our annual report on Form 10-K for the year ended December 31, 2006, during 2006 we entered into negotiations with representatives of the Eltmann, Germany plant employees. The negotiations seek significant wage reductions and changes in work rules. These negotiations are still in process as of the date of this report and are still expected to be concluded during 2007.</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31" w:right="239" w:bottom="1440" w:gutter="0" w:footer="0" w:header="0"/>
        </w:sectPr>
      </w:pPr>
    </w:p>
    <w:bookmarkStart w:id="18" w:name="page19"/>
    <w:bookmarkEnd w:id="18"/>
    <w:p>
      <w:pPr>
        <w:ind w:right="220"/>
        <w:spacing w:after="0" w:line="263" w:lineRule="auto"/>
        <w:rPr>
          <w:sz w:val="20"/>
          <w:szCs w:val="20"/>
          <w:color w:val="auto"/>
        </w:rPr>
      </w:pPr>
      <w:r>
        <w:rPr>
          <w:rFonts w:ascii="Arial" w:cs="Arial" w:eastAsia="Arial" w:hAnsi="Arial"/>
          <w:sz w:val="12"/>
          <w:szCs w:val="12"/>
          <w:color w:val="auto"/>
        </w:rPr>
        <w:t>If a satisfactory agreement cannot be reached, we may begin to shift production to lower cost facilities, thereby incurring costs for the production shifts and necessitating further restructuring at the Eltmann facility, which could include actions leading to a significant downsizing or even closure of the facility. If this were to occur, we would experience significant cash restructuring costs and impairment charges for tangible and intangible assets. In addition, such a restructuring might cause assets at other European plants to become impaired. We do not believe that such action is probable at this time.</w:t>
      </w:r>
    </w:p>
    <w:p>
      <w:pPr>
        <w:spacing w:after="0" w:line="335"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90" w:lineRule="exact"/>
        <w:rPr>
          <w:sz w:val="20"/>
          <w:szCs w:val="20"/>
          <w:color w:val="auto"/>
        </w:rPr>
      </w:pPr>
    </w:p>
    <w:p>
      <w:pPr>
        <w:ind w:right="80"/>
        <w:spacing w:after="0" w:line="290" w:lineRule="auto"/>
        <w:rPr>
          <w:sz w:val="20"/>
          <w:szCs w:val="20"/>
          <w:color w:val="auto"/>
        </w:rPr>
      </w:pPr>
      <w:r>
        <w:rPr>
          <w:rFonts w:ascii="Arial" w:cs="Arial" w:eastAsia="Arial" w:hAnsi="Arial"/>
          <w:sz w:val="11"/>
          <w:szCs w:val="11"/>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March 31, 2007, we had $66.1 million outstanding under the domestic credit facilities and $40.0 million aggregate principal amount of senior notes outstanding. See Note 8 of the Notes to Consolidated Financial Statements. At March 31, 2007, a one-percent increase in the interest rate charged on our outstanding borrowings under our credit facilities, which are subject to variable interest rates, would result in interest expense increasing annually by approximately $0.6 million.</w:t>
      </w:r>
    </w:p>
    <w:p>
      <w:pPr>
        <w:spacing w:after="0" w:line="145" w:lineRule="exact"/>
        <w:rPr>
          <w:sz w:val="20"/>
          <w:szCs w:val="20"/>
          <w:color w:val="auto"/>
        </w:rPr>
      </w:pPr>
    </w:p>
    <w:p>
      <w:pPr>
        <w:spacing w:after="0"/>
        <w:rPr>
          <w:sz w:val="20"/>
          <w:szCs w:val="20"/>
          <w:color w:val="auto"/>
        </w:rPr>
      </w:pPr>
      <w:r>
        <w:rPr>
          <w:rFonts w:ascii="Arial" w:cs="Arial" w:eastAsia="Arial" w:hAnsi="Arial"/>
          <w:sz w:val="11"/>
          <w:szCs w:val="11"/>
          <w:color w:val="auto"/>
        </w:rPr>
        <w:t>Translation of our operating cash flows denominated in foreign currencies is impacted by changes in foreign exchange rates. We did not hold a position in any foreign currency hedging instruments as of March 31, 2007.</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Item 4. Controls and Procedures</w:t>
      </w:r>
    </w:p>
    <w:p>
      <w:pPr>
        <w:spacing w:after="0" w:line="190" w:lineRule="exact"/>
        <w:rPr>
          <w:sz w:val="20"/>
          <w:szCs w:val="20"/>
          <w:color w:val="auto"/>
        </w:rPr>
      </w:pPr>
    </w:p>
    <w:p>
      <w:pPr>
        <w:jc w:val="both"/>
        <w:ind w:right="440"/>
        <w:spacing w:after="0" w:line="298" w:lineRule="auto"/>
        <w:rPr>
          <w:sz w:val="20"/>
          <w:szCs w:val="20"/>
          <w:color w:val="auto"/>
        </w:rPr>
      </w:pPr>
      <w:r>
        <w:rPr>
          <w:rFonts w:ascii="Arial" w:cs="Arial" w:eastAsia="Arial" w:hAnsi="Arial"/>
          <w:sz w:val="11"/>
          <w:szCs w:val="11"/>
          <w:color w:val="auto"/>
        </w:rPr>
        <w:t>Under the supervision and with the participation of our management, including our Chief Executive Officer and Chief Financial Officer, the Company conducted an evaluation of the effectiveness of the design and operation of our disclosure controls and procedures pursuant to Rule 13a-15 and 15d-15 of the Securities Exchange Act of 1934 (the “Exchange Act”). Based upon that evaluation, our management, including the Chief Executive Officer and Chief Financial Officer, concluded that our disclosure controls and procedures are effective as of March 31, 2007, the end of the period covered by this quarterly report.</w:t>
      </w:r>
    </w:p>
    <w:p>
      <w:pPr>
        <w:spacing w:after="0" w:line="141" w:lineRule="exact"/>
        <w:rPr>
          <w:sz w:val="20"/>
          <w:szCs w:val="20"/>
          <w:color w:val="auto"/>
        </w:rPr>
      </w:pPr>
    </w:p>
    <w:p>
      <w:pPr>
        <w:spacing w:after="0"/>
        <w:rPr>
          <w:sz w:val="20"/>
          <w:szCs w:val="20"/>
          <w:color w:val="auto"/>
        </w:rPr>
      </w:pPr>
      <w:r>
        <w:rPr>
          <w:rFonts w:ascii="Arial" w:cs="Arial" w:eastAsia="Arial" w:hAnsi="Arial"/>
          <w:sz w:val="11"/>
          <w:szCs w:val="11"/>
          <w:color w:val="auto"/>
        </w:rPr>
        <w:t>There have been no changes in this fiscal quarter in our internal control over financial reporting or in other factors that have materially affected, or are reasonably likely to materially affect, our internal control over financial reporting.</w:t>
      </w:r>
    </w:p>
    <w:p>
      <w:pPr>
        <w:spacing w:after="0" w:line="3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II. Other Information</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Item 1. Legal Proceedings</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March 20, 2006, we, as well as numerous other parties, received correspondence from the Environmental Protection Agency (“EPA”) requesting information regarding a former waste recycling vendor previously used by us. The vendor has since ceased operations and the EPA is investigating the clean up of the site or sites used by the vendor. As of the date of this report, we do not know whether we have any liability related to this vendor’s actions or estimatable range for any potential liability.</w:t>
      </w:r>
    </w:p>
    <w:p>
      <w:pPr>
        <w:spacing w:after="0" w:line="159"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All of our other legal proceedings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174"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0"/>
          <w:szCs w:val="10"/>
          <w:b w:val="1"/>
          <w:bCs w:val="1"/>
          <w:color w:val="auto"/>
        </w:rPr>
        <w:t>Risk Factors</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color w:val="auto"/>
        </w:rPr>
        <w:t>There has not been any material changes in risk factors from those disclosed our annual report on Form 10-K for the year ended December 31, 2006 filed on March 16, 2007.</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9" w:name="page20"/>
    <w:bookmarkEnd w:id="19"/>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19" w:lineRule="exact"/>
        <w:rPr>
          <w:sz w:val="20"/>
          <w:szCs w:val="20"/>
          <w:color w:val="auto"/>
        </w:rPr>
      </w:pPr>
    </w:p>
    <w:p>
      <w:pPr>
        <w:ind w:left="200" w:hanging="153"/>
        <w:spacing w:after="0"/>
        <w:tabs>
          <w:tab w:leader="none" w:pos="20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None</w:t>
      </w:r>
    </w:p>
    <w:p>
      <w:pPr>
        <w:spacing w:after="0" w:line="6" w:lineRule="exact"/>
        <w:rPr>
          <w:rFonts w:ascii="Arial" w:cs="Arial" w:eastAsia="Arial" w:hAnsi="Arial"/>
          <w:sz w:val="12"/>
          <w:szCs w:val="12"/>
          <w:color w:val="auto"/>
        </w:rPr>
      </w:pPr>
    </w:p>
    <w:p>
      <w:pPr>
        <w:ind w:left="200" w:hanging="159"/>
        <w:spacing w:after="0"/>
        <w:tabs>
          <w:tab w:leader="none" w:pos="20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None</w:t>
      </w:r>
    </w:p>
    <w:p>
      <w:pPr>
        <w:spacing w:after="0" w:line="6" w:lineRule="exact"/>
        <w:rPr>
          <w:rFonts w:ascii="Arial" w:cs="Arial" w:eastAsia="Arial" w:hAnsi="Arial"/>
          <w:sz w:val="12"/>
          <w:szCs w:val="12"/>
          <w:color w:val="auto"/>
        </w:rPr>
      </w:pPr>
    </w:p>
    <w:p>
      <w:pPr>
        <w:ind w:left="200" w:hanging="153"/>
        <w:spacing w:after="0"/>
        <w:tabs>
          <w:tab w:leader="none" w:pos="20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None</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Submission of Matters to a Vote of Security Holders</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Other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Exhibits</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2"/>
          <w:szCs w:val="12"/>
          <w:color w:val="auto"/>
        </w:rPr>
        <w:t>31.1 Certification of Chief Executive Officer pursuant to Section 302 of Sarbanes-Oxley Act.</w:t>
      </w:r>
    </w:p>
    <w:p>
      <w:pPr>
        <w:spacing w:after="0" w:line="186" w:lineRule="exact"/>
        <w:rPr>
          <w:sz w:val="20"/>
          <w:szCs w:val="20"/>
          <w:color w:val="auto"/>
        </w:rPr>
      </w:pPr>
    </w:p>
    <w:p>
      <w:pPr>
        <w:jc w:val="right"/>
        <w:ind w:right="5179"/>
        <w:spacing w:after="0"/>
        <w:rPr>
          <w:sz w:val="20"/>
          <w:szCs w:val="20"/>
          <w:color w:val="auto"/>
        </w:rPr>
      </w:pPr>
      <w:r>
        <w:rPr>
          <w:rFonts w:ascii="Arial" w:cs="Arial" w:eastAsia="Arial" w:hAnsi="Arial"/>
          <w:sz w:val="11"/>
          <w:szCs w:val="11"/>
          <w:color w:val="auto"/>
        </w:rPr>
        <w:t>31.2 Certification of Chief Financial Officer pursuant to Section 302 of Sarbanes-Oxley Act.</w:t>
      </w:r>
    </w:p>
    <w:p>
      <w:pPr>
        <w:spacing w:after="0" w:line="46" w:lineRule="exact"/>
        <w:rPr>
          <w:sz w:val="20"/>
          <w:szCs w:val="20"/>
          <w:color w:val="auto"/>
        </w:rPr>
      </w:pPr>
    </w:p>
    <w:p>
      <w:pPr>
        <w:jc w:val="right"/>
        <w:ind w:right="5139"/>
        <w:spacing w:after="0"/>
        <w:rPr>
          <w:sz w:val="20"/>
          <w:szCs w:val="20"/>
          <w:color w:val="auto"/>
        </w:rPr>
      </w:pPr>
      <w:r>
        <w:rPr>
          <w:rFonts w:ascii="Arial" w:cs="Arial" w:eastAsia="Arial" w:hAnsi="Arial"/>
          <w:sz w:val="22"/>
          <w:szCs w:val="22"/>
          <w:color w:val="auto"/>
          <w:vertAlign w:val="subscript"/>
        </w:rPr>
        <w:t>32.1</w:t>
      </w:r>
      <w:r>
        <w:rPr>
          <w:rFonts w:ascii="Arial" w:cs="Arial" w:eastAsia="Arial" w:hAnsi="Arial"/>
          <w:sz w:val="11"/>
          <w:szCs w:val="11"/>
          <w:color w:val="auto"/>
        </w:rPr>
        <w:t>Certification of Chief Executive Officer pursuant to Section 906 of Sarbanes-Oxley Act.</w:t>
      </w:r>
    </w:p>
    <w:p>
      <w:pPr>
        <w:spacing w:after="0" w:line="241" w:lineRule="exact"/>
        <w:rPr>
          <w:sz w:val="20"/>
          <w:szCs w:val="20"/>
          <w:color w:val="auto"/>
        </w:rPr>
      </w:pPr>
    </w:p>
    <w:p>
      <w:pPr>
        <w:jc w:val="right"/>
        <w:ind w:right="5179"/>
        <w:spacing w:after="0"/>
        <w:rPr>
          <w:sz w:val="20"/>
          <w:szCs w:val="20"/>
          <w:color w:val="auto"/>
        </w:rPr>
      </w:pPr>
      <w:r>
        <w:rPr>
          <w:rFonts w:ascii="Arial" w:cs="Arial" w:eastAsia="Arial" w:hAnsi="Arial"/>
          <w:sz w:val="11"/>
          <w:szCs w:val="11"/>
          <w:color w:val="auto"/>
        </w:rPr>
        <w:t>32.2 Certification of Chief Financial Officer pursuant to Section 906 of Sarbanes-Oxley Act.</w:t>
      </w:r>
    </w:p>
    <w:p>
      <w:pPr>
        <w:spacing w:after="0" w:line="200" w:lineRule="exact"/>
        <w:rPr>
          <w:sz w:val="20"/>
          <w:szCs w:val="20"/>
          <w:color w:val="auto"/>
        </w:rPr>
      </w:pPr>
    </w:p>
    <w:p>
      <w:pPr>
        <w:spacing w:after="0" w:line="336" w:lineRule="exact"/>
        <w:rPr>
          <w:sz w:val="20"/>
          <w:szCs w:val="20"/>
          <w:color w:val="auto"/>
        </w:rPr>
      </w:pPr>
    </w:p>
    <w:p>
      <w:pPr>
        <w:jc w:val="right"/>
        <w:ind w:right="4459"/>
        <w:spacing w:after="0"/>
        <w:rPr>
          <w:sz w:val="20"/>
          <w:szCs w:val="20"/>
          <w:color w:val="auto"/>
        </w:rPr>
      </w:pPr>
      <w:r>
        <w:rPr>
          <w:rFonts w:ascii="Arial" w:cs="Arial" w:eastAsia="Arial" w:hAnsi="Arial"/>
          <w:sz w:val="10"/>
          <w:szCs w:val="1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40005</wp:posOffset>
            </wp:positionV>
            <wp:extent cx="729932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799"/>
          </w:cols>
          <w:pgMar w:left="660" w:top="127" w:right="1440" w:bottom="1440" w:gutter="0" w:footer="0" w:header="0"/>
        </w:sectPr>
      </w:pPr>
    </w:p>
    <w:bookmarkStart w:id="20" w:name="page21"/>
    <w:bookmarkEnd w:id="20"/>
    <w:p>
      <w:pPr>
        <w:ind w:left="5340"/>
        <w:spacing w:after="0"/>
        <w:rPr>
          <w:sz w:val="20"/>
          <w:szCs w:val="20"/>
          <w:color w:val="auto"/>
        </w:rPr>
      </w:pPr>
      <w:r>
        <w:rPr>
          <w:rFonts w:ascii="Arial" w:cs="Arial" w:eastAsia="Arial" w:hAnsi="Arial"/>
          <w:sz w:val="12"/>
          <w:szCs w:val="12"/>
          <w:b w:val="1"/>
          <w:bCs w:val="1"/>
          <w:color w:val="auto"/>
        </w:rPr>
        <w:t>SIGNATURES</w:t>
      </w:r>
    </w:p>
    <w:p>
      <w:pPr>
        <w:spacing w:after="0" w:line="370"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6" w:lineRule="exact"/>
        <w:rPr>
          <w:sz w:val="20"/>
          <w:szCs w:val="20"/>
          <w:color w:val="auto"/>
        </w:rPr>
      </w:pPr>
    </w:p>
    <w:p>
      <w:pPr>
        <w:ind w:left="4120"/>
        <w:spacing w:after="0"/>
        <w:rPr>
          <w:sz w:val="20"/>
          <w:szCs w:val="20"/>
          <w:color w:val="auto"/>
        </w:rPr>
      </w:pPr>
      <w:r>
        <w:rPr>
          <w:rFonts w:ascii="Arial" w:cs="Arial" w:eastAsia="Arial" w:hAnsi="Arial"/>
          <w:sz w:val="12"/>
          <w:szCs w:val="12"/>
          <w:b w:val="1"/>
          <w:bCs w:val="1"/>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2621915</wp:posOffset>
            </wp:positionH>
            <wp:positionV relativeFrom="paragraph">
              <wp:posOffset>-4445</wp:posOffset>
            </wp:positionV>
            <wp:extent cx="219773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97735" cy="571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2"/>
          <w:szCs w:val="12"/>
          <w:color w:val="auto"/>
        </w:rPr>
        <w:t>(Registrant)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0" w:type="dxa"/>
            <w:vAlign w:val="bottom"/>
          </w:tcPr>
          <w:p>
            <w:pPr>
              <w:spacing w:after="0"/>
              <w:rPr>
                <w:sz w:val="20"/>
                <w:szCs w:val="20"/>
                <w:color w:val="auto"/>
              </w:rPr>
            </w:pPr>
            <w:r>
              <w:rPr>
                <w:rFonts w:ascii="Arial" w:cs="Arial" w:eastAsia="Arial" w:hAnsi="Arial"/>
                <w:sz w:val="12"/>
                <w:szCs w:val="12"/>
                <w:color w:val="auto"/>
              </w:rPr>
              <w:t>Date:</w:t>
            </w:r>
          </w:p>
        </w:tc>
        <w:tc>
          <w:tcPr>
            <w:tcW w:w="60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87"/>
              </w:rPr>
              <w:t>May 9, 2007</w:t>
            </w:r>
          </w:p>
        </w:tc>
      </w:tr>
    </w:tbl>
    <w:p>
      <w:pPr>
        <w:spacing w:after="0" w:line="18" w:lineRule="exact"/>
        <w:rPr>
          <w:sz w:val="20"/>
          <w:szCs w:val="20"/>
          <w:color w:val="auto"/>
        </w:rPr>
      </w:pPr>
    </w:p>
    <w:p>
      <w:pPr>
        <w:ind w:left="4200"/>
        <w:spacing w:after="0"/>
        <w:rPr>
          <w:sz w:val="20"/>
          <w:szCs w:val="20"/>
          <w:color w:val="auto"/>
        </w:rPr>
      </w:pPr>
      <w:r>
        <w:rPr>
          <w:rFonts w:ascii="Arial" w:cs="Arial" w:eastAsia="Arial" w:hAnsi="Arial"/>
          <w:sz w:val="12"/>
          <w:szCs w:val="12"/>
          <w:color w:val="auto"/>
        </w:rPr>
        <w:t>/s/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2652395</wp:posOffset>
            </wp:positionH>
            <wp:positionV relativeFrom="paragraph">
              <wp:posOffset>-6985</wp:posOffset>
            </wp:positionV>
            <wp:extent cx="218503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85035" cy="5715"/>
                    </a:xfrm>
                    <a:prstGeom prst="rect">
                      <a:avLst/>
                    </a:prstGeom>
                    <a:noFill/>
                  </pic:spPr>
                </pic:pic>
              </a:graphicData>
            </a:graphic>
          </wp:anchor>
        </w:drawing>
      </w:r>
    </w:p>
    <w:p>
      <w:pPr>
        <w:ind w:left="3680"/>
        <w:spacing w:after="0"/>
        <w:rPr>
          <w:sz w:val="20"/>
          <w:szCs w:val="20"/>
          <w:color w:val="auto"/>
        </w:rPr>
      </w:pPr>
      <w:r>
        <w:rPr>
          <w:rFonts w:ascii="Arial" w:cs="Arial" w:eastAsia="Arial" w:hAnsi="Arial"/>
          <w:sz w:val="12"/>
          <w:szCs w:val="12"/>
          <w:color w:val="auto"/>
        </w:rPr>
        <w:t>Roderick R. Baty,</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2"/>
          <w:szCs w:val="12"/>
          <w:color w:val="auto"/>
        </w:rPr>
        <w:t>Chairman, President and</w:t>
      </w:r>
    </w:p>
    <w:p>
      <w:pPr>
        <w:spacing w:after="0" w:line="6" w:lineRule="exact"/>
        <w:rPr>
          <w:sz w:val="20"/>
          <w:szCs w:val="20"/>
          <w:color w:val="auto"/>
        </w:rPr>
      </w:pPr>
    </w:p>
    <w:p>
      <w:pPr>
        <w:ind w:left="4560" w:hanging="396"/>
        <w:spacing w:after="0"/>
        <w:tabs>
          <w:tab w:leader="none" w:pos="4560" w:val="left"/>
        </w:tabs>
        <w:numPr>
          <w:ilvl w:val="0"/>
          <w:numId w:val="5"/>
        </w:numPr>
        <w:rPr>
          <w:rFonts w:ascii="Arial" w:cs="Arial" w:eastAsia="Arial" w:hAnsi="Arial"/>
          <w:sz w:val="12"/>
          <w:szCs w:val="12"/>
          <w:color w:val="auto"/>
        </w:rPr>
      </w:pPr>
      <w:r>
        <w:rPr>
          <w:rFonts w:ascii="Arial" w:cs="Arial" w:eastAsia="Arial" w:hAnsi="Arial"/>
          <w:sz w:val="12"/>
          <w:szCs w:val="12"/>
          <w:color w:val="auto"/>
        </w:rPr>
        <w:t>Chief Executive Officer</w:t>
      </w:r>
    </w:p>
    <w:p>
      <w:pPr>
        <w:spacing w:after="0" w:line="6" w:lineRule="exact"/>
        <w:rPr>
          <w:rFonts w:ascii="Arial" w:cs="Arial" w:eastAsia="Arial" w:hAnsi="Arial"/>
          <w:sz w:val="12"/>
          <w:szCs w:val="12"/>
          <w:color w:val="auto"/>
        </w:rPr>
      </w:pPr>
    </w:p>
    <w:p>
      <w:pPr>
        <w:ind w:left="3720"/>
        <w:spacing w:after="0"/>
        <w:rPr>
          <w:rFonts w:ascii="Arial" w:cs="Arial" w:eastAsia="Arial" w:hAnsi="Arial"/>
          <w:sz w:val="12"/>
          <w:szCs w:val="12"/>
          <w:color w:val="auto"/>
        </w:rPr>
      </w:pPr>
      <w:r>
        <w:rPr>
          <w:rFonts w:ascii="Arial" w:cs="Arial" w:eastAsia="Arial" w:hAnsi="Arial"/>
          <w:sz w:val="12"/>
          <w:szCs w:val="12"/>
          <w:color w:val="auto"/>
        </w:rPr>
        <w:t>(Duly Authorized Officer)</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0" w:type="dxa"/>
            <w:vAlign w:val="bottom"/>
          </w:tcPr>
          <w:p>
            <w:pPr>
              <w:spacing w:after="0"/>
              <w:rPr>
                <w:sz w:val="20"/>
                <w:szCs w:val="20"/>
                <w:color w:val="auto"/>
              </w:rPr>
            </w:pPr>
            <w:r>
              <w:rPr>
                <w:rFonts w:ascii="Arial" w:cs="Arial" w:eastAsia="Arial" w:hAnsi="Arial"/>
                <w:sz w:val="12"/>
                <w:szCs w:val="12"/>
                <w:color w:val="auto"/>
              </w:rPr>
              <w:t>Date:</w:t>
            </w:r>
          </w:p>
        </w:tc>
        <w:tc>
          <w:tcPr>
            <w:tcW w:w="60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87"/>
              </w:rPr>
              <w:t>May 9, 2007</w:t>
            </w:r>
          </w:p>
        </w:tc>
      </w:tr>
    </w:tbl>
    <w:p>
      <w:pPr>
        <w:spacing w:after="0" w:line="36" w:lineRule="exact"/>
        <w:rPr>
          <w:sz w:val="20"/>
          <w:szCs w:val="20"/>
          <w:color w:val="auto"/>
        </w:rPr>
      </w:pPr>
    </w:p>
    <w:p>
      <w:pPr>
        <w:ind w:left="4060"/>
        <w:spacing w:after="0"/>
        <w:rPr>
          <w:sz w:val="20"/>
          <w:szCs w:val="20"/>
          <w:color w:val="auto"/>
        </w:rPr>
      </w:pPr>
      <w:r>
        <w:rPr>
          <w:rFonts w:ascii="Arial" w:cs="Arial" w:eastAsia="Arial" w:hAnsi="Arial"/>
          <w:sz w:val="12"/>
          <w:szCs w:val="12"/>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2557145</wp:posOffset>
            </wp:positionH>
            <wp:positionV relativeFrom="paragraph">
              <wp:posOffset>-6985</wp:posOffset>
            </wp:positionV>
            <wp:extent cx="219075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90750" cy="5715"/>
                    </a:xfrm>
                    <a:prstGeom prst="rect">
                      <a:avLst/>
                    </a:prstGeom>
                    <a:noFill/>
                  </pic:spPr>
                </pic:pic>
              </a:graphicData>
            </a:graphic>
          </wp:anchor>
        </w:drawing>
      </w:r>
    </w:p>
    <w:p>
      <w:pPr>
        <w:ind w:left="3720"/>
        <w:spacing w:after="0"/>
        <w:rPr>
          <w:sz w:val="20"/>
          <w:szCs w:val="20"/>
          <w:color w:val="auto"/>
        </w:rPr>
      </w:pPr>
      <w:r>
        <w:rPr>
          <w:rFonts w:ascii="Arial" w:cs="Arial" w:eastAsia="Arial" w:hAnsi="Arial"/>
          <w:sz w:val="12"/>
          <w:szCs w:val="12"/>
          <w:color w:val="auto"/>
        </w:rPr>
        <w:t>James H. Dorton</w:t>
      </w:r>
    </w:p>
    <w:p>
      <w:pPr>
        <w:spacing w:after="0" w:line="6" w:lineRule="exact"/>
        <w:rPr>
          <w:sz w:val="20"/>
          <w:szCs w:val="20"/>
          <w:color w:val="auto"/>
        </w:rPr>
      </w:pPr>
    </w:p>
    <w:p>
      <w:pPr>
        <w:ind w:left="3780"/>
        <w:spacing w:after="0"/>
        <w:rPr>
          <w:sz w:val="20"/>
          <w:szCs w:val="20"/>
          <w:color w:val="auto"/>
        </w:rPr>
      </w:pPr>
      <w:r>
        <w:rPr>
          <w:rFonts w:ascii="Arial" w:cs="Arial" w:eastAsia="Arial" w:hAnsi="Arial"/>
          <w:sz w:val="12"/>
          <w:szCs w:val="12"/>
          <w:color w:val="auto"/>
        </w:rPr>
        <w:t>Vice President - Corporate Development and</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ind w:left="3720" w:right="4319" w:firstLine="444"/>
        <w:spacing w:after="0" w:line="261" w:lineRule="auto"/>
        <w:tabs>
          <w:tab w:leader="none" w:pos="4551" w:val="left"/>
        </w:tabs>
        <w:numPr>
          <w:ilvl w:val="0"/>
          <w:numId w:val="6"/>
        </w:numPr>
        <w:rPr>
          <w:rFonts w:ascii="Arial" w:cs="Arial" w:eastAsia="Arial" w:hAnsi="Arial"/>
          <w:sz w:val="12"/>
          <w:szCs w:val="12"/>
          <w:color w:val="auto"/>
        </w:rPr>
      </w:pPr>
      <w:r>
        <w:rPr>
          <w:rFonts w:ascii="Arial" w:cs="Arial" w:eastAsia="Arial" w:hAnsi="Arial"/>
          <w:sz w:val="12"/>
          <w:szCs w:val="12"/>
          <w:color w:val="auto"/>
        </w:rPr>
        <w:t>(Principal Financial Officer) (Duly Authorized Officer)</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0" w:type="dxa"/>
            <w:vAlign w:val="bottom"/>
          </w:tcPr>
          <w:p>
            <w:pPr>
              <w:spacing w:after="0"/>
              <w:rPr>
                <w:sz w:val="20"/>
                <w:szCs w:val="20"/>
                <w:color w:val="auto"/>
              </w:rPr>
            </w:pPr>
            <w:r>
              <w:rPr>
                <w:rFonts w:ascii="Arial" w:cs="Arial" w:eastAsia="Arial" w:hAnsi="Arial"/>
                <w:sz w:val="12"/>
                <w:szCs w:val="12"/>
                <w:color w:val="auto"/>
              </w:rPr>
              <w:t>Date:</w:t>
            </w:r>
          </w:p>
        </w:tc>
        <w:tc>
          <w:tcPr>
            <w:tcW w:w="60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87"/>
              </w:rPr>
              <w:t>May 9, 2007</w:t>
            </w:r>
          </w:p>
        </w:tc>
      </w:tr>
    </w:tbl>
    <w:p>
      <w:pPr>
        <w:spacing w:after="0" w:line="18" w:lineRule="exact"/>
        <w:rPr>
          <w:sz w:val="20"/>
          <w:szCs w:val="20"/>
          <w:color w:val="auto"/>
        </w:rPr>
      </w:pPr>
    </w:p>
    <w:p>
      <w:pPr>
        <w:ind w:left="4460"/>
        <w:spacing w:after="0"/>
        <w:rPr>
          <w:sz w:val="20"/>
          <w:szCs w:val="20"/>
          <w:color w:val="auto"/>
        </w:rPr>
      </w:pPr>
      <w:r>
        <w:rPr>
          <w:rFonts w:ascii="Arial" w:cs="Arial" w:eastAsia="Arial" w:hAnsi="Arial"/>
          <w:sz w:val="12"/>
          <w:szCs w:val="12"/>
          <w:color w:val="auto"/>
        </w:rPr>
        <w:t>/s/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-6985</wp:posOffset>
            </wp:positionV>
            <wp:extent cx="226187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61870" cy="5715"/>
                    </a:xfrm>
                    <a:prstGeom prst="rect">
                      <a:avLst/>
                    </a:prstGeom>
                    <a:noFill/>
                  </pic:spPr>
                </pic:pic>
              </a:graphicData>
            </a:graphic>
          </wp:anchor>
        </w:drawing>
      </w:r>
    </w:p>
    <w:p>
      <w:pPr>
        <w:ind w:left="4440"/>
        <w:spacing w:after="0"/>
        <w:rPr>
          <w:sz w:val="20"/>
          <w:szCs w:val="20"/>
          <w:color w:val="auto"/>
        </w:rPr>
      </w:pPr>
      <w:r>
        <w:rPr>
          <w:rFonts w:ascii="Arial" w:cs="Arial" w:eastAsia="Arial" w:hAnsi="Arial"/>
          <w:sz w:val="12"/>
          <w:szCs w:val="12"/>
          <w:color w:val="auto"/>
        </w:rPr>
        <w:t>William C. Kelly, Jr.,</w:t>
      </w:r>
    </w:p>
    <w:p>
      <w:pPr>
        <w:spacing w:after="0" w:line="6" w:lineRule="exact"/>
        <w:rPr>
          <w:sz w:val="20"/>
          <w:szCs w:val="20"/>
          <w:color w:val="auto"/>
        </w:rPr>
      </w:pPr>
    </w:p>
    <w:p>
      <w:pPr>
        <w:ind w:left="3660"/>
        <w:spacing w:after="0"/>
        <w:rPr>
          <w:sz w:val="20"/>
          <w:szCs w:val="20"/>
          <w:color w:val="auto"/>
        </w:rPr>
      </w:pPr>
      <w:r>
        <w:rPr>
          <w:rFonts w:ascii="Arial" w:cs="Arial" w:eastAsia="Arial" w:hAnsi="Arial"/>
          <w:sz w:val="12"/>
          <w:szCs w:val="12"/>
          <w:color w:val="auto"/>
        </w:rPr>
        <w:t>Vice President and</w:t>
      </w:r>
    </w:p>
    <w:p>
      <w:pPr>
        <w:spacing w:after="0" w:line="6" w:lineRule="exact"/>
        <w:rPr>
          <w:sz w:val="20"/>
          <w:szCs w:val="20"/>
          <w:color w:val="auto"/>
        </w:rPr>
      </w:pPr>
    </w:p>
    <w:p>
      <w:pPr>
        <w:ind w:left="3660"/>
        <w:spacing w:after="0"/>
        <w:rPr>
          <w:sz w:val="20"/>
          <w:szCs w:val="20"/>
          <w:color w:val="auto"/>
        </w:rPr>
      </w:pPr>
      <w:r>
        <w:rPr>
          <w:rFonts w:ascii="Arial" w:cs="Arial" w:eastAsia="Arial" w:hAnsi="Arial"/>
          <w:sz w:val="12"/>
          <w:szCs w:val="12"/>
          <w:color w:val="auto"/>
        </w:rPr>
        <w:t>Chief Administrative Officer</w:t>
      </w:r>
    </w:p>
    <w:p>
      <w:pPr>
        <w:spacing w:after="0" w:line="6" w:lineRule="exact"/>
        <w:rPr>
          <w:sz w:val="20"/>
          <w:szCs w:val="20"/>
          <w:color w:val="auto"/>
        </w:rPr>
      </w:pPr>
    </w:p>
    <w:p>
      <w:pPr>
        <w:ind w:left="3660"/>
        <w:spacing w:after="0"/>
        <w:rPr>
          <w:sz w:val="20"/>
          <w:szCs w:val="20"/>
          <w:color w:val="auto"/>
        </w:rPr>
      </w:pPr>
      <w:r>
        <w:rPr>
          <w:rFonts w:ascii="Arial" w:cs="Arial" w:eastAsia="Arial" w:hAnsi="Arial"/>
          <w:sz w:val="12"/>
          <w:szCs w:val="12"/>
          <w:color w:val="auto"/>
        </w:rPr>
        <w:t>(Duly Authorized Officer)</w:t>
      </w:r>
    </w:p>
    <w:p>
      <w:pPr>
        <w:spacing w:after="0" w:line="200" w:lineRule="exact"/>
        <w:rPr>
          <w:sz w:val="20"/>
          <w:szCs w:val="20"/>
          <w:color w:val="auto"/>
        </w:rPr>
      </w:pPr>
    </w:p>
    <w:p>
      <w:pPr>
        <w:spacing w:after="0" w:line="298" w:lineRule="exact"/>
        <w:rPr>
          <w:sz w:val="20"/>
          <w:szCs w:val="20"/>
          <w:color w:val="auto"/>
        </w:rPr>
      </w:pPr>
    </w:p>
    <w:p>
      <w:pPr>
        <w:ind w:left="5680"/>
        <w:spacing w:after="0"/>
        <w:rPr>
          <w:sz w:val="20"/>
          <w:szCs w:val="20"/>
          <w:color w:val="auto"/>
        </w:rPr>
      </w:pPr>
      <w:r>
        <w:rPr>
          <w:rFonts w:ascii="Arial" w:cs="Arial" w:eastAsia="Arial" w:hAnsi="Arial"/>
          <w:sz w:val="10"/>
          <w:szCs w:val="1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289" w:right="1440" w:bottom="1440" w:gutter="0" w:footer="0" w:header="0"/>
        </w:sectPr>
      </w:pPr>
    </w:p>
    <w:bookmarkStart w:id="21" w:name="page22"/>
    <w:bookmarkEnd w:id="2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rFonts w:ascii="Arial" w:cs="Arial" w:eastAsia="Arial" w:hAnsi="Arial"/>
          <w:sz w:val="12"/>
          <w:szCs w:val="12"/>
          <w:b w:val="1"/>
          <w:bCs w:val="1"/>
          <w:color w:val="auto"/>
        </w:rPr>
        <w:t>Exhibit 31.1</w:t>
      </w:r>
    </w:p>
    <w:p>
      <w:pPr>
        <w:spacing w:after="0" w:line="18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 SECTION 302 OF SARBANES-OXLEY ACT OF 2002</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12"/>
          <w:szCs w:val="12"/>
          <w:color w:val="auto"/>
        </w:rPr>
        <w:t>I, Roderick R. Baty, certify that:</w:t>
      </w:r>
    </w:p>
    <w:p>
      <w:pPr>
        <w:spacing w:after="0" w:line="213" w:lineRule="exact"/>
        <w:rPr>
          <w:sz w:val="20"/>
          <w:szCs w:val="20"/>
          <w:color w:val="auto"/>
        </w:rPr>
      </w:pPr>
    </w:p>
    <w:p>
      <w:pPr>
        <w:ind w:left="388" w:hanging="388"/>
        <w:spacing w:after="0"/>
        <w:tabs>
          <w:tab w:leader="none" w:pos="388" w:val="left"/>
        </w:tabs>
        <w:numPr>
          <w:ilvl w:val="0"/>
          <w:numId w:val="7"/>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NN, Inc.;</w:t>
      </w:r>
    </w:p>
    <w:p>
      <w:pPr>
        <w:spacing w:after="0" w:line="222" w:lineRule="exact"/>
        <w:rPr>
          <w:rFonts w:ascii="Arial" w:cs="Arial" w:eastAsia="Arial" w:hAnsi="Arial"/>
          <w:sz w:val="12"/>
          <w:szCs w:val="12"/>
          <w:color w:val="auto"/>
        </w:rPr>
      </w:pPr>
    </w:p>
    <w:p>
      <w:pPr>
        <w:ind w:left="8" w:right="200" w:hanging="8"/>
        <w:spacing w:after="0" w:line="292" w:lineRule="auto"/>
        <w:tabs>
          <w:tab w:leader="none" w:pos="386" w:val="left"/>
        </w:tabs>
        <w:numPr>
          <w:ilvl w:val="0"/>
          <w:numId w:val="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2"/>
          <w:szCs w:val="12"/>
          <w:color w:val="auto"/>
        </w:rPr>
      </w:pPr>
    </w:p>
    <w:p>
      <w:pPr>
        <w:ind w:left="8" w:right="100" w:hanging="8"/>
        <w:spacing w:after="0" w:line="292" w:lineRule="auto"/>
        <w:tabs>
          <w:tab w:leader="none" w:pos="386" w:val="left"/>
        </w:tabs>
        <w:numPr>
          <w:ilvl w:val="0"/>
          <w:numId w:val="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2"/>
          <w:szCs w:val="12"/>
          <w:color w:val="auto"/>
        </w:rPr>
      </w:pPr>
    </w:p>
    <w:p>
      <w:pPr>
        <w:ind w:left="8" w:right="340" w:hanging="8"/>
        <w:spacing w:after="0" w:line="292" w:lineRule="auto"/>
        <w:tabs>
          <w:tab w:leader="none" w:pos="386"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2"/>
          <w:szCs w:val="12"/>
          <w:color w:val="auto"/>
        </w:rPr>
      </w:pPr>
    </w:p>
    <w:p>
      <w:pPr>
        <w:ind w:left="1288" w:hanging="184"/>
        <w:spacing w:after="0" w:line="276" w:lineRule="auto"/>
        <w:tabs>
          <w:tab w:leader="none" w:pos="1288" w:val="left"/>
        </w:tabs>
        <w:numPr>
          <w:ilvl w:val="1"/>
          <w:numId w:val="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2"/>
          <w:szCs w:val="12"/>
          <w:color w:val="auto"/>
        </w:rPr>
      </w:pPr>
    </w:p>
    <w:p>
      <w:pPr>
        <w:ind w:left="1288" w:hanging="191"/>
        <w:spacing w:after="0" w:line="276" w:lineRule="auto"/>
        <w:tabs>
          <w:tab w:leader="none" w:pos="1288" w:val="left"/>
        </w:tabs>
        <w:numPr>
          <w:ilvl w:val="1"/>
          <w:numId w:val="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2"/>
          <w:szCs w:val="12"/>
          <w:color w:val="auto"/>
        </w:rPr>
      </w:pPr>
    </w:p>
    <w:p>
      <w:pPr>
        <w:ind w:left="1288" w:hanging="184"/>
        <w:spacing w:after="0" w:line="276" w:lineRule="auto"/>
        <w:tabs>
          <w:tab w:leader="none" w:pos="1288" w:val="left"/>
        </w:tabs>
        <w:numPr>
          <w:ilvl w:val="1"/>
          <w:numId w:val="7"/>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2"/>
          <w:szCs w:val="12"/>
          <w:color w:val="auto"/>
        </w:rPr>
      </w:pPr>
    </w:p>
    <w:p>
      <w:pPr>
        <w:ind w:left="1288" w:hanging="191"/>
        <w:spacing w:after="0" w:line="276" w:lineRule="auto"/>
        <w:tabs>
          <w:tab w:leader="none" w:pos="1288" w:val="left"/>
        </w:tabs>
        <w:numPr>
          <w:ilvl w:val="1"/>
          <w:numId w:val="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2"/>
          <w:szCs w:val="12"/>
          <w:color w:val="auto"/>
        </w:rPr>
      </w:pPr>
    </w:p>
    <w:p>
      <w:pPr>
        <w:ind w:left="8" w:right="140" w:hanging="8"/>
        <w:spacing w:after="0" w:line="292" w:lineRule="auto"/>
        <w:tabs>
          <w:tab w:leader="none" w:pos="386"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2"/>
          <w:szCs w:val="12"/>
          <w:color w:val="auto"/>
        </w:rPr>
      </w:pPr>
    </w:p>
    <w:p>
      <w:pPr>
        <w:ind w:left="1288" w:right="20" w:hanging="184"/>
        <w:spacing w:after="0" w:line="276" w:lineRule="auto"/>
        <w:tabs>
          <w:tab w:leader="none" w:pos="1288" w:val="left"/>
        </w:tabs>
        <w:numPr>
          <w:ilvl w:val="1"/>
          <w:numId w:val="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2"/>
          <w:szCs w:val="12"/>
          <w:color w:val="auto"/>
        </w:rPr>
      </w:pPr>
    </w:p>
    <w:p>
      <w:pPr>
        <w:ind w:left="1288" w:hanging="191"/>
        <w:spacing w:after="0"/>
        <w:tabs>
          <w:tab w:leader="none" w:pos="1288" w:val="left"/>
        </w:tabs>
        <w:numPr>
          <w:ilvl w:val="1"/>
          <w:numId w:val="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20" w:type="dxa"/>
            <w:vAlign w:val="bottom"/>
          </w:tcPr>
          <w:p>
            <w:pPr>
              <w:spacing w:after="0"/>
              <w:rPr>
                <w:sz w:val="20"/>
                <w:szCs w:val="20"/>
                <w:color w:val="auto"/>
              </w:rPr>
            </w:pPr>
            <w:r>
              <w:rPr>
                <w:rFonts w:ascii="Arial" w:cs="Arial" w:eastAsia="Arial" w:hAnsi="Arial"/>
                <w:sz w:val="12"/>
                <w:szCs w:val="12"/>
                <w:color w:val="auto"/>
              </w:rPr>
              <w:t>Date:</w:t>
            </w:r>
          </w:p>
        </w:tc>
        <w:tc>
          <w:tcPr>
            <w:tcW w:w="60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87"/>
              </w:rPr>
              <w:t>May 9, 2007</w:t>
            </w:r>
          </w:p>
        </w:tc>
      </w:tr>
    </w:tbl>
    <w:p>
      <w:pPr>
        <w:spacing w:after="0" w:line="198" w:lineRule="exact"/>
        <w:rPr>
          <w:sz w:val="20"/>
          <w:szCs w:val="20"/>
          <w:color w:val="auto"/>
        </w:rPr>
      </w:pPr>
    </w:p>
    <w:p>
      <w:pPr>
        <w:ind w:left="4688"/>
        <w:spacing w:after="0"/>
        <w:rPr>
          <w:sz w:val="20"/>
          <w:szCs w:val="20"/>
          <w:color w:val="auto"/>
        </w:rPr>
      </w:pPr>
      <w:r>
        <w:rPr>
          <w:rFonts w:ascii="Arial" w:cs="Arial" w:eastAsia="Arial" w:hAnsi="Arial"/>
          <w:sz w:val="12"/>
          <w:szCs w:val="12"/>
          <w:u w:val="single" w:color="auto"/>
          <w:color w:val="auto"/>
        </w:rPr>
        <w:t>/s/ Roderick R. Baty</w:t>
      </w:r>
    </w:p>
    <w:p>
      <w:pPr>
        <w:spacing w:after="0" w:line="15" w:lineRule="exact"/>
        <w:rPr>
          <w:sz w:val="20"/>
          <w:szCs w:val="20"/>
          <w:color w:val="auto"/>
        </w:rPr>
      </w:pPr>
    </w:p>
    <w:p>
      <w:pPr>
        <w:ind w:left="5908"/>
        <w:spacing w:after="0"/>
        <w:rPr>
          <w:sz w:val="20"/>
          <w:szCs w:val="20"/>
          <w:color w:val="auto"/>
        </w:rPr>
      </w:pPr>
      <w:r>
        <w:rPr>
          <w:rFonts w:ascii="Arial" w:cs="Arial" w:eastAsia="Arial" w:hAnsi="Arial"/>
          <w:sz w:val="12"/>
          <w:szCs w:val="12"/>
          <w:color w:val="auto"/>
        </w:rPr>
        <w:t>Roderick R. Baty</w:t>
      </w:r>
    </w:p>
    <w:p>
      <w:pPr>
        <w:spacing w:after="0" w:line="6" w:lineRule="exact"/>
        <w:rPr>
          <w:sz w:val="20"/>
          <w:szCs w:val="20"/>
          <w:color w:val="auto"/>
        </w:rPr>
      </w:pPr>
    </w:p>
    <w:p>
      <w:pPr>
        <w:ind w:left="4888"/>
        <w:spacing w:after="0"/>
        <w:rPr>
          <w:sz w:val="20"/>
          <w:szCs w:val="20"/>
          <w:color w:val="auto"/>
        </w:rPr>
      </w:pPr>
      <w:r>
        <w:rPr>
          <w:rFonts w:ascii="Arial" w:cs="Arial" w:eastAsia="Arial" w:hAnsi="Arial"/>
          <w:sz w:val="12"/>
          <w:szCs w:val="12"/>
          <w:color w:val="auto"/>
        </w:rPr>
        <w:t>Chairman, President and Chief Executive Officer</w:t>
      </w:r>
    </w:p>
    <w:p>
      <w:pPr>
        <w:sectPr>
          <w:pgSz w:w="11900" w:h="16838" w:orient="portrait"/>
          <w:cols w:equalWidth="0" w:num="1">
            <w:col w:w="11488"/>
          </w:cols>
          <w:pgMar w:left="212" w:top="289" w:right="199" w:bottom="1440" w:gutter="0" w:footer="0" w:header="0"/>
        </w:sectPr>
      </w:pPr>
    </w:p>
    <w:bookmarkStart w:id="23" w:name="page24"/>
    <w:bookmarkEnd w:id="23"/>
    <w:p>
      <w:pPr>
        <w:ind w:left="8188"/>
        <w:spacing w:after="0"/>
        <w:tabs>
          <w:tab w:leader="none" w:pos="8728" w:val="left"/>
        </w:tabs>
        <w:rPr>
          <w:sz w:val="20"/>
          <w:szCs w:val="20"/>
          <w:color w:val="auto"/>
        </w:rPr>
      </w:pPr>
      <w:r>
        <w:rPr>
          <w:rFonts w:ascii="Arial" w:cs="Arial" w:eastAsia="Arial" w:hAnsi="Arial"/>
          <w:sz w:val="12"/>
          <w:szCs w:val="12"/>
          <w:color w:val="auto"/>
        </w:rPr>
        <w:t>&amp;# 160;</w:t>
      </w:r>
      <w:r>
        <w:rPr>
          <w:sz w:val="20"/>
          <w:szCs w:val="20"/>
          <w:color w:val="auto"/>
        </w:rPr>
        <w:tab/>
      </w:r>
      <w:r>
        <w:rPr>
          <w:rFonts w:ascii="Arial" w:cs="Arial" w:eastAsia="Arial" w:hAnsi="Arial"/>
          <w:sz w:val="11"/>
          <w:szCs w:val="11"/>
          <w:b w:val="1"/>
          <w:bCs w:val="1"/>
          <w:color w:val="auto"/>
        </w:rPr>
        <w:t>Exhibit 31.2</w:t>
      </w:r>
    </w:p>
    <w:p>
      <w:pPr>
        <w:spacing w:after="0" w:line="18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 SECTION 302 OF SARBANES-OXLEY ACT OF 2002</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12"/>
          <w:szCs w:val="12"/>
          <w:color w:val="auto"/>
        </w:rPr>
        <w:t>I, James H. Dorton, certify that:</w:t>
      </w:r>
    </w:p>
    <w:p>
      <w:pPr>
        <w:spacing w:after="0" w:line="213" w:lineRule="exact"/>
        <w:rPr>
          <w:sz w:val="20"/>
          <w:szCs w:val="20"/>
          <w:color w:val="auto"/>
        </w:rPr>
      </w:pPr>
    </w:p>
    <w:p>
      <w:pPr>
        <w:ind w:left="388" w:hanging="388"/>
        <w:spacing w:after="0"/>
        <w:tabs>
          <w:tab w:leader="none" w:pos="388" w:val="left"/>
        </w:tabs>
        <w:numPr>
          <w:ilvl w:val="0"/>
          <w:numId w:val="8"/>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NN, Inc.;</w:t>
      </w:r>
    </w:p>
    <w:p>
      <w:pPr>
        <w:spacing w:after="0" w:line="222" w:lineRule="exact"/>
        <w:rPr>
          <w:rFonts w:ascii="Arial" w:cs="Arial" w:eastAsia="Arial" w:hAnsi="Arial"/>
          <w:sz w:val="12"/>
          <w:szCs w:val="12"/>
          <w:color w:val="auto"/>
        </w:rPr>
      </w:pPr>
    </w:p>
    <w:p>
      <w:pPr>
        <w:ind w:left="8" w:right="200" w:hanging="8"/>
        <w:spacing w:after="0" w:line="292" w:lineRule="auto"/>
        <w:tabs>
          <w:tab w:leader="none" w:pos="386" w:val="left"/>
        </w:tabs>
        <w:numPr>
          <w:ilvl w:val="0"/>
          <w:numId w:val="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2"/>
          <w:szCs w:val="12"/>
          <w:color w:val="auto"/>
        </w:rPr>
      </w:pPr>
    </w:p>
    <w:p>
      <w:pPr>
        <w:ind w:left="8" w:right="100" w:hanging="8"/>
        <w:spacing w:after="0" w:line="292" w:lineRule="auto"/>
        <w:tabs>
          <w:tab w:leader="none" w:pos="386" w:val="left"/>
        </w:tabs>
        <w:numPr>
          <w:ilvl w:val="0"/>
          <w:numId w:val="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2"/>
          <w:szCs w:val="12"/>
          <w:color w:val="auto"/>
        </w:rPr>
      </w:pPr>
    </w:p>
    <w:p>
      <w:pPr>
        <w:ind w:left="8" w:right="440" w:hanging="8"/>
        <w:spacing w:after="0" w:line="276" w:lineRule="auto"/>
        <w:tabs>
          <w:tab w:leader="none" w:pos="278"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2"/>
          <w:szCs w:val="12"/>
          <w:color w:val="auto"/>
        </w:rPr>
      </w:pPr>
    </w:p>
    <w:p>
      <w:pPr>
        <w:ind w:left="1288" w:hanging="184"/>
        <w:spacing w:after="0" w:line="276" w:lineRule="auto"/>
        <w:tabs>
          <w:tab w:leader="none" w:pos="1288" w:val="left"/>
        </w:tabs>
        <w:numPr>
          <w:ilvl w:val="1"/>
          <w:numId w:val="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2"/>
          <w:szCs w:val="12"/>
          <w:color w:val="auto"/>
        </w:rPr>
      </w:pPr>
    </w:p>
    <w:p>
      <w:pPr>
        <w:ind w:left="1288" w:hanging="191"/>
        <w:spacing w:after="0" w:line="276" w:lineRule="auto"/>
        <w:tabs>
          <w:tab w:leader="none" w:pos="1288" w:val="left"/>
        </w:tabs>
        <w:numPr>
          <w:ilvl w:val="1"/>
          <w:numId w:val="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2"/>
          <w:szCs w:val="12"/>
          <w:color w:val="auto"/>
        </w:rPr>
      </w:pPr>
    </w:p>
    <w:p>
      <w:pPr>
        <w:ind w:left="1288" w:hanging="184"/>
        <w:spacing w:after="0" w:line="276" w:lineRule="auto"/>
        <w:tabs>
          <w:tab w:leader="none" w:pos="1288" w:val="left"/>
        </w:tabs>
        <w:numPr>
          <w:ilvl w:val="1"/>
          <w:numId w:val="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2"/>
          <w:szCs w:val="12"/>
          <w:color w:val="auto"/>
        </w:rPr>
      </w:pPr>
    </w:p>
    <w:p>
      <w:pPr>
        <w:ind w:left="1288" w:hanging="191"/>
        <w:spacing w:after="0" w:line="276" w:lineRule="auto"/>
        <w:tabs>
          <w:tab w:leader="none" w:pos="1288" w:val="left"/>
        </w:tabs>
        <w:numPr>
          <w:ilvl w:val="1"/>
          <w:numId w:val="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2"/>
          <w:szCs w:val="12"/>
          <w:color w:val="auto"/>
        </w:rPr>
      </w:pPr>
    </w:p>
    <w:p>
      <w:pPr>
        <w:ind w:left="8" w:right="20" w:hanging="8"/>
        <w:spacing w:after="0" w:line="276" w:lineRule="auto"/>
        <w:tabs>
          <w:tab w:leader="none" w:pos="308"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2"/>
          <w:szCs w:val="12"/>
          <w:color w:val="auto"/>
        </w:rPr>
      </w:pPr>
    </w:p>
    <w:p>
      <w:pPr>
        <w:ind w:left="1288" w:right="20" w:hanging="184"/>
        <w:spacing w:after="0" w:line="276" w:lineRule="auto"/>
        <w:tabs>
          <w:tab w:leader="none" w:pos="1288" w:val="left"/>
        </w:tabs>
        <w:numPr>
          <w:ilvl w:val="1"/>
          <w:numId w:val="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2"/>
          <w:szCs w:val="12"/>
          <w:color w:val="auto"/>
        </w:rPr>
      </w:pPr>
    </w:p>
    <w:p>
      <w:pPr>
        <w:ind w:left="1288" w:hanging="153"/>
        <w:spacing w:after="0"/>
        <w:tabs>
          <w:tab w:leader="none" w:pos="1288" w:val="left"/>
        </w:tabs>
        <w:numPr>
          <w:ilvl w:val="2"/>
          <w:numId w:val="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49"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Date: </w:t>
      </w:r>
      <w:r>
        <w:rPr>
          <w:rFonts w:ascii="Arial" w:cs="Arial" w:eastAsia="Arial" w:hAnsi="Arial"/>
          <w:sz w:val="12"/>
          <w:szCs w:val="12"/>
          <w:u w:val="single" w:color="auto"/>
          <w:color w:val="auto"/>
        </w:rPr>
        <w:t>May 9, 2007</w:t>
      </w:r>
    </w:p>
    <w:p>
      <w:pPr>
        <w:spacing w:after="0" w:line="15" w:lineRule="exact"/>
        <w:rPr>
          <w:sz w:val="20"/>
          <w:szCs w:val="20"/>
          <w:color w:val="auto"/>
        </w:rPr>
      </w:pPr>
    </w:p>
    <w:p>
      <w:pPr>
        <w:ind w:left="4728"/>
        <w:spacing w:after="0"/>
        <w:rPr>
          <w:sz w:val="20"/>
          <w:szCs w:val="20"/>
          <w:color w:val="auto"/>
        </w:rPr>
      </w:pPr>
      <w:r>
        <w:rPr>
          <w:rFonts w:ascii="Arial" w:cs="Arial" w:eastAsia="Arial" w:hAnsi="Arial"/>
          <w:sz w:val="12"/>
          <w:szCs w:val="12"/>
          <w:u w:val="single" w:color="auto"/>
          <w:color w:val="auto"/>
        </w:rPr>
        <w:t>/s/ James H. Dorton</w:t>
      </w:r>
    </w:p>
    <w:p>
      <w:pPr>
        <w:spacing w:after="0" w:line="15" w:lineRule="exact"/>
        <w:rPr>
          <w:sz w:val="20"/>
          <w:szCs w:val="20"/>
          <w:color w:val="auto"/>
        </w:rPr>
      </w:pPr>
    </w:p>
    <w:p>
      <w:pPr>
        <w:ind w:left="4728"/>
        <w:spacing w:after="0"/>
        <w:rPr>
          <w:sz w:val="20"/>
          <w:szCs w:val="20"/>
          <w:color w:val="auto"/>
        </w:rPr>
      </w:pPr>
      <w:r>
        <w:rPr>
          <w:rFonts w:ascii="Arial" w:cs="Arial" w:eastAsia="Arial" w:hAnsi="Arial"/>
          <w:sz w:val="12"/>
          <w:szCs w:val="12"/>
          <w:color w:val="auto"/>
        </w:rPr>
        <w:t>James H. Dorton</w:t>
      </w:r>
    </w:p>
    <w:p>
      <w:pPr>
        <w:spacing w:after="0" w:line="6" w:lineRule="exact"/>
        <w:rPr>
          <w:sz w:val="20"/>
          <w:szCs w:val="20"/>
          <w:color w:val="auto"/>
        </w:rPr>
      </w:pPr>
    </w:p>
    <w:p>
      <w:pPr>
        <w:ind w:left="4728"/>
        <w:spacing w:after="0"/>
        <w:rPr>
          <w:sz w:val="20"/>
          <w:szCs w:val="20"/>
          <w:color w:val="auto"/>
        </w:rPr>
      </w:pPr>
      <w:r>
        <w:rPr>
          <w:rFonts w:ascii="Arial" w:cs="Arial" w:eastAsia="Arial" w:hAnsi="Arial"/>
          <w:sz w:val="12"/>
          <w:szCs w:val="12"/>
          <w:color w:val="auto"/>
        </w:rPr>
        <w:t>Vice President - Corporate Development and Chief Financial Officer</w:t>
      </w:r>
    </w:p>
    <w:p>
      <w:pPr>
        <w:sectPr>
          <w:pgSz w:w="11900" w:h="16838" w:orient="portrait"/>
          <w:cols w:equalWidth="0" w:num="1">
            <w:col w:w="11488"/>
          </w:cols>
          <w:pgMar w:left="212" w:top="307" w:right="199" w:bottom="1440" w:gutter="0" w:footer="0" w:header="0"/>
        </w:sectPr>
      </w:pPr>
    </w:p>
    <w:bookmarkStart w:id="24" w:name="page25"/>
    <w:bookmarkEnd w:id="24"/>
    <w:p>
      <w:pPr>
        <w:jc w:val="right"/>
        <w:spacing w:after="0"/>
        <w:rPr>
          <w:sz w:val="20"/>
          <w:szCs w:val="20"/>
          <w:color w:val="auto"/>
        </w:rPr>
      </w:pPr>
      <w:r>
        <w:rPr>
          <w:rFonts w:ascii="Arial" w:cs="Arial" w:eastAsia="Arial" w:hAnsi="Arial"/>
          <w:sz w:val="12"/>
          <w:szCs w:val="12"/>
          <w:b w:val="1"/>
          <w:bCs w:val="1"/>
          <w:color w:val="auto"/>
        </w:rPr>
        <w:t>Exhibit 32.1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EXECUTIVE OFFICER PURSUANT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TO SECTION 906 OF THE SARBANES-OXLEY ACT OF 2002</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connection with the Quarterly Report of NN, Inc. (the “Company”) on Form 10-Q for the interim period ended March 31, 2007,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89"/>
              </w:rPr>
              <w:t>Date: May 9, 2007</w:t>
            </w:r>
          </w:p>
        </w:tc>
        <w:tc>
          <w:tcPr>
            <w:tcW w:w="3680" w:type="dxa"/>
            <w:vAlign w:val="bottom"/>
          </w:tcPr>
          <w:p>
            <w:pPr>
              <w:spacing w:after="0"/>
              <w:rPr>
                <w:sz w:val="12"/>
                <w:szCs w:val="12"/>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w w:val="90"/>
              </w:rPr>
              <w:t>/s/ Roderick R. Baty</w:t>
            </w:r>
          </w:p>
        </w:tc>
        <w:tc>
          <w:tcPr>
            <w:tcW w:w="146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480" w:type="dxa"/>
            <w:vAlign w:val="bottom"/>
            <w:gridSpan w:val="2"/>
          </w:tcPr>
          <w:p>
            <w:pPr>
              <w:ind w:left="60"/>
              <w:spacing w:after="0"/>
              <w:rPr>
                <w:sz w:val="20"/>
                <w:szCs w:val="20"/>
                <w:color w:val="auto"/>
              </w:rPr>
            </w:pPr>
            <w:r>
              <w:rPr>
                <w:rFonts w:ascii="Arial" w:cs="Arial" w:eastAsia="Arial" w:hAnsi="Arial"/>
                <w:sz w:val="12"/>
                <w:szCs w:val="12"/>
                <w:color w:val="auto"/>
              </w:rPr>
              <w:t>Roderic k R. Baty</w:t>
            </w:r>
          </w:p>
        </w:tc>
      </w:tr>
      <w:tr>
        <w:trPr>
          <w:trHeight w:val="153"/>
        </w:trPr>
        <w:tc>
          <w:tcPr>
            <w:tcW w:w="9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480" w:type="dxa"/>
            <w:vAlign w:val="bottom"/>
            <w:gridSpan w:val="2"/>
          </w:tcPr>
          <w:p>
            <w:pPr>
              <w:ind w:left="60"/>
              <w:spacing w:after="0"/>
              <w:rPr>
                <w:sz w:val="20"/>
                <w:szCs w:val="20"/>
                <w:color w:val="auto"/>
              </w:rPr>
            </w:pPr>
            <w:r>
              <w:rPr>
                <w:rFonts w:ascii="Arial" w:cs="Arial" w:eastAsia="Arial" w:hAnsi="Arial"/>
                <w:sz w:val="12"/>
                <w:szCs w:val="12"/>
                <w:color w:val="auto"/>
                <w:w w:val="92"/>
              </w:rPr>
              <w:t>Chairman, President and Chief Executive Officer</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2"/>
          <w:szCs w:val="12"/>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80"/>
          </w:cols>
          <w:pgMar w:left="220" w:top="127" w:right="199" w:bottom="1440" w:gutter="0" w:footer="0" w:header="0"/>
        </w:sectPr>
      </w:pPr>
    </w:p>
    <w:bookmarkStart w:id="25" w:name="page26"/>
    <w:bookmarkEnd w:id="25"/>
    <w:p>
      <w:pPr>
        <w:jc w:val="right"/>
        <w:spacing w:after="0"/>
        <w:rPr>
          <w:sz w:val="20"/>
          <w:szCs w:val="20"/>
          <w:color w:val="auto"/>
        </w:rPr>
      </w:pPr>
      <w:r>
        <w:rPr>
          <w:rFonts w:ascii="Arial" w:cs="Arial" w:eastAsia="Arial" w:hAnsi="Arial"/>
          <w:sz w:val="12"/>
          <w:szCs w:val="12"/>
          <w:b w:val="1"/>
          <w:bCs w:val="1"/>
          <w:color w:val="auto"/>
        </w:rPr>
        <w:t>Exhibit 32.2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FINANCIAL OFFICER PURSUANT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TO SECTION 906 OF THE SARBANES-OXLEY ACT OF 2002</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connection with the Quarterly Report of NN, Inc. (the “Company”) on Form 10-Q for the interim period ended March 31, 2007,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32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Date: May 9, 2007</w:t>
      </w:r>
    </w:p>
    <w:p>
      <w:pPr>
        <w:spacing w:after="0" w:line="15" w:lineRule="exact"/>
        <w:rPr>
          <w:sz w:val="20"/>
          <w:szCs w:val="20"/>
          <w:color w:val="auto"/>
        </w:rPr>
      </w:pPr>
    </w:p>
    <w:p>
      <w:pPr>
        <w:ind w:left="4800" w:hanging="126"/>
        <w:spacing w:after="0"/>
        <w:tabs>
          <w:tab w:leader="none" w:pos="4800" w:val="left"/>
        </w:tabs>
        <w:numPr>
          <w:ilvl w:val="0"/>
          <w:numId w:val="9"/>
        </w:numPr>
        <w:rPr>
          <w:rFonts w:ascii="Arial" w:cs="Arial" w:eastAsia="Arial" w:hAnsi="Arial"/>
          <w:sz w:val="12"/>
          <w:szCs w:val="12"/>
          <w:color w:val="auto"/>
        </w:rPr>
      </w:pPr>
      <w:r>
        <w:rPr>
          <w:rFonts w:ascii="Arial" w:cs="Arial" w:eastAsia="Arial" w:hAnsi="Arial"/>
          <w:sz w:val="12"/>
          <w:szCs w:val="12"/>
          <w:color w:val="auto"/>
        </w:rPr>
        <w:t>#160;    /s/ James H. Dorton</w:t>
      </w:r>
    </w:p>
    <w:p>
      <w:pPr>
        <w:spacing w:after="0" w:line="6" w:lineRule="exact"/>
        <w:rPr>
          <w:rFonts w:ascii="Arial" w:cs="Arial" w:eastAsia="Arial" w:hAnsi="Arial"/>
          <w:sz w:val="12"/>
          <w:szCs w:val="12"/>
          <w:color w:val="auto"/>
        </w:rPr>
      </w:pPr>
    </w:p>
    <w:p>
      <w:pPr>
        <w:ind w:left="4800" w:hanging="126"/>
        <w:spacing w:after="0"/>
        <w:tabs>
          <w:tab w:leader="none" w:pos="4800" w:val="left"/>
        </w:tabs>
        <w:numPr>
          <w:ilvl w:val="0"/>
          <w:numId w:val="9"/>
        </w:numPr>
        <w:rPr>
          <w:rFonts w:ascii="Arial" w:cs="Arial" w:eastAsia="Arial" w:hAnsi="Arial"/>
          <w:sz w:val="12"/>
          <w:szCs w:val="12"/>
          <w:color w:val="auto"/>
        </w:rPr>
      </w:pPr>
      <w:r>
        <w:rPr>
          <w:rFonts w:ascii="Arial" w:cs="Arial" w:eastAsia="Arial" w:hAnsi="Arial"/>
          <w:sz w:val="12"/>
          <w:szCs w:val="12"/>
          <w:color w:val="auto"/>
        </w:rPr>
        <w:t>#160;   James H. Dorton</w:t>
      </w:r>
    </w:p>
    <w:p>
      <w:pPr>
        <w:spacing w:after="0" w:line="6" w:lineRule="exact"/>
        <w:rPr>
          <w:rFonts w:ascii="Arial" w:cs="Arial" w:eastAsia="Arial" w:hAnsi="Arial"/>
          <w:sz w:val="12"/>
          <w:szCs w:val="12"/>
          <w:color w:val="auto"/>
        </w:rPr>
      </w:pPr>
    </w:p>
    <w:p>
      <w:pPr>
        <w:ind w:left="4800" w:hanging="126"/>
        <w:spacing w:after="0"/>
        <w:tabs>
          <w:tab w:leader="none" w:pos="4800" w:val="left"/>
        </w:tabs>
        <w:numPr>
          <w:ilvl w:val="0"/>
          <w:numId w:val="9"/>
        </w:numPr>
        <w:rPr>
          <w:rFonts w:ascii="Arial" w:cs="Arial" w:eastAsia="Arial" w:hAnsi="Arial"/>
          <w:sz w:val="12"/>
          <w:szCs w:val="12"/>
          <w:color w:val="auto"/>
        </w:rPr>
      </w:pPr>
      <w:r>
        <w:rPr>
          <w:rFonts w:ascii="Arial" w:cs="Arial" w:eastAsia="Arial" w:hAnsi="Arial"/>
          <w:sz w:val="12"/>
          <w:szCs w:val="12"/>
          <w:color w:val="auto"/>
        </w:rPr>
        <w:t>#160;   Vice President - Corporate Development</w:t>
      </w:r>
    </w:p>
    <w:p>
      <w:pPr>
        <w:spacing w:after="0" w:line="6" w:lineRule="exact"/>
        <w:rPr>
          <w:rFonts w:ascii="Arial" w:cs="Arial" w:eastAsia="Arial" w:hAnsi="Arial"/>
          <w:sz w:val="12"/>
          <w:szCs w:val="12"/>
          <w:color w:val="auto"/>
        </w:rPr>
      </w:pPr>
    </w:p>
    <w:p>
      <w:pPr>
        <w:ind w:left="4800" w:hanging="126"/>
        <w:spacing w:after="0"/>
        <w:tabs>
          <w:tab w:leader="none" w:pos="4800" w:val="left"/>
        </w:tabs>
        <w:numPr>
          <w:ilvl w:val="0"/>
          <w:numId w:val="9"/>
        </w:numPr>
        <w:rPr>
          <w:rFonts w:ascii="Arial" w:cs="Arial" w:eastAsia="Arial" w:hAnsi="Arial"/>
          <w:sz w:val="12"/>
          <w:szCs w:val="12"/>
          <w:color w:val="auto"/>
        </w:rPr>
      </w:pPr>
      <w:r>
        <w:rPr>
          <w:rFonts w:ascii="Arial" w:cs="Arial" w:eastAsia="Arial" w:hAnsi="Arial"/>
          <w:sz w:val="12"/>
          <w:szCs w:val="12"/>
          <w:color w:val="auto"/>
        </w:rPr>
        <w:t>#160;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-287020</wp:posOffset>
            </wp:positionV>
            <wp:extent cx="62420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4205" cy="571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2"/>
          <w:szCs w:val="12"/>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80"/>
      </w:cols>
      <w:pgMar w:left="220" w:top="289"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8">
    <w:nsid w:val="5BD062C2"/>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2019-12-14T02:42:04Z</dcterms:created>
  <dcterms:modified xsi:type="dcterms:W3CDTF">2019-12-14T02:42:04Z</dcterms:modified>
</cp:coreProperties>
</file>