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52"/>
        <w:spacing w:after="0"/>
        <w:rPr>
          <w:sz w:val="20"/>
          <w:szCs w:val="20"/>
          <w:color w:val="auto"/>
        </w:rPr>
      </w:pPr>
      <w:r>
        <w:rPr>
          <w:rFonts w:ascii="Courier New" w:cs="Courier New" w:eastAsia="Courier New" w:hAnsi="Courier New"/>
          <w:sz w:val="11"/>
          <w:szCs w:val="11"/>
          <w:color w:val="auto"/>
        </w:rPr>
        <w:t>================================================================================</w:t>
      </w:r>
    </w:p>
    <w:p>
      <w:pPr>
        <w:spacing w:after="0" w:line="141"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2"/>
          <w:szCs w:val="12"/>
          <w:color w:val="auto"/>
        </w:rPr>
        <w:t>UNITED STATES SECURITIES AND EXCHANGE COMMISSION</w:t>
      </w:r>
    </w:p>
    <w:p>
      <w:pPr>
        <w:jc w:val="center"/>
        <w:ind w:right="5852"/>
        <w:spacing w:after="0"/>
        <w:rPr>
          <w:sz w:val="20"/>
          <w:szCs w:val="20"/>
          <w:color w:val="auto"/>
        </w:rPr>
      </w:pPr>
      <w:r>
        <w:rPr>
          <w:rFonts w:ascii="Courier New" w:cs="Courier New" w:eastAsia="Courier New" w:hAnsi="Courier New"/>
          <w:sz w:val="12"/>
          <w:szCs w:val="12"/>
          <w:color w:val="auto"/>
        </w:rPr>
        <w:t>Washington, D.C. 20549</w:t>
      </w:r>
    </w:p>
    <w:p>
      <w:pPr>
        <w:spacing w:after="0" w:line="269" w:lineRule="exact"/>
        <w:rPr>
          <w:sz w:val="24"/>
          <w:szCs w:val="24"/>
          <w:color w:val="auto"/>
        </w:rPr>
      </w:pPr>
    </w:p>
    <w:p>
      <w:pPr>
        <w:ind w:left="2528"/>
        <w:spacing w:after="0"/>
        <w:rPr>
          <w:sz w:val="20"/>
          <w:szCs w:val="20"/>
          <w:color w:val="auto"/>
        </w:rPr>
      </w:pPr>
      <w:r>
        <w:rPr>
          <w:rFonts w:ascii="Courier New" w:cs="Courier New" w:eastAsia="Courier New" w:hAnsi="Courier New"/>
          <w:sz w:val="12"/>
          <w:szCs w:val="12"/>
          <w:b w:val="1"/>
          <w:bCs w:val="1"/>
          <w:color w:val="auto"/>
        </w:rPr>
        <w:t>FORM 10-Q</w:t>
      </w:r>
    </w:p>
    <w:p>
      <w:pPr>
        <w:spacing w:after="0" w:line="139" w:lineRule="exact"/>
        <w:rPr>
          <w:sz w:val="24"/>
          <w:szCs w:val="24"/>
          <w:color w:val="auto"/>
        </w:rPr>
      </w:pPr>
    </w:p>
    <w:p>
      <w:pPr>
        <w:ind w:left="348" w:right="6500" w:hanging="348"/>
        <w:spacing w:after="0" w:line="235"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QUARTERLY REPORT PURSUANT TO SECTION 13 OR 15(d) OF THE SECURITIES EXCHANGE ACT OF 1934</w:t>
      </w:r>
    </w:p>
    <w:p>
      <w:pPr>
        <w:spacing w:after="0" w:line="135" w:lineRule="exact"/>
        <w:rPr>
          <w:sz w:val="24"/>
          <w:szCs w:val="24"/>
          <w:color w:val="auto"/>
        </w:rPr>
      </w:pPr>
    </w:p>
    <w:p>
      <w:pPr>
        <w:ind w:left="1268"/>
        <w:spacing w:after="0"/>
        <w:rPr>
          <w:sz w:val="20"/>
          <w:szCs w:val="20"/>
          <w:color w:val="auto"/>
        </w:rPr>
      </w:pPr>
      <w:r>
        <w:rPr>
          <w:rFonts w:ascii="Courier New" w:cs="Courier New" w:eastAsia="Courier New" w:hAnsi="Courier New"/>
          <w:sz w:val="12"/>
          <w:szCs w:val="12"/>
          <w:color w:val="auto"/>
        </w:rPr>
        <w:t xml:space="preserve">For the quarterly period ended </w:t>
      </w:r>
      <w:r>
        <w:rPr>
          <w:rFonts w:ascii="Courier New" w:cs="Courier New" w:eastAsia="Courier New" w:hAnsi="Courier New"/>
          <w:sz w:val="12"/>
          <w:szCs w:val="12"/>
          <w:u w:val="single" w:color="auto"/>
          <w:color w:val="auto"/>
        </w:rPr>
        <w:t>March 31, 2003</w:t>
      </w:r>
    </w:p>
    <w:p>
      <w:pPr>
        <w:spacing w:after="0" w:line="269" w:lineRule="exact"/>
        <w:rPr>
          <w:sz w:val="24"/>
          <w:szCs w:val="24"/>
          <w:color w:val="auto"/>
        </w:rPr>
      </w:pPr>
    </w:p>
    <w:p>
      <w:pPr>
        <w:ind w:left="2748"/>
        <w:spacing w:after="0"/>
        <w:rPr>
          <w:sz w:val="20"/>
          <w:szCs w:val="20"/>
          <w:color w:val="auto"/>
        </w:rPr>
      </w:pPr>
      <w:r>
        <w:rPr>
          <w:rFonts w:ascii="Courier New" w:cs="Courier New" w:eastAsia="Courier New" w:hAnsi="Courier New"/>
          <w:sz w:val="12"/>
          <w:szCs w:val="12"/>
          <w:color w:val="auto"/>
        </w:rPr>
        <w:t>OR</w:t>
      </w:r>
    </w:p>
    <w:p>
      <w:pPr>
        <w:spacing w:after="0" w:line="139" w:lineRule="exact"/>
        <w:rPr>
          <w:sz w:val="24"/>
          <w:szCs w:val="24"/>
          <w:color w:val="auto"/>
        </w:rPr>
      </w:pPr>
    </w:p>
    <w:p>
      <w:pPr>
        <w:ind w:left="348" w:right="6420" w:hanging="348"/>
        <w:spacing w:after="0" w:line="235" w:lineRule="auto"/>
        <w:tabs>
          <w:tab w:leader="none" w:pos="137"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TRANSITION REPORT PURSUANT TO SECTION 13 OR 15(d) OF THE SECURITIES EXCHANGE ACT OF 1934</w:t>
      </w:r>
    </w:p>
    <w:p>
      <w:pPr>
        <w:spacing w:after="0" w:line="135" w:lineRule="exact"/>
        <w:rPr>
          <w:sz w:val="24"/>
          <w:szCs w:val="24"/>
          <w:color w:val="auto"/>
        </w:rPr>
      </w:pPr>
    </w:p>
    <w:p>
      <w:pPr>
        <w:ind w:left="988"/>
        <w:spacing w:after="0"/>
        <w:rPr>
          <w:sz w:val="20"/>
          <w:szCs w:val="20"/>
          <w:color w:val="auto"/>
        </w:rPr>
      </w:pPr>
      <w:r>
        <w:rPr>
          <w:rFonts w:ascii="Courier New" w:cs="Courier New" w:eastAsia="Courier New" w:hAnsi="Courier New"/>
          <w:sz w:val="12"/>
          <w:szCs w:val="12"/>
          <w:color w:val="auto"/>
        </w:rPr>
        <w:t>For the transition period from _________ to _________</w:t>
      </w:r>
    </w:p>
    <w:p>
      <w:pPr>
        <w:spacing w:after="0" w:line="269" w:lineRule="exact"/>
        <w:rPr>
          <w:sz w:val="24"/>
          <w:szCs w:val="24"/>
          <w:color w:val="auto"/>
        </w:rPr>
      </w:pPr>
    </w:p>
    <w:p>
      <w:pPr>
        <w:ind w:left="1748"/>
        <w:spacing w:after="0"/>
        <w:rPr>
          <w:sz w:val="20"/>
          <w:szCs w:val="20"/>
          <w:color w:val="auto"/>
        </w:rPr>
      </w:pPr>
      <w:r>
        <w:rPr>
          <w:rFonts w:ascii="Courier New" w:cs="Courier New" w:eastAsia="Courier New" w:hAnsi="Courier New"/>
          <w:sz w:val="12"/>
          <w:szCs w:val="12"/>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-15240</wp:posOffset>
            </wp:positionV>
            <wp:extent cx="3568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870" cy="5715"/>
                    </a:xfrm>
                    <a:prstGeom prst="rect">
                      <a:avLst/>
                    </a:prstGeom>
                    <a:noFill/>
                  </pic:spPr>
                </pic:pic>
              </a:graphicData>
            </a:graphic>
          </wp:anchor>
        </w:drawing>
      </w:r>
    </w:p>
    <w:p>
      <w:pPr>
        <w:spacing w:after="0" w:line="249"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2"/>
          <w:szCs w:val="12"/>
          <w:b w:val="1"/>
          <w:bCs w:val="1"/>
          <w:color w:val="auto"/>
        </w:rPr>
        <w:t>NN, Inc.</w:t>
      </w:r>
    </w:p>
    <w:p>
      <w:pPr>
        <w:jc w:val="center"/>
        <w:ind w:right="5852"/>
        <w:spacing w:after="0"/>
        <w:rPr>
          <w:sz w:val="20"/>
          <w:szCs w:val="20"/>
          <w:color w:val="auto"/>
        </w:rPr>
      </w:pPr>
      <w:r>
        <w:rPr>
          <w:rFonts w:ascii="Courier New" w:cs="Courier New" w:eastAsia="Courier New" w:hAnsi="Courier New"/>
          <w:sz w:val="12"/>
          <w:szCs w:val="12"/>
          <w:color w:val="auto"/>
        </w:rPr>
        <w:t>(Exact name of registrant as specified in its charter)</w:t>
      </w:r>
    </w:p>
    <w:p>
      <w:pPr>
        <w:sectPr>
          <w:pgSz w:w="11900" w:h="16838" w:orient="portrait"/>
          <w:cols w:equalWidth="0" w:num="1">
            <w:col w:w="11488"/>
          </w:cols>
          <w:pgMar w:left="212" w:top="348" w:right="199" w:bottom="0" w:gutter="0" w:footer="0" w:header="0"/>
        </w:sectPr>
      </w:pPr>
    </w:p>
    <w:p>
      <w:pPr>
        <w:spacing w:after="0" w:line="269" w:lineRule="exact"/>
        <w:rPr>
          <w:sz w:val="24"/>
          <w:szCs w:val="24"/>
          <w:color w:val="auto"/>
        </w:rPr>
      </w:pPr>
    </w:p>
    <w:p>
      <w:pPr>
        <w:ind w:left="988"/>
        <w:spacing w:after="0"/>
        <w:rPr>
          <w:sz w:val="20"/>
          <w:szCs w:val="20"/>
          <w:color w:val="auto"/>
        </w:rPr>
      </w:pPr>
      <w:r>
        <w:rPr>
          <w:rFonts w:ascii="Courier New" w:cs="Courier New" w:eastAsia="Courier New" w:hAnsi="Courier New"/>
          <w:sz w:val="12"/>
          <w:szCs w:val="12"/>
          <w:b w:val="1"/>
          <w:bCs w:val="1"/>
          <w:color w:val="auto"/>
        </w:rPr>
        <w:t>Delaware</w:t>
      </w:r>
    </w:p>
    <w:p>
      <w:pPr>
        <w:ind w:left="208"/>
        <w:spacing w:after="0"/>
        <w:rPr>
          <w:sz w:val="20"/>
          <w:szCs w:val="20"/>
          <w:color w:val="auto"/>
        </w:rPr>
      </w:pPr>
      <w:r>
        <w:rPr>
          <w:rFonts w:ascii="Courier New" w:cs="Courier New" w:eastAsia="Courier New" w:hAnsi="Courier New"/>
          <w:sz w:val="12"/>
          <w:szCs w:val="12"/>
          <w:color w:val="auto"/>
        </w:rPr>
        <w:t>(State or other jurisdiction of</w:t>
      </w:r>
    </w:p>
    <w:p>
      <w:pPr>
        <w:spacing w:after="0" w:line="3" w:lineRule="exact"/>
        <w:rPr>
          <w:sz w:val="24"/>
          <w:szCs w:val="24"/>
          <w:color w:val="auto"/>
        </w:rPr>
      </w:pPr>
    </w:p>
    <w:p>
      <w:pPr>
        <w:ind w:left="348"/>
        <w:spacing w:after="0"/>
        <w:rPr>
          <w:sz w:val="20"/>
          <w:szCs w:val="20"/>
          <w:color w:val="auto"/>
        </w:rPr>
      </w:pPr>
      <w:r>
        <w:rPr>
          <w:rFonts w:ascii="Courier New" w:cs="Courier New" w:eastAsia="Courier New" w:hAnsi="Courier New"/>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ind w:left="280"/>
        <w:spacing w:after="0"/>
        <w:rPr>
          <w:sz w:val="20"/>
          <w:szCs w:val="20"/>
          <w:color w:val="auto"/>
        </w:rPr>
      </w:pPr>
      <w:r>
        <w:rPr>
          <w:rFonts w:ascii="Courier New" w:cs="Courier New" w:eastAsia="Courier New" w:hAnsi="Courier New"/>
          <w:sz w:val="12"/>
          <w:szCs w:val="12"/>
          <w:b w:val="1"/>
          <w:bCs w:val="1"/>
          <w:color w:val="auto"/>
        </w:rPr>
        <w:t>62-1096725</w:t>
      </w:r>
    </w:p>
    <w:p>
      <w:pPr>
        <w:ind w:left="140"/>
        <w:spacing w:after="0"/>
        <w:rPr>
          <w:sz w:val="20"/>
          <w:szCs w:val="20"/>
          <w:color w:val="auto"/>
        </w:rPr>
      </w:pPr>
      <w:r>
        <w:rPr>
          <w:rFonts w:ascii="Courier New" w:cs="Courier New" w:eastAsia="Courier New" w:hAnsi="Courier New"/>
          <w:sz w:val="12"/>
          <w:szCs w:val="12"/>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Identification Number)</w:t>
      </w:r>
    </w:p>
    <w:p>
      <w:pPr>
        <w:spacing w:after="0" w:line="200" w:lineRule="exact"/>
        <w:rPr>
          <w:sz w:val="24"/>
          <w:szCs w:val="24"/>
          <w:color w:val="auto"/>
        </w:rPr>
      </w:pPr>
    </w:p>
    <w:p>
      <w:pPr>
        <w:sectPr>
          <w:pgSz w:w="11900" w:h="16838" w:orient="portrait"/>
          <w:cols w:equalWidth="0" w:num="2">
            <w:col w:w="3068" w:space="720"/>
            <w:col w:w="7700"/>
          </w:cols>
          <w:pgMar w:left="212" w:top="348" w:right="199" w:bottom="0" w:gutter="0" w:footer="0" w:header="0"/>
          <w:type w:val="continuous"/>
        </w:sectPr>
      </w:pPr>
    </w:p>
    <w:p>
      <w:pPr>
        <w:spacing w:after="0" w:line="76" w:lineRule="exact"/>
        <w:rPr>
          <w:sz w:val="24"/>
          <w:szCs w:val="24"/>
          <w:color w:val="auto"/>
        </w:rPr>
      </w:pPr>
    </w:p>
    <w:p>
      <w:pPr>
        <w:ind w:left="2028"/>
        <w:spacing w:after="0"/>
        <w:rPr>
          <w:sz w:val="20"/>
          <w:szCs w:val="20"/>
          <w:color w:val="auto"/>
        </w:rPr>
      </w:pPr>
      <w:r>
        <w:rPr>
          <w:rFonts w:ascii="Courier New" w:cs="Courier New" w:eastAsia="Courier New" w:hAnsi="Courier New"/>
          <w:sz w:val="12"/>
          <w:szCs w:val="12"/>
          <w:b w:val="1"/>
          <w:bCs w:val="1"/>
          <w:color w:val="auto"/>
        </w:rPr>
        <w:t>2000 Waters Edge Drive</w:t>
      </w:r>
    </w:p>
    <w:p>
      <w:pPr>
        <w:ind w:left="2108"/>
        <w:spacing w:after="0"/>
        <w:rPr>
          <w:sz w:val="20"/>
          <w:szCs w:val="20"/>
          <w:color w:val="auto"/>
        </w:rPr>
      </w:pPr>
      <w:r>
        <w:rPr>
          <w:rFonts w:ascii="Courier New" w:cs="Courier New" w:eastAsia="Courier New" w:hAnsi="Courier New"/>
          <w:sz w:val="12"/>
          <w:szCs w:val="12"/>
          <w:b w:val="1"/>
          <w:bCs w:val="1"/>
          <w:color w:val="auto"/>
        </w:rPr>
        <w:t>Building C, Suite 12</w:t>
      </w:r>
    </w:p>
    <w:p>
      <w:pPr>
        <w:ind w:left="1828"/>
        <w:spacing w:after="0" w:line="237" w:lineRule="auto"/>
        <w:rPr>
          <w:sz w:val="20"/>
          <w:szCs w:val="20"/>
          <w:color w:val="auto"/>
        </w:rPr>
      </w:pPr>
      <w:r>
        <w:rPr>
          <w:rFonts w:ascii="Courier New" w:cs="Courier New" w:eastAsia="Courier New" w:hAnsi="Courier New"/>
          <w:sz w:val="12"/>
          <w:szCs w:val="12"/>
          <w:b w:val="1"/>
          <w:bCs w:val="1"/>
          <w:color w:val="auto"/>
        </w:rPr>
        <w:t>Johnson City, Tennessee 37604</w:t>
      </w:r>
    </w:p>
    <w:p>
      <w:pPr>
        <w:ind w:left="708"/>
        <w:spacing w:after="0"/>
        <w:rPr>
          <w:sz w:val="20"/>
          <w:szCs w:val="20"/>
          <w:color w:val="auto"/>
        </w:rPr>
      </w:pPr>
      <w:r>
        <w:rPr>
          <w:rFonts w:ascii="Courier New" w:cs="Courier New" w:eastAsia="Courier New" w:hAnsi="Courier New"/>
          <w:sz w:val="12"/>
          <w:szCs w:val="12"/>
          <w:color w:val="auto"/>
        </w:rPr>
        <w:t>(Address of principal executive offices, including zip code)</w:t>
      </w:r>
    </w:p>
    <w:p>
      <w:pPr>
        <w:spacing w:after="0" w:line="133"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2"/>
          <w:szCs w:val="12"/>
          <w:color w:val="auto"/>
        </w:rPr>
        <w:t>(423) 743-9151</w:t>
      </w:r>
    </w:p>
    <w:p>
      <w:pPr>
        <w:jc w:val="center"/>
        <w:ind w:right="5852"/>
        <w:spacing w:after="0"/>
        <w:rPr>
          <w:sz w:val="20"/>
          <w:szCs w:val="20"/>
          <w:color w:val="auto"/>
        </w:rPr>
      </w:pPr>
      <w:r>
        <w:rPr>
          <w:rFonts w:ascii="Courier New" w:cs="Courier New" w:eastAsia="Courier New" w:hAnsi="Courier New"/>
          <w:sz w:val="12"/>
          <w:szCs w:val="12"/>
          <w:color w:val="auto"/>
        </w:rPr>
        <w:t>(Registrant's telephone number, including area code)</w:t>
      </w:r>
    </w:p>
    <w:p>
      <w:pPr>
        <w:spacing w:after="0" w:line="269"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Indicate by check mark whether the registrant (1) has filed all reports required</w:t>
      </w:r>
    </w:p>
    <w:p>
      <w:pPr>
        <w:ind w:left="8"/>
        <w:spacing w:after="0"/>
        <w:rPr>
          <w:sz w:val="20"/>
          <w:szCs w:val="20"/>
          <w:color w:val="auto"/>
        </w:rPr>
      </w:pPr>
      <w:r>
        <w:rPr>
          <w:rFonts w:ascii="Courier New" w:cs="Courier New" w:eastAsia="Courier New" w:hAnsi="Courier New"/>
          <w:sz w:val="12"/>
          <w:szCs w:val="12"/>
          <w:color w:val="auto"/>
        </w:rPr>
        <w:t>to be filed by Section 13 or 15(d) of the Securities Exchange Act of 1934 during</w:t>
      </w:r>
    </w:p>
    <w:p>
      <w:pPr>
        <w:ind w:left="8"/>
        <w:spacing w:after="0" w:line="237" w:lineRule="auto"/>
        <w:rPr>
          <w:sz w:val="20"/>
          <w:szCs w:val="20"/>
          <w:color w:val="auto"/>
        </w:rPr>
      </w:pPr>
      <w:r>
        <w:rPr>
          <w:rFonts w:ascii="Courier New" w:cs="Courier New" w:eastAsia="Courier New" w:hAnsi="Courier New"/>
          <w:sz w:val="12"/>
          <w:szCs w:val="12"/>
          <w:color w:val="auto"/>
        </w:rPr>
        <w:t>the preceding 12 months (or for such shorter period that the registrant was</w:t>
      </w:r>
    </w:p>
    <w:p>
      <w:pPr>
        <w:ind w:left="8"/>
        <w:spacing w:after="0"/>
        <w:rPr>
          <w:sz w:val="20"/>
          <w:szCs w:val="20"/>
          <w:color w:val="auto"/>
        </w:rPr>
      </w:pPr>
      <w:r>
        <w:rPr>
          <w:rFonts w:ascii="Courier New" w:cs="Courier New" w:eastAsia="Courier New" w:hAnsi="Courier New"/>
          <w:sz w:val="12"/>
          <w:szCs w:val="12"/>
          <w:color w:val="auto"/>
        </w:rPr>
        <w:t>required to file such reports), and (2) has been subject to such filing</w:t>
      </w:r>
    </w:p>
    <w:p>
      <w:pPr>
        <w:ind w:left="8"/>
        <w:spacing w:after="0"/>
        <w:tabs>
          <w:tab w:leader="none" w:pos="2648" w:val="left"/>
          <w:tab w:leader="none" w:pos="3348" w:val="left"/>
        </w:tabs>
        <w:rPr>
          <w:sz w:val="20"/>
          <w:szCs w:val="20"/>
          <w:color w:val="auto"/>
        </w:rPr>
      </w:pPr>
      <w:r>
        <w:rPr>
          <w:rFonts w:ascii="Courier New" w:cs="Courier New" w:eastAsia="Courier New" w:hAnsi="Courier New"/>
          <w:sz w:val="12"/>
          <w:szCs w:val="12"/>
          <w:color w:val="auto"/>
        </w:rPr>
        <w:t>requirements for the past 90 days.</w:t>
      </w:r>
      <w:r>
        <w:rPr>
          <w:sz w:val="20"/>
          <w:szCs w:val="20"/>
          <w:color w:val="auto"/>
        </w:rPr>
        <w:tab/>
      </w:r>
      <w:r>
        <w:rPr>
          <w:rFonts w:ascii="Courier New" w:cs="Courier New" w:eastAsia="Courier New" w:hAnsi="Courier New"/>
          <w:sz w:val="12"/>
          <w:szCs w:val="12"/>
          <w:color w:val="auto"/>
        </w:rPr>
        <w:t>Yes |X|</w:t>
      </w:r>
      <w:r>
        <w:rPr>
          <w:sz w:val="20"/>
          <w:szCs w:val="20"/>
          <w:color w:val="auto"/>
        </w:rPr>
        <w:tab/>
      </w:r>
      <w:r>
        <w:rPr>
          <w:rFonts w:ascii="Courier New" w:cs="Courier New" w:eastAsia="Courier New" w:hAnsi="Courier New"/>
          <w:sz w:val="11"/>
          <w:szCs w:val="11"/>
          <w:color w:val="auto"/>
        </w:rPr>
        <w:t>No |_|</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Indicate by check mark whether the registrant is an accelerated filer (as</w:t>
      </w:r>
    </w:p>
    <w:p>
      <w:pPr>
        <w:ind w:left="8"/>
        <w:spacing w:after="0"/>
        <w:tabs>
          <w:tab w:leader="none" w:pos="3348" w:val="left"/>
          <w:tab w:leader="none" w:pos="4128" w:val="left"/>
        </w:tabs>
        <w:rPr>
          <w:sz w:val="20"/>
          <w:szCs w:val="20"/>
          <w:color w:val="auto"/>
        </w:rPr>
      </w:pPr>
      <w:r>
        <w:rPr>
          <w:rFonts w:ascii="Courier New" w:cs="Courier New" w:eastAsia="Courier New" w:hAnsi="Courier New"/>
          <w:sz w:val="12"/>
          <w:szCs w:val="12"/>
          <w:color w:val="auto"/>
        </w:rPr>
        <w:t>defined in Rule 12b-2 of the Exchange Act).</w:t>
      </w:r>
      <w:r>
        <w:rPr>
          <w:sz w:val="20"/>
          <w:szCs w:val="20"/>
          <w:color w:val="auto"/>
        </w:rPr>
        <w:tab/>
      </w:r>
      <w:r>
        <w:rPr>
          <w:rFonts w:ascii="Courier New" w:cs="Courier New" w:eastAsia="Courier New" w:hAnsi="Courier New"/>
          <w:sz w:val="12"/>
          <w:szCs w:val="12"/>
          <w:color w:val="auto"/>
        </w:rPr>
        <w:t>Yes |X|</w:t>
      </w:r>
      <w:r>
        <w:rPr>
          <w:sz w:val="20"/>
          <w:szCs w:val="20"/>
          <w:color w:val="auto"/>
        </w:rPr>
        <w:tab/>
      </w:r>
      <w:r>
        <w:rPr>
          <w:rFonts w:ascii="Courier New" w:cs="Courier New" w:eastAsia="Courier New" w:hAnsi="Courier New"/>
          <w:sz w:val="11"/>
          <w:szCs w:val="11"/>
          <w:color w:val="auto"/>
        </w:rPr>
        <w:t>No |_|</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As of May 12, 2003 there were 16,081,441 shares of the registrant's common stock,</w:t>
      </w:r>
    </w:p>
    <w:p>
      <w:pPr>
        <w:ind w:left="8"/>
        <w:spacing w:after="0"/>
        <w:rPr>
          <w:sz w:val="20"/>
          <w:szCs w:val="20"/>
          <w:color w:val="auto"/>
        </w:rPr>
      </w:pPr>
      <w:r>
        <w:rPr>
          <w:rFonts w:ascii="Courier New" w:cs="Courier New" w:eastAsia="Courier New" w:hAnsi="Courier New"/>
          <w:sz w:val="12"/>
          <w:szCs w:val="12"/>
          <w:color w:val="auto"/>
        </w:rPr>
        <w:t>par value $0.01 per share, outstanding.</w:t>
      </w:r>
    </w:p>
    <w:p>
      <w:pPr>
        <w:spacing w:after="0" w:line="269"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8"/>
        <w:spacing w:after="0"/>
        <w:rPr>
          <w:sz w:val="20"/>
          <w:szCs w:val="20"/>
          <w:color w:val="auto"/>
        </w:rPr>
      </w:pPr>
      <w:r>
        <w:rPr>
          <w:rFonts w:ascii="Courier New" w:cs="Courier New" w:eastAsia="Courier New" w:hAnsi="Courier New"/>
          <w:sz w:val="12"/>
          <w:szCs w:val="12"/>
          <w:b w:val="1"/>
          <w:bCs w:val="1"/>
          <w:color w:val="auto"/>
        </w:rPr>
        <w:t>NN, Inc.</w:t>
      </w:r>
    </w:p>
    <w:tbl>
      <w:tblPr>
        <w:tblLayout w:type="fixed"/>
        <w:tblInd w:w="8" w:type="dxa"/>
        <w:tblCellMar>
          <w:top w:w="0" w:type="dxa"/>
          <w:left w:w="0" w:type="dxa"/>
          <w:bottom w:w="0" w:type="dxa"/>
          <w:right w:w="0" w:type="dxa"/>
        </w:tblCellMar>
      </w:tblPr>
      <w:tr>
        <w:trPr>
          <w:trHeight w:val="135"/>
        </w:trPr>
        <w:tc>
          <w:tcPr>
            <w:tcW w:w="620" w:type="dxa"/>
            <w:vAlign w:val="bottom"/>
          </w:tcPr>
          <w:p>
            <w:pPr>
              <w:spacing w:after="0"/>
              <w:rPr>
                <w:sz w:val="11"/>
                <w:szCs w:val="11"/>
                <w:color w:val="auto"/>
              </w:rPr>
            </w:pPr>
          </w:p>
        </w:tc>
        <w:tc>
          <w:tcPr>
            <w:tcW w:w="3520" w:type="dxa"/>
            <w:vAlign w:val="bottom"/>
          </w:tcPr>
          <w:p>
            <w:pPr>
              <w:jc w:val="center"/>
              <w:ind w:left="861"/>
              <w:spacing w:after="0"/>
              <w:rPr>
                <w:sz w:val="20"/>
                <w:szCs w:val="20"/>
                <w:color w:val="auto"/>
              </w:rPr>
            </w:pPr>
            <w:r>
              <w:rPr>
                <w:rFonts w:ascii="Courier New" w:cs="Courier New" w:eastAsia="Courier New" w:hAnsi="Courier New"/>
                <w:sz w:val="12"/>
                <w:szCs w:val="12"/>
                <w:b w:val="1"/>
                <w:bCs w:val="1"/>
                <w:color w:val="auto"/>
                <w:w w:val="99"/>
              </w:rPr>
              <w:t>INDEX</w:t>
            </w: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380"/>
        </w:trPr>
        <w:tc>
          <w:tcPr>
            <w:tcW w:w="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920" w:type="dxa"/>
            <w:vAlign w:val="bottom"/>
            <w:gridSpan w:val="3"/>
          </w:tcPr>
          <w:p>
            <w:pPr>
              <w:ind w:left="380"/>
              <w:spacing w:after="0"/>
              <w:rPr>
                <w:sz w:val="20"/>
                <w:szCs w:val="20"/>
                <w:color w:val="auto"/>
              </w:rPr>
            </w:pPr>
            <w:r>
              <w:rPr>
                <w:rFonts w:ascii="Courier New" w:cs="Courier New" w:eastAsia="Courier New" w:hAnsi="Courier New"/>
                <w:sz w:val="12"/>
                <w:szCs w:val="12"/>
                <w:color w:val="auto"/>
              </w:rPr>
              <w:t>Page No.</w:t>
            </w:r>
          </w:p>
        </w:tc>
      </w:tr>
      <w:tr>
        <w:trPr>
          <w:trHeight w:val="140"/>
        </w:trPr>
        <w:tc>
          <w:tcPr>
            <w:tcW w:w="414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Part I. Financial Information</w:t>
            </w:r>
          </w:p>
        </w:tc>
        <w:tc>
          <w:tcPr>
            <w:tcW w:w="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960" w:type="dxa"/>
            <w:vAlign w:val="bottom"/>
          </w:tcPr>
          <w:p>
            <w:pPr>
              <w:spacing w:after="0"/>
              <w:rPr>
                <w:sz w:val="12"/>
                <w:szCs w:val="12"/>
                <w:color w:val="auto"/>
              </w:rPr>
            </w:pPr>
          </w:p>
        </w:tc>
      </w:tr>
      <w:tr>
        <w:trPr>
          <w:trHeight w:val="27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1.</w:t>
            </w:r>
          </w:p>
        </w:tc>
        <w:tc>
          <w:tcPr>
            <w:tcW w:w="3520" w:type="dxa"/>
            <w:vAlign w:val="bottom"/>
          </w:tcPr>
          <w:p>
            <w:pPr>
              <w:spacing w:after="0"/>
              <w:rPr>
                <w:sz w:val="20"/>
                <w:szCs w:val="20"/>
                <w:color w:val="auto"/>
              </w:rPr>
            </w:pPr>
            <w:r>
              <w:rPr>
                <w:rFonts w:ascii="Courier New" w:cs="Courier New" w:eastAsia="Courier New" w:hAnsi="Courier New"/>
                <w:sz w:val="12"/>
                <w:szCs w:val="12"/>
                <w:color w:val="auto"/>
              </w:rPr>
              <w:t>Financial Statements: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270"/>
        </w:trPr>
        <w:tc>
          <w:tcPr>
            <w:tcW w:w="620" w:type="dxa"/>
            <w:vAlign w:val="bottom"/>
          </w:tcPr>
          <w:p>
            <w:pPr>
              <w:spacing w:after="0"/>
              <w:rPr>
                <w:sz w:val="23"/>
                <w:szCs w:val="23"/>
                <w:color w:val="auto"/>
              </w:rPr>
            </w:pPr>
          </w:p>
        </w:tc>
        <w:tc>
          <w:tcPr>
            <w:tcW w:w="5940" w:type="dxa"/>
            <w:vAlign w:val="bottom"/>
            <w:gridSpan w:val="3"/>
          </w:tcPr>
          <w:p>
            <w:pPr>
              <w:spacing w:after="0"/>
              <w:rPr>
                <w:sz w:val="20"/>
                <w:szCs w:val="20"/>
                <w:color w:val="auto"/>
              </w:rPr>
            </w:pPr>
            <w:r>
              <w:rPr>
                <w:rFonts w:ascii="Courier New" w:cs="Courier New" w:eastAsia="Courier New" w:hAnsi="Courier New"/>
                <w:sz w:val="12"/>
                <w:szCs w:val="12"/>
                <w:color w:val="auto"/>
              </w:rPr>
              <w:t>Consolidated Statements of Income and Comprehensive Income for the three</w:t>
            </w: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3520" w:type="dxa"/>
            <w:vAlign w:val="bottom"/>
          </w:tcPr>
          <w:p>
            <w:pPr>
              <w:ind w:left="220"/>
              <w:spacing w:after="0"/>
              <w:rPr>
                <w:sz w:val="20"/>
                <w:szCs w:val="20"/>
                <w:color w:val="auto"/>
              </w:rPr>
            </w:pPr>
            <w:r>
              <w:rPr>
                <w:rFonts w:ascii="Courier New" w:cs="Courier New" w:eastAsia="Courier New" w:hAnsi="Courier New"/>
                <w:sz w:val="12"/>
                <w:szCs w:val="12"/>
                <w:color w:val="auto"/>
              </w:rPr>
              <w:t>months ended March 31, 2003 and 2002</w:t>
            </w: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2</w:t>
            </w:r>
          </w:p>
        </w:tc>
        <w:tc>
          <w:tcPr>
            <w:tcW w:w="3960" w:type="dxa"/>
            <w:vAlign w:val="bottom"/>
          </w:tcPr>
          <w:p>
            <w:pPr>
              <w:spacing w:after="0"/>
              <w:rPr>
                <w:sz w:val="11"/>
                <w:szCs w:val="11"/>
                <w:color w:val="auto"/>
              </w:rPr>
            </w:pPr>
          </w:p>
        </w:tc>
      </w:tr>
      <w:tr>
        <w:trPr>
          <w:trHeight w:val="270"/>
        </w:trPr>
        <w:tc>
          <w:tcPr>
            <w:tcW w:w="620" w:type="dxa"/>
            <w:vAlign w:val="bottom"/>
          </w:tcPr>
          <w:p>
            <w:pPr>
              <w:spacing w:after="0"/>
              <w:rPr>
                <w:sz w:val="23"/>
                <w:szCs w:val="23"/>
                <w:color w:val="auto"/>
              </w:rPr>
            </w:pPr>
          </w:p>
        </w:tc>
        <w:tc>
          <w:tcPr>
            <w:tcW w:w="5940" w:type="dxa"/>
            <w:vAlign w:val="bottom"/>
            <w:gridSpan w:val="3"/>
          </w:tcPr>
          <w:p>
            <w:pPr>
              <w:spacing w:after="0"/>
              <w:rPr>
                <w:sz w:val="20"/>
                <w:szCs w:val="20"/>
                <w:color w:val="auto"/>
              </w:rPr>
            </w:pPr>
            <w:r>
              <w:rPr>
                <w:rFonts w:ascii="Courier New" w:cs="Courier New" w:eastAsia="Courier New" w:hAnsi="Courier New"/>
                <w:sz w:val="12"/>
                <w:szCs w:val="12"/>
                <w:color w:val="auto"/>
              </w:rPr>
              <w:t>Condensed Consolidated Balance Sheets at March 31, 2003 and December 31, 2002</w:t>
            </w: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3</w:t>
            </w:r>
          </w:p>
        </w:tc>
        <w:tc>
          <w:tcPr>
            <w:tcW w:w="3960" w:type="dxa"/>
            <w:vAlign w:val="bottom"/>
          </w:tcPr>
          <w:p>
            <w:pPr>
              <w:spacing w:after="0"/>
              <w:rPr>
                <w:sz w:val="23"/>
                <w:szCs w:val="23"/>
                <w:color w:val="auto"/>
              </w:rPr>
            </w:pPr>
          </w:p>
        </w:tc>
      </w:tr>
      <w:tr>
        <w:trPr>
          <w:trHeight w:val="270"/>
        </w:trPr>
        <w:tc>
          <w:tcPr>
            <w:tcW w:w="620" w:type="dxa"/>
            <w:vAlign w:val="bottom"/>
          </w:tcPr>
          <w:p>
            <w:pPr>
              <w:spacing w:after="0"/>
              <w:rPr>
                <w:sz w:val="23"/>
                <w:szCs w:val="23"/>
                <w:color w:val="auto"/>
              </w:rPr>
            </w:pPr>
          </w:p>
        </w:tc>
        <w:tc>
          <w:tcPr>
            <w:tcW w:w="5940" w:type="dxa"/>
            <w:vAlign w:val="bottom"/>
            <w:gridSpan w:val="3"/>
          </w:tcPr>
          <w:p>
            <w:pPr>
              <w:spacing w:after="0"/>
              <w:rPr>
                <w:sz w:val="20"/>
                <w:szCs w:val="20"/>
                <w:color w:val="auto"/>
              </w:rPr>
            </w:pPr>
            <w:r>
              <w:rPr>
                <w:rFonts w:ascii="Courier New" w:cs="Courier New" w:eastAsia="Courier New" w:hAnsi="Courier New"/>
                <w:sz w:val="12"/>
                <w:szCs w:val="12"/>
                <w:color w:val="auto"/>
              </w:rPr>
              <w:t>Consolidated Statements of Changes in Stockholders' Equity for the three</w:t>
            </w: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3520" w:type="dxa"/>
            <w:vAlign w:val="bottom"/>
          </w:tcPr>
          <w:p>
            <w:pPr>
              <w:ind w:left="220"/>
              <w:spacing w:after="0"/>
              <w:rPr>
                <w:sz w:val="20"/>
                <w:szCs w:val="20"/>
                <w:color w:val="auto"/>
              </w:rPr>
            </w:pPr>
            <w:r>
              <w:rPr>
                <w:rFonts w:ascii="Courier New" w:cs="Courier New" w:eastAsia="Courier New" w:hAnsi="Courier New"/>
                <w:sz w:val="12"/>
                <w:szCs w:val="12"/>
                <w:color w:val="auto"/>
              </w:rPr>
              <w:t>months ended March 31, 2003 and 2002</w:t>
            </w: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4</w:t>
            </w:r>
          </w:p>
        </w:tc>
        <w:tc>
          <w:tcPr>
            <w:tcW w:w="3960" w:type="dxa"/>
            <w:vAlign w:val="bottom"/>
          </w:tcPr>
          <w:p>
            <w:pPr>
              <w:spacing w:after="0"/>
              <w:rPr>
                <w:sz w:val="11"/>
                <w:szCs w:val="11"/>
                <w:color w:val="auto"/>
              </w:rPr>
            </w:pPr>
          </w:p>
        </w:tc>
      </w:tr>
      <w:tr>
        <w:trPr>
          <w:trHeight w:val="270"/>
        </w:trPr>
        <w:tc>
          <w:tcPr>
            <w:tcW w:w="62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Courier New" w:cs="Courier New" w:eastAsia="Courier New" w:hAnsi="Courier New"/>
                <w:sz w:val="12"/>
                <w:szCs w:val="12"/>
                <w:color w:val="auto"/>
                <w:w w:val="97"/>
              </w:rPr>
              <w:t>Consolidated Statements of Cash Flows for the three months ended</w:t>
            </w: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3520" w:type="dxa"/>
            <w:vAlign w:val="bottom"/>
          </w:tcPr>
          <w:p>
            <w:pPr>
              <w:ind w:left="220"/>
              <w:spacing w:after="0"/>
              <w:rPr>
                <w:sz w:val="20"/>
                <w:szCs w:val="20"/>
                <w:color w:val="auto"/>
              </w:rPr>
            </w:pPr>
            <w:r>
              <w:rPr>
                <w:rFonts w:ascii="Courier New" w:cs="Courier New" w:eastAsia="Courier New" w:hAnsi="Courier New"/>
                <w:sz w:val="12"/>
                <w:szCs w:val="12"/>
                <w:color w:val="auto"/>
              </w:rPr>
              <w:t>March 31, 2003 and 2002</w:t>
            </w: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5</w:t>
            </w:r>
          </w:p>
        </w:tc>
        <w:tc>
          <w:tcPr>
            <w:tcW w:w="3960" w:type="dxa"/>
            <w:vAlign w:val="bottom"/>
          </w:tcPr>
          <w:p>
            <w:pPr>
              <w:spacing w:after="0"/>
              <w:rPr>
                <w:sz w:val="11"/>
                <w:szCs w:val="11"/>
                <w:color w:val="auto"/>
              </w:rPr>
            </w:pPr>
          </w:p>
        </w:tc>
      </w:tr>
      <w:tr>
        <w:trPr>
          <w:trHeight w:val="270"/>
        </w:trPr>
        <w:tc>
          <w:tcPr>
            <w:tcW w:w="62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Courier New" w:cs="Courier New" w:eastAsia="Courier New" w:hAnsi="Courier New"/>
                <w:sz w:val="12"/>
                <w:szCs w:val="12"/>
                <w:color w:val="auto"/>
              </w:rPr>
              <w:t>Notes to Consolidated Financial Statements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6</w:t>
            </w:r>
          </w:p>
        </w:tc>
        <w:tc>
          <w:tcPr>
            <w:tcW w:w="396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Courier New" w:cs="Courier New" w:eastAsia="Courier New" w:hAnsi="Courier New"/>
                <w:sz w:val="12"/>
                <w:szCs w:val="12"/>
                <w:color w:val="auto"/>
                <w:w w:val="98"/>
              </w:rPr>
              <w:t>Item 2.  Management's Discussion and Analysis of Financial</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3520" w:type="dxa"/>
            <w:vAlign w:val="bottom"/>
          </w:tcPr>
          <w:p>
            <w:pPr>
              <w:ind w:left="220"/>
              <w:spacing w:after="0"/>
              <w:rPr>
                <w:sz w:val="20"/>
                <w:szCs w:val="20"/>
                <w:color w:val="auto"/>
              </w:rPr>
            </w:pPr>
            <w:r>
              <w:rPr>
                <w:rFonts w:ascii="Courier New" w:cs="Courier New" w:eastAsia="Courier New" w:hAnsi="Courier New"/>
                <w:sz w:val="12"/>
                <w:szCs w:val="12"/>
                <w:color w:val="auto"/>
              </w:rPr>
              <w:t>Condition and Results of Operations</w:t>
            </w: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13</w:t>
            </w:r>
          </w:p>
        </w:tc>
        <w:tc>
          <w:tcPr>
            <w:tcW w:w="3960" w:type="dxa"/>
            <w:vAlign w:val="bottom"/>
          </w:tcPr>
          <w:p>
            <w:pPr>
              <w:spacing w:after="0"/>
              <w:rPr>
                <w:sz w:val="11"/>
                <w:szCs w:val="11"/>
                <w:color w:val="auto"/>
              </w:rPr>
            </w:pPr>
          </w:p>
        </w:tc>
      </w:tr>
      <w:tr>
        <w:trPr>
          <w:trHeight w:val="27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3.</w:t>
            </w:r>
          </w:p>
        </w:tc>
        <w:tc>
          <w:tcPr>
            <w:tcW w:w="4500" w:type="dxa"/>
            <w:vAlign w:val="bottom"/>
            <w:gridSpan w:val="2"/>
          </w:tcPr>
          <w:p>
            <w:pPr>
              <w:spacing w:after="0"/>
              <w:rPr>
                <w:sz w:val="20"/>
                <w:szCs w:val="20"/>
                <w:color w:val="auto"/>
              </w:rPr>
            </w:pPr>
            <w:r>
              <w:rPr>
                <w:rFonts w:ascii="Courier New" w:cs="Courier New" w:eastAsia="Courier New" w:hAnsi="Courier New"/>
                <w:sz w:val="12"/>
                <w:szCs w:val="12"/>
                <w:color w:val="auto"/>
              </w:rPr>
              <w:t>Quantitative and Qualitative Disclosures about Market Risk</w:t>
            </w:r>
          </w:p>
        </w:tc>
        <w:tc>
          <w:tcPr>
            <w:tcW w:w="144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22</w:t>
            </w:r>
          </w:p>
        </w:tc>
        <w:tc>
          <w:tcPr>
            <w:tcW w:w="3960" w:type="dxa"/>
            <w:vAlign w:val="bottom"/>
          </w:tcPr>
          <w:p>
            <w:pPr>
              <w:spacing w:after="0"/>
              <w:rPr>
                <w:sz w:val="23"/>
                <w:szCs w:val="23"/>
                <w:color w:val="auto"/>
              </w:rPr>
            </w:pPr>
          </w:p>
        </w:tc>
      </w:tr>
      <w:tr>
        <w:trPr>
          <w:trHeight w:val="27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4.</w:t>
            </w:r>
          </w:p>
        </w:tc>
        <w:tc>
          <w:tcPr>
            <w:tcW w:w="3520" w:type="dxa"/>
            <w:vAlign w:val="bottom"/>
          </w:tcPr>
          <w:p>
            <w:pPr>
              <w:spacing w:after="0"/>
              <w:rPr>
                <w:sz w:val="20"/>
                <w:szCs w:val="20"/>
                <w:color w:val="auto"/>
              </w:rPr>
            </w:pPr>
            <w:r>
              <w:rPr>
                <w:rFonts w:ascii="Courier New" w:cs="Courier New" w:eastAsia="Courier New" w:hAnsi="Courier New"/>
                <w:sz w:val="12"/>
                <w:szCs w:val="12"/>
                <w:color w:val="auto"/>
              </w:rPr>
              <w:t>Controls and Procedures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23</w:t>
            </w:r>
          </w:p>
        </w:tc>
        <w:tc>
          <w:tcPr>
            <w:tcW w:w="3960" w:type="dxa"/>
            <w:vAlign w:val="bottom"/>
          </w:tcPr>
          <w:p>
            <w:pPr>
              <w:spacing w:after="0"/>
              <w:rPr>
                <w:sz w:val="23"/>
                <w:szCs w:val="23"/>
                <w:color w:val="auto"/>
              </w:rPr>
            </w:pPr>
          </w:p>
        </w:tc>
      </w:tr>
      <w:tr>
        <w:trPr>
          <w:trHeight w:val="270"/>
        </w:trPr>
        <w:tc>
          <w:tcPr>
            <w:tcW w:w="620" w:type="dxa"/>
            <w:vAlign w:val="bottom"/>
          </w:tcPr>
          <w:p>
            <w:pPr>
              <w:spacing w:after="0"/>
              <w:rPr>
                <w:sz w:val="20"/>
                <w:szCs w:val="20"/>
                <w:color w:val="auto"/>
              </w:rPr>
            </w:pPr>
            <w:r>
              <w:rPr>
                <w:rFonts w:ascii="Courier New" w:cs="Courier New" w:eastAsia="Courier New" w:hAnsi="Courier New"/>
                <w:sz w:val="12"/>
                <w:szCs w:val="12"/>
                <w:b w:val="1"/>
                <w:bCs w:val="1"/>
                <w:color w:val="auto"/>
              </w:rPr>
              <w:t>Part II.</w:t>
            </w:r>
          </w:p>
        </w:tc>
        <w:tc>
          <w:tcPr>
            <w:tcW w:w="3520" w:type="dxa"/>
            <w:vAlign w:val="bottom"/>
          </w:tcPr>
          <w:p>
            <w:pPr>
              <w:spacing w:after="0"/>
              <w:rPr>
                <w:sz w:val="20"/>
                <w:szCs w:val="20"/>
                <w:color w:val="auto"/>
              </w:rPr>
            </w:pPr>
            <w:r>
              <w:rPr>
                <w:rFonts w:ascii="Courier New" w:cs="Courier New" w:eastAsia="Courier New" w:hAnsi="Courier New"/>
                <w:sz w:val="12"/>
                <w:szCs w:val="12"/>
                <w:b w:val="1"/>
                <w:bCs w:val="1"/>
                <w:color w:val="auto"/>
              </w:rPr>
              <w:t>Other Information</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27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1.</w:t>
            </w:r>
          </w:p>
        </w:tc>
        <w:tc>
          <w:tcPr>
            <w:tcW w:w="3520" w:type="dxa"/>
            <w:vAlign w:val="bottom"/>
          </w:tcPr>
          <w:p>
            <w:pPr>
              <w:spacing w:after="0"/>
              <w:rPr>
                <w:sz w:val="20"/>
                <w:szCs w:val="20"/>
                <w:color w:val="auto"/>
              </w:rPr>
            </w:pPr>
            <w:r>
              <w:rPr>
                <w:rFonts w:ascii="Courier New" w:cs="Courier New" w:eastAsia="Courier New" w:hAnsi="Courier New"/>
                <w:sz w:val="12"/>
                <w:szCs w:val="12"/>
                <w:color w:val="auto"/>
              </w:rPr>
              <w:t>Legal Proceedings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24</w:t>
            </w:r>
          </w:p>
        </w:tc>
        <w:tc>
          <w:tcPr>
            <w:tcW w:w="3960" w:type="dxa"/>
            <w:vAlign w:val="bottom"/>
          </w:tcPr>
          <w:p>
            <w:pPr>
              <w:spacing w:after="0"/>
              <w:rPr>
                <w:sz w:val="23"/>
                <w:szCs w:val="23"/>
                <w:color w:val="auto"/>
              </w:rPr>
            </w:pPr>
          </w:p>
        </w:tc>
      </w:tr>
      <w:tr>
        <w:trPr>
          <w:trHeight w:val="27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2.</w:t>
            </w:r>
          </w:p>
        </w:tc>
        <w:tc>
          <w:tcPr>
            <w:tcW w:w="3520" w:type="dxa"/>
            <w:vAlign w:val="bottom"/>
          </w:tcPr>
          <w:p>
            <w:pPr>
              <w:spacing w:after="0"/>
              <w:rPr>
                <w:sz w:val="20"/>
                <w:szCs w:val="20"/>
                <w:color w:val="auto"/>
              </w:rPr>
            </w:pPr>
            <w:r>
              <w:rPr>
                <w:rFonts w:ascii="Courier New" w:cs="Courier New" w:eastAsia="Courier New" w:hAnsi="Courier New"/>
                <w:sz w:val="12"/>
                <w:szCs w:val="12"/>
                <w:color w:val="auto"/>
              </w:rPr>
              <w:t>Exhibits and Reports on Form 8-K</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24</w:t>
            </w:r>
          </w:p>
        </w:tc>
        <w:tc>
          <w:tcPr>
            <w:tcW w:w="396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Courier New" w:cs="Courier New" w:eastAsia="Courier New" w:hAnsi="Courier New"/>
                <w:sz w:val="12"/>
                <w:szCs w:val="12"/>
                <w:color w:val="auto"/>
              </w:rPr>
              <w:t>Signatures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25</w:t>
            </w:r>
          </w:p>
        </w:tc>
        <w:tc>
          <w:tcPr>
            <w:tcW w:w="3960" w:type="dxa"/>
            <w:vAlign w:val="bottom"/>
          </w:tcPr>
          <w:p>
            <w:pPr>
              <w:spacing w:after="0"/>
              <w:rPr>
                <w:sz w:val="23"/>
                <w:szCs w:val="23"/>
                <w:color w:val="auto"/>
              </w:rPr>
            </w:pPr>
          </w:p>
        </w:tc>
      </w:tr>
      <w:tr>
        <w:trPr>
          <w:trHeight w:val="540"/>
        </w:trPr>
        <w:tc>
          <w:tcPr>
            <w:tcW w:w="620" w:type="dxa"/>
            <w:vAlign w:val="bottom"/>
          </w:tcPr>
          <w:p>
            <w:pPr>
              <w:spacing w:after="0"/>
              <w:rPr>
                <w:sz w:val="24"/>
                <w:szCs w:val="24"/>
                <w:color w:val="auto"/>
              </w:rPr>
            </w:pPr>
          </w:p>
        </w:tc>
        <w:tc>
          <w:tcPr>
            <w:tcW w:w="3520" w:type="dxa"/>
            <w:vAlign w:val="bottom"/>
          </w:tcPr>
          <w:p>
            <w:pPr>
              <w:ind w:left="2120"/>
              <w:spacing w:after="0"/>
              <w:rPr>
                <w:sz w:val="20"/>
                <w:szCs w:val="20"/>
                <w:color w:val="auto"/>
              </w:rPr>
            </w:pPr>
            <w:r>
              <w:rPr>
                <w:rFonts w:ascii="Courier New" w:cs="Courier New" w:eastAsia="Courier New" w:hAnsi="Courier New"/>
                <w:sz w:val="12"/>
                <w:szCs w:val="12"/>
                <w:color w:val="auto"/>
              </w:rPr>
              <w:t>1</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54"/>
        </w:trPr>
        <w:tc>
          <w:tcPr>
            <w:tcW w:w="620" w:type="dxa"/>
            <w:vAlign w:val="bottom"/>
            <w:tcBorders>
              <w:bottom w:val="single" w:sz="8" w:color="9A9A9A"/>
            </w:tcBorders>
          </w:tcPr>
          <w:p>
            <w:pPr>
              <w:spacing w:after="0"/>
              <w:rPr>
                <w:sz w:val="22"/>
                <w:szCs w:val="22"/>
                <w:color w:val="auto"/>
              </w:rPr>
            </w:pPr>
          </w:p>
        </w:tc>
        <w:tc>
          <w:tcPr>
            <w:tcW w:w="352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144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3960" w:type="dxa"/>
            <w:vAlign w:val="bottom"/>
            <w:tcBorders>
              <w:bottom w:val="single" w:sz="8" w:color="9A9A9A"/>
            </w:tcBorders>
          </w:tcPr>
          <w:p>
            <w:pPr>
              <w:spacing w:after="0"/>
              <w:rPr>
                <w:sz w:val="22"/>
                <w:szCs w:val="22"/>
                <w:color w:val="auto"/>
              </w:rPr>
            </w:pPr>
          </w:p>
        </w:tc>
      </w:tr>
      <w:tr>
        <w:trPr>
          <w:trHeight w:val="383"/>
        </w:trPr>
        <w:tc>
          <w:tcPr>
            <w:tcW w:w="620" w:type="dxa"/>
            <w:vAlign w:val="bottom"/>
          </w:tcPr>
          <w:p>
            <w:pPr>
              <w:spacing w:after="0"/>
              <w:rPr>
                <w:sz w:val="24"/>
                <w:szCs w:val="24"/>
                <w:color w:val="auto"/>
              </w:rPr>
            </w:pPr>
          </w:p>
        </w:tc>
        <w:tc>
          <w:tcPr>
            <w:tcW w:w="3520" w:type="dxa"/>
            <w:vAlign w:val="bottom"/>
          </w:tcPr>
          <w:p>
            <w:pPr>
              <w:jc w:val="center"/>
              <w:ind w:left="861"/>
              <w:spacing w:after="0"/>
              <w:rPr>
                <w:sz w:val="20"/>
                <w:szCs w:val="20"/>
                <w:color w:val="auto"/>
              </w:rPr>
            </w:pPr>
            <w:r>
              <w:rPr>
                <w:rFonts w:ascii="Courier New" w:cs="Courier New" w:eastAsia="Courier New" w:hAnsi="Courier New"/>
                <w:sz w:val="12"/>
                <w:szCs w:val="12"/>
                <w:b w:val="1"/>
                <w:bCs w:val="1"/>
                <w:color w:val="auto"/>
                <w:w w:val="97"/>
              </w:rPr>
              <w:t>PART I. FINANCIAL INFORMATION</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70"/>
        </w:trPr>
        <w:tc>
          <w:tcPr>
            <w:tcW w:w="620" w:type="dxa"/>
            <w:vAlign w:val="bottom"/>
          </w:tcPr>
          <w:p>
            <w:pPr>
              <w:spacing w:after="0"/>
              <w:rPr>
                <w:sz w:val="23"/>
                <w:szCs w:val="23"/>
                <w:color w:val="auto"/>
              </w:rPr>
            </w:pPr>
          </w:p>
        </w:tc>
        <w:tc>
          <w:tcPr>
            <w:tcW w:w="3520" w:type="dxa"/>
            <w:vAlign w:val="bottom"/>
          </w:tcPr>
          <w:p>
            <w:pPr>
              <w:ind w:left="1900"/>
              <w:spacing w:after="0"/>
              <w:rPr>
                <w:sz w:val="20"/>
                <w:szCs w:val="20"/>
                <w:color w:val="auto"/>
              </w:rPr>
            </w:pPr>
            <w:r>
              <w:rPr>
                <w:rFonts w:ascii="Courier New" w:cs="Courier New" w:eastAsia="Courier New" w:hAnsi="Courier New"/>
                <w:sz w:val="12"/>
                <w:szCs w:val="12"/>
                <w:b w:val="1"/>
                <w:bCs w:val="1"/>
                <w:color w:val="auto"/>
              </w:rPr>
              <w:t>NN, Inc.</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4500" w:type="dxa"/>
            <w:vAlign w:val="bottom"/>
            <w:gridSpan w:val="2"/>
          </w:tcPr>
          <w:p>
            <w:pPr>
              <w:jc w:val="right"/>
              <w:ind w:right="221"/>
              <w:spacing w:after="0"/>
              <w:rPr>
                <w:sz w:val="20"/>
                <w:szCs w:val="20"/>
                <w:color w:val="auto"/>
              </w:rPr>
            </w:pPr>
            <w:r>
              <w:rPr>
                <w:rFonts w:ascii="Courier New" w:cs="Courier New" w:eastAsia="Courier New" w:hAnsi="Courier New"/>
                <w:sz w:val="12"/>
                <w:szCs w:val="12"/>
                <w:b w:val="1"/>
                <w:bCs w:val="1"/>
                <w:color w:val="auto"/>
              </w:rPr>
              <w:t>Consolidated Statements of Income and Comprehensive Income</w:t>
            </w: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3520" w:type="dxa"/>
            <w:vAlign w:val="bottom"/>
          </w:tcPr>
          <w:p>
            <w:pPr>
              <w:jc w:val="center"/>
              <w:ind w:left="861"/>
              <w:spacing w:after="0"/>
              <w:rPr>
                <w:sz w:val="20"/>
                <w:szCs w:val="20"/>
                <w:color w:val="auto"/>
              </w:rPr>
            </w:pPr>
            <w:r>
              <w:rPr>
                <w:rFonts w:ascii="Courier New" w:cs="Courier New" w:eastAsia="Courier New" w:hAnsi="Courier New"/>
                <w:sz w:val="12"/>
                <w:szCs w:val="12"/>
                <w:b w:val="1"/>
                <w:bCs w:val="1"/>
                <w:color w:val="auto"/>
                <w:w w:val="95"/>
              </w:rPr>
              <w:t>(Unaudited)</w:t>
            </w: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270"/>
        </w:trPr>
        <w:tc>
          <w:tcPr>
            <w:tcW w:w="6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420" w:type="dxa"/>
            <w:vAlign w:val="bottom"/>
            <w:gridSpan w:val="2"/>
          </w:tcPr>
          <w:p>
            <w:pPr>
              <w:jc w:val="right"/>
              <w:ind w:right="961"/>
              <w:spacing w:after="0"/>
              <w:rPr>
                <w:sz w:val="20"/>
                <w:szCs w:val="20"/>
                <w:color w:val="auto"/>
              </w:rPr>
            </w:pPr>
            <w:r>
              <w:rPr>
                <w:rFonts w:ascii="Courier New" w:cs="Courier New" w:eastAsia="Courier New" w:hAnsi="Courier New"/>
                <w:sz w:val="12"/>
                <w:szCs w:val="12"/>
                <w:color w:val="auto"/>
              </w:rPr>
              <w:t>Three Months Ended</w:t>
            </w: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420" w:type="dxa"/>
            <w:vAlign w:val="bottom"/>
            <w:gridSpan w:val="2"/>
          </w:tcPr>
          <w:p>
            <w:pPr>
              <w:jc w:val="right"/>
              <w:ind w:right="1301"/>
              <w:spacing w:after="0"/>
              <w:rPr>
                <w:sz w:val="20"/>
                <w:szCs w:val="20"/>
                <w:color w:val="auto"/>
              </w:rPr>
            </w:pPr>
            <w:r>
              <w:rPr>
                <w:rFonts w:ascii="Courier New" w:cs="Courier New" w:eastAsia="Courier New" w:hAnsi="Courier New"/>
                <w:sz w:val="12"/>
                <w:szCs w:val="12"/>
                <w:color w:val="auto"/>
              </w:rPr>
              <w:t>March 31,</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135"/>
        </w:trPr>
        <w:tc>
          <w:tcPr>
            <w:tcW w:w="4140" w:type="dxa"/>
            <w:vAlign w:val="bottom"/>
            <w:gridSpan w:val="2"/>
          </w:tcPr>
          <w:p>
            <w:pPr>
              <w:spacing w:after="0"/>
              <w:rPr>
                <w:sz w:val="20"/>
                <w:szCs w:val="20"/>
                <w:color w:val="auto"/>
              </w:rPr>
            </w:pPr>
            <w:r>
              <w:rPr>
                <w:rFonts w:ascii="Courier New" w:cs="Courier New" w:eastAsia="Courier New" w:hAnsi="Courier New"/>
                <w:sz w:val="12"/>
                <w:szCs w:val="12"/>
                <w:color w:val="auto"/>
              </w:rPr>
              <w:t>Thousands of Dollars, Except Per Share Data</w:t>
            </w:r>
          </w:p>
        </w:tc>
        <w:tc>
          <w:tcPr>
            <w:tcW w:w="980" w:type="dxa"/>
            <w:vAlign w:val="bottom"/>
          </w:tcPr>
          <w:p>
            <w:pPr>
              <w:jc w:val="right"/>
              <w:ind w:right="641"/>
              <w:spacing w:after="0"/>
              <w:rPr>
                <w:sz w:val="20"/>
                <w:szCs w:val="20"/>
                <w:color w:val="auto"/>
              </w:rPr>
            </w:pPr>
            <w:r>
              <w:rPr>
                <w:rFonts w:ascii="Courier New" w:cs="Courier New" w:eastAsia="Courier New" w:hAnsi="Courier New"/>
                <w:sz w:val="12"/>
                <w:szCs w:val="12"/>
                <w:color w:val="auto"/>
                <w:w w:val="90"/>
              </w:rPr>
              <w:t>2003</w:t>
            </w:r>
          </w:p>
        </w:tc>
        <w:tc>
          <w:tcPr>
            <w:tcW w:w="144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2002</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135"/>
        </w:trPr>
        <w:tc>
          <w:tcPr>
            <w:tcW w:w="6560" w:type="dxa"/>
            <w:vAlign w:val="bottom"/>
            <w:gridSpan w:val="4"/>
          </w:tcPr>
          <w:p>
            <w:pPr>
              <w:spacing w:after="0"/>
              <w:rPr>
                <w:sz w:val="20"/>
                <w:szCs w:val="20"/>
                <w:color w:val="auto"/>
              </w:rPr>
            </w:pPr>
            <w:r>
              <w:rPr>
                <w:rFonts w:ascii="Courier New" w:cs="Courier New" w:eastAsia="Courier New" w:hAnsi="Courier New"/>
                <w:sz w:val="12"/>
                <w:szCs w:val="12"/>
                <w:color w:val="auto"/>
              </w:rPr>
              <w:t>- -------------------------------------------------- --- -------------- -- -------------</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135"/>
        </w:trPr>
        <w:tc>
          <w:tcPr>
            <w:tcW w:w="620" w:type="dxa"/>
            <w:vAlign w:val="bottom"/>
          </w:tcPr>
          <w:p>
            <w:pPr>
              <w:spacing w:after="0"/>
              <w:rPr>
                <w:sz w:val="20"/>
                <w:szCs w:val="20"/>
                <w:color w:val="auto"/>
              </w:rPr>
            </w:pPr>
            <w:r>
              <w:rPr>
                <w:rFonts w:ascii="Courier New" w:cs="Courier New" w:eastAsia="Courier New" w:hAnsi="Courier New"/>
                <w:sz w:val="12"/>
                <w:szCs w:val="12"/>
                <w:color w:val="auto"/>
                <w:w w:val="92"/>
              </w:rPr>
              <w:t>Net sales</w:t>
            </w:r>
          </w:p>
        </w:tc>
        <w:tc>
          <w:tcPr>
            <w:tcW w:w="3520" w:type="dxa"/>
            <w:vAlign w:val="bottom"/>
          </w:tcPr>
          <w:p>
            <w:pPr>
              <w:spacing w:after="0"/>
              <w:rPr>
                <w:sz w:val="11"/>
                <w:szCs w:val="11"/>
                <w:color w:val="auto"/>
              </w:rPr>
            </w:pP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$57,609</w:t>
            </w:r>
          </w:p>
        </w:tc>
        <w:tc>
          <w:tcPr>
            <w:tcW w:w="14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$47,200</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135"/>
        </w:trPr>
        <w:tc>
          <w:tcPr>
            <w:tcW w:w="4140" w:type="dxa"/>
            <w:vAlign w:val="bottom"/>
            <w:gridSpan w:val="2"/>
          </w:tcPr>
          <w:p>
            <w:pPr>
              <w:spacing w:after="0"/>
              <w:rPr>
                <w:sz w:val="20"/>
                <w:szCs w:val="20"/>
                <w:color w:val="auto"/>
              </w:rPr>
            </w:pPr>
            <w:r>
              <w:rPr>
                <w:rFonts w:ascii="Courier New" w:cs="Courier New" w:eastAsia="Courier New" w:hAnsi="Courier New"/>
                <w:sz w:val="12"/>
                <w:szCs w:val="12"/>
                <w:color w:val="auto"/>
              </w:rPr>
              <w:t>Cost of goods sold</w:t>
            </w: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42,743</w:t>
            </w:r>
          </w:p>
        </w:tc>
        <w:tc>
          <w:tcPr>
            <w:tcW w:w="14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35,532</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45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440" w:type="dxa"/>
            <w:vAlign w:val="bottom"/>
          </w:tcPr>
          <w:p>
            <w:pPr>
              <w:jc w:val="right"/>
              <w:ind w:right="461"/>
              <w:spacing w:after="0"/>
              <w:rPr>
                <w:sz w:val="20"/>
                <w:szCs w:val="20"/>
                <w:color w:val="auto"/>
              </w:rPr>
            </w:pPr>
            <w:r>
              <w:rPr>
                <w:rFonts w:ascii="Courier New" w:cs="Courier New" w:eastAsia="Courier New" w:hAnsi="Courier New"/>
                <w:sz w:val="12"/>
                <w:szCs w:val="12"/>
                <w:color w:val="auto"/>
                <w:w w:val="96"/>
              </w:rPr>
              <w:t>-------------</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135"/>
        </w:trPr>
        <w:tc>
          <w:tcPr>
            <w:tcW w:w="41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Gross profit</w:t>
            </w:r>
          </w:p>
        </w:tc>
        <w:tc>
          <w:tcPr>
            <w:tcW w:w="9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14,866</w:t>
            </w:r>
          </w:p>
        </w:tc>
        <w:tc>
          <w:tcPr>
            <w:tcW w:w="14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11,668</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6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7273925</wp:posOffset>
            </wp:positionH>
            <wp:positionV relativeFrom="paragraph">
              <wp:posOffset>-1383665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-1383665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8"/>
          </w:cols>
          <w:pgMar w:left="212" w:top="348" w:right="199" w:bottom="0" w:gutter="0" w:footer="0" w:header="0"/>
          <w:type w:val="continuous"/>
        </w:sectPr>
      </w:pPr>
    </w:p>
    <w:bookmarkStart w:id="1" w:name="page2"/>
    <w:bookmarkEnd w:id="1"/>
    <w:tbl>
      <w:tblPr>
        <w:tblLayout w:type="fixed"/>
        <w:tblInd w:w="8" w:type="dxa"/>
        <w:tblCellMar>
          <w:top w:w="0" w:type="dxa"/>
          <w:left w:w="0" w:type="dxa"/>
          <w:bottom w:w="0" w:type="dxa"/>
          <w:right w:w="0" w:type="dxa"/>
        </w:tblCellMar>
      </w:tblPr>
      <w:tr>
        <w:trPr>
          <w:trHeight w:val="136"/>
        </w:trPr>
        <w:tc>
          <w:tcPr>
            <w:tcW w:w="3760" w:type="dxa"/>
            <w:vAlign w:val="bottom"/>
          </w:tcPr>
          <w:p>
            <w:pPr>
              <w:spacing w:after="0"/>
              <w:rPr>
                <w:sz w:val="20"/>
                <w:szCs w:val="20"/>
                <w:color w:val="auto"/>
              </w:rPr>
            </w:pPr>
            <w:r>
              <w:rPr>
                <w:rFonts w:ascii="Courier New" w:cs="Courier New" w:eastAsia="Courier New" w:hAnsi="Courier New"/>
                <w:sz w:val="12"/>
                <w:szCs w:val="12"/>
                <w:color w:val="auto"/>
              </w:rPr>
              <w:t>Selling, general and administrative</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4,632</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4,459</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3,079</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2,796</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Restructuring costs</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78</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Income from operations</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7,155</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4,335</w:t>
            </w:r>
          </w:p>
        </w:tc>
        <w:tc>
          <w:tcPr>
            <w:tcW w:w="5120" w:type="dxa"/>
            <w:vAlign w:val="bottom"/>
          </w:tcPr>
          <w:p>
            <w:pPr>
              <w:spacing w:after="0"/>
              <w:rPr>
                <w:sz w:val="11"/>
                <w:szCs w:val="11"/>
                <w:color w:val="auto"/>
              </w:rPr>
            </w:pPr>
          </w:p>
        </w:tc>
      </w:tr>
      <w:tr>
        <w:trPr>
          <w:trHeight w:val="270"/>
        </w:trPr>
        <w:tc>
          <w:tcPr>
            <w:tcW w:w="3760" w:type="dxa"/>
            <w:vAlign w:val="bottom"/>
          </w:tcPr>
          <w:p>
            <w:pPr>
              <w:spacing w:after="0"/>
              <w:rPr>
                <w:sz w:val="20"/>
                <w:szCs w:val="20"/>
                <w:color w:val="auto"/>
              </w:rPr>
            </w:pPr>
            <w:r>
              <w:rPr>
                <w:rFonts w:ascii="Courier New" w:cs="Courier New" w:eastAsia="Courier New" w:hAnsi="Courier New"/>
                <w:sz w:val="12"/>
                <w:szCs w:val="12"/>
                <w:color w:val="auto"/>
              </w:rPr>
              <w:t>Interest expense, net</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513</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669</w:t>
            </w:r>
          </w:p>
        </w:tc>
        <w:tc>
          <w:tcPr>
            <w:tcW w:w="5120" w:type="dxa"/>
            <w:vAlign w:val="bottom"/>
          </w:tcPr>
          <w:p>
            <w:pPr>
              <w:spacing w:after="0"/>
              <w:rPr>
                <w:sz w:val="23"/>
                <w:szCs w:val="23"/>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Other income</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(355)</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Income before provision for income taxes</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6,649</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4,021</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Provision for income taxes</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2,472</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1,505</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Minority interest of consolidated subsidiaries</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534</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668</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135"/>
        </w:trPr>
        <w:tc>
          <w:tcPr>
            <w:tcW w:w="376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3,643</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1,848</w:t>
            </w:r>
          </w:p>
        </w:tc>
        <w:tc>
          <w:tcPr>
            <w:tcW w:w="5120" w:type="dxa"/>
            <w:vAlign w:val="bottom"/>
          </w:tcPr>
          <w:p>
            <w:pPr>
              <w:spacing w:after="0"/>
              <w:rPr>
                <w:sz w:val="11"/>
                <w:szCs w:val="11"/>
                <w:color w:val="auto"/>
              </w:rPr>
            </w:pPr>
          </w:p>
        </w:tc>
      </w:tr>
      <w:tr>
        <w:trPr>
          <w:trHeight w:val="270"/>
        </w:trPr>
        <w:tc>
          <w:tcPr>
            <w:tcW w:w="3760" w:type="dxa"/>
            <w:vAlign w:val="bottom"/>
          </w:tcPr>
          <w:p>
            <w:pPr>
              <w:spacing w:after="0"/>
              <w:rPr>
                <w:sz w:val="20"/>
                <w:szCs w:val="20"/>
                <w:color w:val="auto"/>
              </w:rPr>
            </w:pPr>
            <w:r>
              <w:rPr>
                <w:rFonts w:ascii="Courier New" w:cs="Courier New" w:eastAsia="Courier New" w:hAnsi="Courier New"/>
                <w:sz w:val="12"/>
                <w:szCs w:val="12"/>
                <w:color w:val="auto"/>
              </w:rPr>
              <w:t>Other comprehensive income (loss):</w:t>
            </w:r>
          </w:p>
        </w:tc>
        <w:tc>
          <w:tcPr>
            <w:tcW w:w="1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120" w:type="dxa"/>
            <w:vAlign w:val="bottom"/>
          </w:tcPr>
          <w:p>
            <w:pPr>
              <w:spacing w:after="0"/>
              <w:rPr>
                <w:sz w:val="23"/>
                <w:szCs w:val="23"/>
                <w:color w:val="auto"/>
              </w:rPr>
            </w:pPr>
          </w:p>
        </w:tc>
      </w:tr>
      <w:tr>
        <w:trPr>
          <w:trHeight w:val="135"/>
        </w:trPr>
        <w:tc>
          <w:tcPr>
            <w:tcW w:w="3760" w:type="dxa"/>
            <w:vAlign w:val="bottom"/>
          </w:tcPr>
          <w:p>
            <w:pPr>
              <w:ind w:left="340"/>
              <w:spacing w:after="0"/>
              <w:rPr>
                <w:sz w:val="20"/>
                <w:szCs w:val="20"/>
                <w:color w:val="auto"/>
              </w:rPr>
            </w:pPr>
            <w:r>
              <w:rPr>
                <w:rFonts w:ascii="Courier New" w:cs="Courier New" w:eastAsia="Courier New" w:hAnsi="Courier New"/>
                <w:sz w:val="12"/>
                <w:szCs w:val="12"/>
                <w:color w:val="auto"/>
              </w:rPr>
              <w:t>Foreign currency translation</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1,388</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(80)</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135"/>
        </w:trPr>
        <w:tc>
          <w:tcPr>
            <w:tcW w:w="3760" w:type="dxa"/>
            <w:vAlign w:val="bottom"/>
          </w:tcPr>
          <w:p>
            <w:pPr>
              <w:ind w:left="340"/>
              <w:spacing w:after="0"/>
              <w:rPr>
                <w:sz w:val="20"/>
                <w:szCs w:val="20"/>
                <w:color w:val="auto"/>
              </w:rPr>
            </w:pPr>
            <w:r>
              <w:rPr>
                <w:rFonts w:ascii="Courier New" w:cs="Courier New" w:eastAsia="Courier New" w:hAnsi="Courier New"/>
                <w:sz w:val="12"/>
                <w:szCs w:val="12"/>
                <w:color w:val="auto"/>
              </w:rPr>
              <w:t>Comprehensive income</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$ 5,031</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$ 1,768</w:t>
            </w:r>
          </w:p>
        </w:tc>
        <w:tc>
          <w:tcPr>
            <w:tcW w:w="5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270"/>
        </w:trPr>
        <w:tc>
          <w:tcPr>
            <w:tcW w:w="3760" w:type="dxa"/>
            <w:vAlign w:val="bottom"/>
          </w:tcPr>
          <w:p>
            <w:pPr>
              <w:spacing w:after="0"/>
              <w:rPr>
                <w:sz w:val="20"/>
                <w:szCs w:val="20"/>
                <w:color w:val="auto"/>
              </w:rPr>
            </w:pPr>
            <w:r>
              <w:rPr>
                <w:rFonts w:ascii="Courier New" w:cs="Courier New" w:eastAsia="Courier New" w:hAnsi="Courier New"/>
                <w:sz w:val="12"/>
                <w:szCs w:val="12"/>
                <w:color w:val="auto"/>
              </w:rPr>
              <w:t>Basic income per common share:</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$ 0.24</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$ 0.12</w:t>
            </w:r>
          </w:p>
        </w:tc>
        <w:tc>
          <w:tcPr>
            <w:tcW w:w="5120" w:type="dxa"/>
            <w:vAlign w:val="bottom"/>
          </w:tcPr>
          <w:p>
            <w:pPr>
              <w:spacing w:after="0"/>
              <w:rPr>
                <w:sz w:val="23"/>
                <w:szCs w:val="23"/>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270"/>
        </w:trPr>
        <w:tc>
          <w:tcPr>
            <w:tcW w:w="3760" w:type="dxa"/>
            <w:vAlign w:val="bottom"/>
          </w:tcPr>
          <w:p>
            <w:pPr>
              <w:ind w:left="140"/>
              <w:spacing w:after="0"/>
              <w:rPr>
                <w:sz w:val="20"/>
                <w:szCs w:val="20"/>
                <w:color w:val="auto"/>
              </w:rPr>
            </w:pPr>
            <w:r>
              <w:rPr>
                <w:rFonts w:ascii="Courier New" w:cs="Courier New" w:eastAsia="Courier New" w:hAnsi="Courier New"/>
                <w:sz w:val="12"/>
                <w:szCs w:val="12"/>
                <w:color w:val="auto"/>
              </w:rPr>
              <w:t>Weighted average shares outstanding</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15,378</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15,341</w:t>
            </w:r>
          </w:p>
        </w:tc>
        <w:tc>
          <w:tcPr>
            <w:tcW w:w="5120" w:type="dxa"/>
            <w:vAlign w:val="bottom"/>
          </w:tcPr>
          <w:p>
            <w:pPr>
              <w:spacing w:after="0"/>
              <w:rPr>
                <w:sz w:val="23"/>
                <w:szCs w:val="23"/>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405"/>
        </w:trPr>
        <w:tc>
          <w:tcPr>
            <w:tcW w:w="3760" w:type="dxa"/>
            <w:vAlign w:val="bottom"/>
          </w:tcPr>
          <w:p>
            <w:pPr>
              <w:spacing w:after="0"/>
              <w:rPr>
                <w:sz w:val="20"/>
                <w:szCs w:val="20"/>
                <w:color w:val="auto"/>
              </w:rPr>
            </w:pPr>
            <w:r>
              <w:rPr>
                <w:rFonts w:ascii="Courier New" w:cs="Courier New" w:eastAsia="Courier New" w:hAnsi="Courier New"/>
                <w:sz w:val="12"/>
                <w:szCs w:val="12"/>
                <w:color w:val="auto"/>
              </w:rPr>
              <w:t>Diluted income per common share:</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$ 0.23</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$ 0.12</w:t>
            </w:r>
          </w:p>
        </w:tc>
        <w:tc>
          <w:tcPr>
            <w:tcW w:w="5120" w:type="dxa"/>
            <w:vAlign w:val="bottom"/>
          </w:tcPr>
          <w:p>
            <w:pPr>
              <w:spacing w:after="0"/>
              <w:rPr>
                <w:sz w:val="24"/>
                <w:szCs w:val="24"/>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270"/>
        </w:trPr>
        <w:tc>
          <w:tcPr>
            <w:tcW w:w="3760" w:type="dxa"/>
            <w:vAlign w:val="bottom"/>
          </w:tcPr>
          <w:p>
            <w:pPr>
              <w:ind w:left="140"/>
              <w:spacing w:after="0"/>
              <w:rPr>
                <w:sz w:val="20"/>
                <w:szCs w:val="20"/>
                <w:color w:val="auto"/>
              </w:rPr>
            </w:pPr>
            <w:r>
              <w:rPr>
                <w:rFonts w:ascii="Courier New" w:cs="Courier New" w:eastAsia="Courier New" w:hAnsi="Courier New"/>
                <w:sz w:val="12"/>
                <w:szCs w:val="12"/>
                <w:color w:val="auto"/>
              </w:rPr>
              <w:t>Weighted average shares outstanding</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15,574</w:t>
            </w:r>
          </w:p>
        </w:tc>
        <w:tc>
          <w:tcPr>
            <w:tcW w:w="14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15,735</w:t>
            </w:r>
          </w:p>
        </w:tc>
        <w:tc>
          <w:tcPr>
            <w:tcW w:w="5120" w:type="dxa"/>
            <w:vAlign w:val="bottom"/>
          </w:tcPr>
          <w:p>
            <w:pPr>
              <w:spacing w:after="0"/>
              <w:rPr>
                <w:sz w:val="23"/>
                <w:szCs w:val="23"/>
                <w:color w:val="auto"/>
              </w:rPr>
            </w:pPr>
          </w:p>
        </w:tc>
      </w:tr>
      <w:tr>
        <w:trPr>
          <w:trHeight w:val="135"/>
        </w:trPr>
        <w:tc>
          <w:tcPr>
            <w:tcW w:w="3760" w:type="dxa"/>
            <w:vAlign w:val="bottom"/>
          </w:tcPr>
          <w:p>
            <w:pPr>
              <w:spacing w:after="0"/>
              <w:rPr>
                <w:sz w:val="11"/>
                <w:szCs w:val="11"/>
                <w:color w:val="auto"/>
              </w:rPr>
            </w:pPr>
          </w:p>
        </w:tc>
        <w:tc>
          <w:tcPr>
            <w:tcW w:w="11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5120" w:type="dxa"/>
            <w:vAlign w:val="bottom"/>
          </w:tcPr>
          <w:p>
            <w:pPr>
              <w:spacing w:after="0"/>
              <w:rPr>
                <w:sz w:val="11"/>
                <w:szCs w:val="11"/>
                <w:color w:val="auto"/>
              </w:rPr>
            </w:pPr>
          </w:p>
        </w:tc>
      </w:tr>
      <w:tr>
        <w:trPr>
          <w:trHeight w:val="405"/>
        </w:trPr>
        <w:tc>
          <w:tcPr>
            <w:tcW w:w="3760" w:type="dxa"/>
            <w:vAlign w:val="bottom"/>
          </w:tcPr>
          <w:p>
            <w:pPr>
              <w:ind w:left="2020"/>
              <w:spacing w:after="0"/>
              <w:rPr>
                <w:sz w:val="20"/>
                <w:szCs w:val="20"/>
                <w:color w:val="auto"/>
              </w:rPr>
            </w:pPr>
            <w:r>
              <w:rPr>
                <w:rFonts w:ascii="Courier New" w:cs="Courier New" w:eastAsia="Courier New" w:hAnsi="Courier New"/>
                <w:sz w:val="12"/>
                <w:szCs w:val="12"/>
                <w:b w:val="1"/>
                <w:bCs w:val="1"/>
                <w:color w:val="auto"/>
              </w:rPr>
              <w:t>See accompanying notes.</w:t>
            </w: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3760" w:type="dxa"/>
            <w:vAlign w:val="bottom"/>
          </w:tcPr>
          <w:p>
            <w:pPr>
              <w:ind w:left="2740"/>
              <w:spacing w:after="0"/>
              <w:rPr>
                <w:sz w:val="20"/>
                <w:szCs w:val="20"/>
                <w:color w:val="auto"/>
              </w:rPr>
            </w:pPr>
            <w:r>
              <w:rPr>
                <w:rFonts w:ascii="Courier New" w:cs="Courier New" w:eastAsia="Courier New" w:hAnsi="Courier New"/>
                <w:sz w:val="12"/>
                <w:szCs w:val="12"/>
                <w:color w:val="auto"/>
              </w:rPr>
              <w:t>2</w:t>
            </w:r>
          </w:p>
        </w:tc>
        <w:tc>
          <w:tcPr>
            <w:tcW w:w="1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120" w:type="dxa"/>
            <w:vAlign w:val="bottom"/>
          </w:tcPr>
          <w:p>
            <w:pPr>
              <w:spacing w:after="0"/>
              <w:rPr>
                <w:sz w:val="23"/>
                <w:szCs w:val="23"/>
                <w:color w:val="auto"/>
              </w:rPr>
            </w:pPr>
          </w:p>
        </w:tc>
      </w:tr>
      <w:tr>
        <w:trPr>
          <w:trHeight w:val="254"/>
        </w:trPr>
        <w:tc>
          <w:tcPr>
            <w:tcW w:w="376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1420" w:type="dxa"/>
            <w:vAlign w:val="bottom"/>
            <w:tcBorders>
              <w:bottom w:val="single" w:sz="8" w:color="9A9A9A"/>
            </w:tcBorders>
          </w:tcPr>
          <w:p>
            <w:pPr>
              <w:spacing w:after="0"/>
              <w:rPr>
                <w:sz w:val="22"/>
                <w:szCs w:val="22"/>
                <w:color w:val="auto"/>
              </w:rPr>
            </w:pPr>
          </w:p>
        </w:tc>
        <w:tc>
          <w:tcPr>
            <w:tcW w:w="5120" w:type="dxa"/>
            <w:vAlign w:val="bottom"/>
            <w:tcBorders>
              <w:bottom w:val="single" w:sz="8" w:color="9A9A9A"/>
            </w:tcBorders>
          </w:tcPr>
          <w:p>
            <w:pPr>
              <w:spacing w:after="0"/>
              <w:rPr>
                <w:sz w:val="22"/>
                <w:szCs w:val="22"/>
                <w:color w:val="auto"/>
              </w:rPr>
            </w:pPr>
          </w:p>
        </w:tc>
      </w:tr>
      <w:tr>
        <w:trPr>
          <w:trHeight w:val="518"/>
        </w:trPr>
        <w:tc>
          <w:tcPr>
            <w:tcW w:w="3760" w:type="dxa"/>
            <w:vAlign w:val="bottom"/>
          </w:tcPr>
          <w:p>
            <w:pPr>
              <w:ind w:left="2520"/>
              <w:spacing w:after="0"/>
              <w:rPr>
                <w:sz w:val="20"/>
                <w:szCs w:val="20"/>
                <w:color w:val="auto"/>
              </w:rPr>
            </w:pPr>
            <w:r>
              <w:rPr>
                <w:rFonts w:ascii="Courier New" w:cs="Courier New" w:eastAsia="Courier New" w:hAnsi="Courier New"/>
                <w:sz w:val="12"/>
                <w:szCs w:val="12"/>
                <w:b w:val="1"/>
                <w:bCs w:val="1"/>
                <w:color w:val="auto"/>
              </w:rPr>
              <w:t>NN, Inc.</w:t>
            </w: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35"/>
        </w:trPr>
        <w:tc>
          <w:tcPr>
            <w:tcW w:w="4940" w:type="dxa"/>
            <w:vAlign w:val="bottom"/>
            <w:gridSpan w:val="2"/>
          </w:tcPr>
          <w:p>
            <w:pPr>
              <w:jc w:val="right"/>
              <w:ind w:right="741"/>
              <w:spacing w:after="0"/>
              <w:rPr>
                <w:sz w:val="20"/>
                <w:szCs w:val="20"/>
                <w:color w:val="auto"/>
              </w:rPr>
            </w:pPr>
            <w:r>
              <w:rPr>
                <w:rFonts w:ascii="Courier New" w:cs="Courier New" w:eastAsia="Courier New" w:hAnsi="Courier New"/>
                <w:sz w:val="12"/>
                <w:szCs w:val="12"/>
                <w:b w:val="1"/>
                <w:bCs w:val="1"/>
                <w:color w:val="auto"/>
              </w:rPr>
              <w:t>Condensed Consolidated Balance Sheets</w:t>
            </w:r>
          </w:p>
        </w:tc>
        <w:tc>
          <w:tcPr>
            <w:tcW w:w="1420" w:type="dxa"/>
            <w:vAlign w:val="bottom"/>
          </w:tcPr>
          <w:p>
            <w:pPr>
              <w:spacing w:after="0"/>
              <w:rPr>
                <w:sz w:val="11"/>
                <w:szCs w:val="11"/>
                <w:color w:val="auto"/>
              </w:rPr>
            </w:pPr>
          </w:p>
        </w:tc>
        <w:tc>
          <w:tcPr>
            <w:tcW w:w="5120" w:type="dxa"/>
            <w:vAlign w:val="bottom"/>
          </w:tcPr>
          <w:p>
            <w:pPr>
              <w:spacing w:after="0"/>
              <w:rPr>
                <w:sz w:val="11"/>
                <w:szCs w:val="11"/>
                <w:color w:val="auto"/>
              </w:rPr>
            </w:pPr>
          </w:p>
        </w:tc>
      </w:tr>
      <w:tr>
        <w:trPr>
          <w:trHeight w:val="270"/>
        </w:trPr>
        <w:tc>
          <w:tcPr>
            <w:tcW w:w="3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March 31,</w:t>
            </w:r>
          </w:p>
        </w:tc>
        <w:tc>
          <w:tcPr>
            <w:tcW w:w="5120" w:type="dxa"/>
            <w:vAlign w:val="bottom"/>
          </w:tcPr>
          <w:p>
            <w:pPr>
              <w:jc w:val="center"/>
              <w:ind w:right="3621"/>
              <w:spacing w:after="0"/>
              <w:rPr>
                <w:sz w:val="20"/>
                <w:szCs w:val="20"/>
                <w:color w:val="auto"/>
              </w:rPr>
            </w:pPr>
            <w:r>
              <w:rPr>
                <w:rFonts w:ascii="Courier New" w:cs="Courier New" w:eastAsia="Courier New" w:hAnsi="Courier New"/>
                <w:sz w:val="12"/>
                <w:szCs w:val="12"/>
                <w:b w:val="1"/>
                <w:bCs w:val="1"/>
                <w:color w:val="auto"/>
                <w:w w:val="97"/>
              </w:rPr>
              <w:t>December 31,</w:t>
            </w:r>
          </w:p>
        </w:tc>
      </w:tr>
      <w:tr>
        <w:trPr>
          <w:trHeight w:val="135"/>
        </w:trPr>
        <w:tc>
          <w:tcPr>
            <w:tcW w:w="3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20" w:type="dxa"/>
            <w:vAlign w:val="bottom"/>
          </w:tcPr>
          <w:p>
            <w:pPr>
              <w:jc w:val="right"/>
              <w:ind w:right="761"/>
              <w:spacing w:after="0"/>
              <w:rPr>
                <w:sz w:val="20"/>
                <w:szCs w:val="20"/>
                <w:color w:val="auto"/>
              </w:rPr>
            </w:pPr>
            <w:r>
              <w:rPr>
                <w:rFonts w:ascii="Courier New" w:cs="Courier New" w:eastAsia="Courier New" w:hAnsi="Courier New"/>
                <w:sz w:val="12"/>
                <w:szCs w:val="12"/>
                <w:b w:val="1"/>
                <w:bCs w:val="1"/>
                <w:color w:val="auto"/>
              </w:rPr>
              <w:t>2003</w:t>
            </w:r>
          </w:p>
        </w:tc>
        <w:tc>
          <w:tcPr>
            <w:tcW w:w="5120" w:type="dxa"/>
            <w:vAlign w:val="bottom"/>
          </w:tcPr>
          <w:p>
            <w:pPr>
              <w:jc w:val="right"/>
              <w:ind w:right="4201"/>
              <w:spacing w:after="0"/>
              <w:rPr>
                <w:sz w:val="20"/>
                <w:szCs w:val="20"/>
                <w:color w:val="auto"/>
              </w:rPr>
            </w:pPr>
            <w:r>
              <w:rPr>
                <w:rFonts w:ascii="Courier New" w:cs="Courier New" w:eastAsia="Courier New" w:hAnsi="Courier New"/>
                <w:sz w:val="12"/>
                <w:szCs w:val="12"/>
                <w:b w:val="1"/>
                <w:bCs w:val="1"/>
                <w:color w:val="auto"/>
              </w:rPr>
              <w:t>2002</w:t>
            </w: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w:t>
            </w:r>
          </w:p>
        </w:tc>
        <w:tc>
          <w:tcPr>
            <w:tcW w:w="1180" w:type="dxa"/>
            <w:vAlign w:val="bottom"/>
          </w:tcPr>
          <w:p>
            <w:pPr>
              <w:spacing w:after="0"/>
              <w:rPr>
                <w:sz w:val="11"/>
                <w:szCs w:val="11"/>
                <w:color w:val="auto"/>
              </w:rPr>
            </w:pPr>
          </w:p>
        </w:tc>
        <w:tc>
          <w:tcPr>
            <w:tcW w:w="1420" w:type="dxa"/>
            <w:vAlign w:val="bottom"/>
          </w:tcPr>
          <w:p>
            <w:pPr>
              <w:jc w:val="right"/>
              <w:ind w:right="481"/>
              <w:spacing w:after="0"/>
              <w:rPr>
                <w:sz w:val="20"/>
                <w:szCs w:val="20"/>
                <w:color w:val="auto"/>
              </w:rPr>
            </w:pPr>
            <w:r>
              <w:rPr>
                <w:rFonts w:ascii="Courier New" w:cs="Courier New" w:eastAsia="Courier New" w:hAnsi="Courier New"/>
                <w:sz w:val="12"/>
                <w:szCs w:val="12"/>
                <w:b w:val="1"/>
                <w:bCs w:val="1"/>
                <w:color w:val="auto"/>
              </w:rPr>
              <w:t>(Unaudited)</w:t>
            </w:r>
          </w:p>
        </w:tc>
        <w:tc>
          <w:tcPr>
            <w:tcW w:w="5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-782955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-782955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ind w:left="148" w:hanging="148"/>
        <w:spacing w:after="0"/>
        <w:tabs>
          <w:tab w:leader="none" w:pos="148" w:val="left"/>
        </w:tabs>
        <w:numPr>
          <w:ilvl w:val="0"/>
          <w:numId w:val="3"/>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w:t>
      </w:r>
    </w:p>
    <w:p>
      <w:pPr>
        <w:ind w:left="8"/>
        <w:spacing w:after="0"/>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Assets</w:t>
      </w:r>
    </w:p>
    <w:p>
      <w:pPr>
        <w:ind w:left="8"/>
        <w:spacing w:after="0"/>
        <w:rPr>
          <w:rFonts w:ascii="Courier New" w:cs="Courier New" w:eastAsia="Courier New" w:hAnsi="Courier New"/>
          <w:sz w:val="12"/>
          <w:szCs w:val="12"/>
          <w:b w:val="1"/>
          <w:bCs w:val="1"/>
          <w:color w:val="auto"/>
        </w:rPr>
      </w:pPr>
      <w:r>
        <w:rPr>
          <w:rFonts w:ascii="Courier New" w:cs="Courier New" w:eastAsia="Courier New" w:hAnsi="Courier New"/>
          <w:sz w:val="12"/>
          <w:szCs w:val="12"/>
          <w:color w:val="auto"/>
        </w:rPr>
        <w:t>Current assets:</w:t>
      </w:r>
    </w:p>
    <w:tbl>
      <w:tblPr>
        <w:tblLayout w:type="fixed"/>
        <w:tblInd w:w="8" w:type="dxa"/>
        <w:tblCellMar>
          <w:top w:w="0" w:type="dxa"/>
          <w:left w:w="0" w:type="dxa"/>
          <w:bottom w:w="0" w:type="dxa"/>
          <w:right w:w="0" w:type="dxa"/>
        </w:tblCellMar>
      </w:tblPr>
      <w:tr>
        <w:trPr>
          <w:trHeight w:val="134"/>
        </w:trPr>
        <w:tc>
          <w:tcPr>
            <w:tcW w:w="4180" w:type="dxa"/>
            <w:vAlign w:val="bottom"/>
          </w:tcPr>
          <w:p>
            <w:pPr>
              <w:ind w:left="140"/>
              <w:spacing w:after="0" w:line="135" w:lineRule="exact"/>
              <w:rPr>
                <w:sz w:val="20"/>
                <w:szCs w:val="20"/>
                <w:color w:val="auto"/>
              </w:rPr>
            </w:pPr>
            <w:r>
              <w:rPr>
                <w:rFonts w:ascii="Courier New" w:cs="Courier New" w:eastAsia="Courier New" w:hAnsi="Courier New"/>
                <w:sz w:val="12"/>
                <w:szCs w:val="12"/>
                <w:color w:val="auto"/>
              </w:rPr>
              <w:t>Cash and cash equivalents</w:t>
            </w:r>
          </w:p>
        </w:tc>
        <w:tc>
          <w:tcPr>
            <w:tcW w:w="2060" w:type="dxa"/>
            <w:vAlign w:val="bottom"/>
          </w:tcPr>
          <w:p>
            <w:pPr>
              <w:jc w:val="right"/>
              <w:ind w:right="281"/>
              <w:spacing w:after="0" w:line="135" w:lineRule="exact"/>
              <w:rPr>
                <w:sz w:val="20"/>
                <w:szCs w:val="20"/>
                <w:color w:val="auto"/>
              </w:rPr>
            </w:pPr>
            <w:r>
              <w:rPr>
                <w:rFonts w:ascii="Courier New" w:cs="Courier New" w:eastAsia="Courier New" w:hAnsi="Courier New"/>
                <w:sz w:val="12"/>
                <w:szCs w:val="12"/>
                <w:color w:val="auto"/>
              </w:rPr>
              <w:t>$ 3,228</w:t>
            </w:r>
          </w:p>
        </w:tc>
        <w:tc>
          <w:tcPr>
            <w:tcW w:w="1200" w:type="dxa"/>
            <w:vAlign w:val="bottom"/>
          </w:tcPr>
          <w:p>
            <w:pPr>
              <w:jc w:val="right"/>
              <w:ind w:right="21"/>
              <w:spacing w:after="0" w:line="135" w:lineRule="exact"/>
              <w:rPr>
                <w:sz w:val="20"/>
                <w:szCs w:val="20"/>
                <w:color w:val="auto"/>
              </w:rPr>
            </w:pPr>
            <w:r>
              <w:rPr>
                <w:rFonts w:ascii="Courier New" w:cs="Courier New" w:eastAsia="Courier New" w:hAnsi="Courier New"/>
                <w:sz w:val="12"/>
                <w:szCs w:val="12"/>
                <w:color w:val="auto"/>
              </w:rPr>
              <w:t>$ 5,144</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Accounts receivable, net</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39,091</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28,965</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Inventories, net</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25,594</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23,402</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Other current assets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5,375</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3,901</w:t>
            </w:r>
          </w:p>
        </w:tc>
      </w:tr>
      <w:tr>
        <w:trPr>
          <w:trHeight w:val="135"/>
        </w:trPr>
        <w:tc>
          <w:tcPr>
            <w:tcW w:w="4180" w:type="dxa"/>
            <w:vAlign w:val="bottom"/>
          </w:tcPr>
          <w:p>
            <w:pPr>
              <w:spacing w:after="0"/>
              <w:rPr>
                <w:sz w:val="11"/>
                <w:szCs w:val="11"/>
                <w:color w:val="auto"/>
              </w:rPr>
            </w:pPr>
          </w:p>
        </w:tc>
        <w:tc>
          <w:tcPr>
            <w:tcW w:w="2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80" w:type="dxa"/>
            <w:vAlign w:val="bottom"/>
          </w:tcPr>
          <w:p>
            <w:pPr>
              <w:ind w:left="340"/>
              <w:spacing w:after="0"/>
              <w:rPr>
                <w:sz w:val="20"/>
                <w:szCs w:val="20"/>
                <w:color w:val="auto"/>
              </w:rPr>
            </w:pPr>
            <w:r>
              <w:rPr>
                <w:rFonts w:ascii="Courier New" w:cs="Courier New" w:eastAsia="Courier New" w:hAnsi="Courier New"/>
                <w:sz w:val="12"/>
                <w:szCs w:val="12"/>
                <w:color w:val="auto"/>
              </w:rPr>
              <w:t>Total current assets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73,288</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61,412</w:t>
            </w:r>
          </w:p>
        </w:tc>
      </w:tr>
      <w:tr>
        <w:trPr>
          <w:trHeight w:val="270"/>
        </w:trPr>
        <w:tc>
          <w:tcPr>
            <w:tcW w:w="4180" w:type="dxa"/>
            <w:vAlign w:val="bottom"/>
          </w:tcPr>
          <w:p>
            <w:pPr>
              <w:spacing w:after="0"/>
              <w:rPr>
                <w:sz w:val="20"/>
                <w:szCs w:val="20"/>
                <w:color w:val="auto"/>
              </w:rPr>
            </w:pPr>
            <w:r>
              <w:rPr>
                <w:rFonts w:ascii="Courier New" w:cs="Courier New" w:eastAsia="Courier New" w:hAnsi="Courier New"/>
                <w:sz w:val="12"/>
                <w:szCs w:val="12"/>
                <w:color w:val="auto"/>
              </w:rPr>
              <w:t>Property, plant and equipment, net</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89,537</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88,199</w:t>
            </w:r>
          </w:p>
        </w:tc>
      </w:tr>
      <w:tr>
        <w:trPr>
          <w:trHeight w:val="135"/>
        </w:trPr>
        <w:tc>
          <w:tcPr>
            <w:tcW w:w="4180" w:type="dxa"/>
            <w:vAlign w:val="bottom"/>
          </w:tcPr>
          <w:p>
            <w:pPr>
              <w:spacing w:after="0"/>
              <w:rPr>
                <w:sz w:val="20"/>
                <w:szCs w:val="20"/>
                <w:color w:val="auto"/>
              </w:rPr>
            </w:pPr>
            <w:r>
              <w:rPr>
                <w:rFonts w:ascii="Courier New" w:cs="Courier New" w:eastAsia="Courier New" w:hAnsi="Courier New"/>
                <w:sz w:val="12"/>
                <w:szCs w:val="12"/>
                <w:color w:val="auto"/>
              </w:rPr>
              <w:t>Assets held for sale</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1,939</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2,214</w:t>
            </w:r>
          </w:p>
        </w:tc>
      </w:tr>
      <w:tr>
        <w:trPr>
          <w:trHeight w:val="135"/>
        </w:trPr>
        <w:tc>
          <w:tcPr>
            <w:tcW w:w="4180" w:type="dxa"/>
            <w:vAlign w:val="bottom"/>
          </w:tcPr>
          <w:p>
            <w:pPr>
              <w:spacing w:after="0"/>
              <w:rPr>
                <w:sz w:val="20"/>
                <w:szCs w:val="20"/>
                <w:color w:val="auto"/>
              </w:rPr>
            </w:pPr>
            <w:r>
              <w:rPr>
                <w:rFonts w:ascii="Courier New" w:cs="Courier New" w:eastAsia="Courier New" w:hAnsi="Courier New"/>
                <w:sz w:val="12"/>
                <w:szCs w:val="12"/>
                <w:color w:val="auto"/>
              </w:rPr>
              <w:t>Goodwill, net</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42,675</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42,166</w:t>
            </w:r>
          </w:p>
        </w:tc>
      </w:tr>
      <w:tr>
        <w:trPr>
          <w:trHeight w:val="135"/>
        </w:trPr>
        <w:tc>
          <w:tcPr>
            <w:tcW w:w="4180" w:type="dxa"/>
            <w:vAlign w:val="bottom"/>
          </w:tcPr>
          <w:p>
            <w:pPr>
              <w:spacing w:after="0"/>
              <w:rPr>
                <w:sz w:val="20"/>
                <w:szCs w:val="20"/>
                <w:color w:val="auto"/>
              </w:rPr>
            </w:pPr>
            <w:r>
              <w:rPr>
                <w:rFonts w:ascii="Courier New" w:cs="Courier New" w:eastAsia="Courier New" w:hAnsi="Courier New"/>
                <w:sz w:val="12"/>
                <w:szCs w:val="12"/>
                <w:color w:val="auto"/>
              </w:rPr>
              <w:t>Other assets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4,657</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4,016</w:t>
            </w:r>
          </w:p>
        </w:tc>
      </w:tr>
      <w:tr>
        <w:trPr>
          <w:trHeight w:val="135"/>
        </w:trPr>
        <w:tc>
          <w:tcPr>
            <w:tcW w:w="4180" w:type="dxa"/>
            <w:vAlign w:val="bottom"/>
          </w:tcPr>
          <w:p>
            <w:pPr>
              <w:spacing w:after="0"/>
              <w:rPr>
                <w:sz w:val="11"/>
                <w:szCs w:val="11"/>
                <w:color w:val="auto"/>
              </w:rPr>
            </w:pPr>
          </w:p>
        </w:tc>
        <w:tc>
          <w:tcPr>
            <w:tcW w:w="2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80" w:type="dxa"/>
            <w:vAlign w:val="bottom"/>
          </w:tcPr>
          <w:p>
            <w:pPr>
              <w:ind w:left="340"/>
              <w:spacing w:after="0"/>
              <w:rPr>
                <w:sz w:val="20"/>
                <w:szCs w:val="20"/>
                <w:color w:val="auto"/>
              </w:rPr>
            </w:pPr>
            <w:r>
              <w:rPr>
                <w:rFonts w:ascii="Courier New" w:cs="Courier New" w:eastAsia="Courier New" w:hAnsi="Courier New"/>
                <w:sz w:val="12"/>
                <w:szCs w:val="12"/>
                <w:color w:val="auto"/>
              </w:rPr>
              <w:t>Total assets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$ 212,096</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$ 198,007</w:t>
            </w:r>
          </w:p>
        </w:tc>
      </w:tr>
      <w:tr>
        <w:trPr>
          <w:trHeight w:val="135"/>
        </w:trPr>
        <w:tc>
          <w:tcPr>
            <w:tcW w:w="4180" w:type="dxa"/>
            <w:vAlign w:val="bottom"/>
          </w:tcPr>
          <w:p>
            <w:pPr>
              <w:spacing w:after="0"/>
              <w:rPr>
                <w:sz w:val="11"/>
                <w:szCs w:val="11"/>
                <w:color w:val="auto"/>
              </w:rPr>
            </w:pPr>
          </w:p>
        </w:tc>
        <w:tc>
          <w:tcPr>
            <w:tcW w:w="2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180" w:type="dxa"/>
            <w:vAlign w:val="bottom"/>
          </w:tcPr>
          <w:p>
            <w:pPr>
              <w:spacing w:after="0"/>
              <w:rPr>
                <w:sz w:val="20"/>
                <w:szCs w:val="20"/>
                <w:color w:val="auto"/>
              </w:rPr>
            </w:pPr>
            <w:r>
              <w:rPr>
                <w:rFonts w:ascii="Courier New" w:cs="Courier New" w:eastAsia="Courier New" w:hAnsi="Courier New"/>
                <w:sz w:val="12"/>
                <w:szCs w:val="12"/>
                <w:b w:val="1"/>
                <w:bCs w:val="1"/>
                <w:color w:val="auto"/>
              </w:rPr>
              <w:t>Liabilities and Stockholders' Equity</w:t>
            </w:r>
          </w:p>
        </w:tc>
        <w:tc>
          <w:tcPr>
            <w:tcW w:w="20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35"/>
        </w:trPr>
        <w:tc>
          <w:tcPr>
            <w:tcW w:w="418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20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Accounts payable</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$ 24,565</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$ 22,983</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Bank overdraft</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2,812</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37</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Accrued salaries &amp; wages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6,579</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6,354</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Income taxes payable</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3,014</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620</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Payable to affiliates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259</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566</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Current maturities of long-term debt</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7,000</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7,000</w:t>
            </w:r>
          </w:p>
        </w:tc>
      </w:tr>
      <w:tr>
        <w:trPr>
          <w:trHeight w:val="135"/>
        </w:trPr>
        <w:tc>
          <w:tcPr>
            <w:tcW w:w="4180" w:type="dxa"/>
            <w:vAlign w:val="bottom"/>
          </w:tcPr>
          <w:p>
            <w:pPr>
              <w:ind w:left="140"/>
              <w:spacing w:after="0"/>
              <w:rPr>
                <w:sz w:val="20"/>
                <w:szCs w:val="20"/>
                <w:color w:val="auto"/>
              </w:rPr>
            </w:pPr>
            <w:r>
              <w:rPr>
                <w:rFonts w:ascii="Courier New" w:cs="Courier New" w:eastAsia="Courier New" w:hAnsi="Courier New"/>
                <w:sz w:val="12"/>
                <w:szCs w:val="12"/>
                <w:color w:val="auto"/>
              </w:rPr>
              <w:t>Other current liabilities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4,166</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2,674</w:t>
            </w:r>
          </w:p>
        </w:tc>
      </w:tr>
      <w:tr>
        <w:trPr>
          <w:trHeight w:val="135"/>
        </w:trPr>
        <w:tc>
          <w:tcPr>
            <w:tcW w:w="4180" w:type="dxa"/>
            <w:vAlign w:val="bottom"/>
          </w:tcPr>
          <w:p>
            <w:pPr>
              <w:spacing w:after="0"/>
              <w:rPr>
                <w:sz w:val="11"/>
                <w:szCs w:val="11"/>
                <w:color w:val="auto"/>
              </w:rPr>
            </w:pPr>
          </w:p>
        </w:tc>
        <w:tc>
          <w:tcPr>
            <w:tcW w:w="2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80" w:type="dxa"/>
            <w:vAlign w:val="bottom"/>
          </w:tcPr>
          <w:p>
            <w:pPr>
              <w:ind w:left="340"/>
              <w:spacing w:after="0"/>
              <w:rPr>
                <w:sz w:val="20"/>
                <w:szCs w:val="20"/>
                <w:color w:val="auto"/>
              </w:rPr>
            </w:pPr>
            <w:r>
              <w:rPr>
                <w:rFonts w:ascii="Courier New" w:cs="Courier New" w:eastAsia="Courier New" w:hAnsi="Courier New"/>
                <w:sz w:val="12"/>
                <w:szCs w:val="12"/>
                <w:color w:val="auto"/>
              </w:rPr>
              <w:t>Total current liabilities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48,395</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40,234</w:t>
            </w:r>
          </w:p>
        </w:tc>
      </w:tr>
      <w:tr>
        <w:trPr>
          <w:trHeight w:val="270"/>
        </w:trPr>
        <w:tc>
          <w:tcPr>
            <w:tcW w:w="4180" w:type="dxa"/>
            <w:vAlign w:val="bottom"/>
          </w:tcPr>
          <w:p>
            <w:pPr>
              <w:spacing w:after="0"/>
              <w:rPr>
                <w:sz w:val="20"/>
                <w:szCs w:val="20"/>
                <w:color w:val="auto"/>
              </w:rPr>
            </w:pPr>
            <w:r>
              <w:rPr>
                <w:rFonts w:ascii="Courier New" w:cs="Courier New" w:eastAsia="Courier New" w:hAnsi="Courier New"/>
                <w:sz w:val="12"/>
                <w:szCs w:val="12"/>
                <w:color w:val="auto"/>
              </w:rPr>
              <w:t>Minority interest in consolidated subsidiaries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20,987</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19,706</w:t>
            </w:r>
          </w:p>
        </w:tc>
      </w:tr>
      <w:tr>
        <w:trPr>
          <w:trHeight w:val="135"/>
        </w:trPr>
        <w:tc>
          <w:tcPr>
            <w:tcW w:w="4180" w:type="dxa"/>
            <w:vAlign w:val="bottom"/>
          </w:tcPr>
          <w:p>
            <w:pPr>
              <w:spacing w:after="0"/>
              <w:rPr>
                <w:sz w:val="20"/>
                <w:szCs w:val="20"/>
                <w:color w:val="auto"/>
              </w:rPr>
            </w:pPr>
            <w:r>
              <w:rPr>
                <w:rFonts w:ascii="Courier New" w:cs="Courier New" w:eastAsia="Courier New" w:hAnsi="Courier New"/>
                <w:sz w:val="12"/>
                <w:szCs w:val="12"/>
                <w:color w:val="auto"/>
              </w:rPr>
              <w:t>Non-current deferred tax liability</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9,479</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9,334</w:t>
            </w:r>
          </w:p>
        </w:tc>
      </w:tr>
      <w:tr>
        <w:trPr>
          <w:trHeight w:val="135"/>
        </w:trPr>
        <w:tc>
          <w:tcPr>
            <w:tcW w:w="4180" w:type="dxa"/>
            <w:vAlign w:val="bottom"/>
          </w:tcPr>
          <w:p>
            <w:pPr>
              <w:spacing w:after="0"/>
              <w:rPr>
                <w:sz w:val="20"/>
                <w:szCs w:val="20"/>
                <w:color w:val="auto"/>
              </w:rPr>
            </w:pPr>
            <w:r>
              <w:rPr>
                <w:rFonts w:ascii="Courier New" w:cs="Courier New" w:eastAsia="Courier New" w:hAnsi="Courier New"/>
                <w:sz w:val="12"/>
                <w:szCs w:val="12"/>
                <w:color w:val="auto"/>
              </w:rPr>
              <w:t>Long-term debt</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46,236</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46,135</w:t>
            </w:r>
          </w:p>
        </w:tc>
      </w:tr>
      <w:tr>
        <w:trPr>
          <w:trHeight w:val="135"/>
        </w:trPr>
        <w:tc>
          <w:tcPr>
            <w:tcW w:w="4180" w:type="dxa"/>
            <w:vAlign w:val="bottom"/>
          </w:tcPr>
          <w:p>
            <w:pPr>
              <w:spacing w:after="0"/>
              <w:rPr>
                <w:sz w:val="20"/>
                <w:szCs w:val="20"/>
                <w:color w:val="auto"/>
              </w:rPr>
            </w:pPr>
            <w:r>
              <w:rPr>
                <w:rFonts w:ascii="Courier New" w:cs="Courier New" w:eastAsia="Courier New" w:hAnsi="Courier New"/>
                <w:sz w:val="12"/>
                <w:szCs w:val="12"/>
                <w:color w:val="auto"/>
              </w:rPr>
              <w:t>Accrued pension and other</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9,840</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9,319</w:t>
            </w:r>
          </w:p>
        </w:tc>
      </w:tr>
      <w:tr>
        <w:trPr>
          <w:trHeight w:val="135"/>
        </w:trPr>
        <w:tc>
          <w:tcPr>
            <w:tcW w:w="4180" w:type="dxa"/>
            <w:vAlign w:val="bottom"/>
          </w:tcPr>
          <w:p>
            <w:pPr>
              <w:spacing w:after="0"/>
              <w:rPr>
                <w:sz w:val="11"/>
                <w:szCs w:val="11"/>
                <w:color w:val="auto"/>
              </w:rPr>
            </w:pPr>
          </w:p>
        </w:tc>
        <w:tc>
          <w:tcPr>
            <w:tcW w:w="2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180" w:type="dxa"/>
            <w:vAlign w:val="bottom"/>
          </w:tcPr>
          <w:p>
            <w:pPr>
              <w:ind w:left="340"/>
              <w:spacing w:after="0"/>
              <w:rPr>
                <w:sz w:val="20"/>
                <w:szCs w:val="20"/>
                <w:color w:val="auto"/>
              </w:rPr>
            </w:pPr>
            <w:r>
              <w:rPr>
                <w:rFonts w:ascii="Courier New" w:cs="Courier New" w:eastAsia="Courier New" w:hAnsi="Courier New"/>
                <w:sz w:val="12"/>
                <w:szCs w:val="12"/>
                <w:color w:val="auto"/>
              </w:rPr>
              <w:t>Total liabilities</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134,937</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124,728</w:t>
            </w:r>
          </w:p>
        </w:tc>
      </w:tr>
      <w:tr>
        <w:trPr>
          <w:trHeight w:val="270"/>
        </w:trPr>
        <w:tc>
          <w:tcPr>
            <w:tcW w:w="4180" w:type="dxa"/>
            <w:vAlign w:val="bottom"/>
          </w:tcPr>
          <w:p>
            <w:pPr>
              <w:ind w:left="340"/>
              <w:spacing w:after="0"/>
              <w:rPr>
                <w:sz w:val="20"/>
                <w:szCs w:val="20"/>
                <w:color w:val="auto"/>
              </w:rPr>
            </w:pPr>
            <w:r>
              <w:rPr>
                <w:rFonts w:ascii="Courier New" w:cs="Courier New" w:eastAsia="Courier New" w:hAnsi="Courier New"/>
                <w:sz w:val="12"/>
                <w:szCs w:val="12"/>
                <w:color w:val="auto"/>
              </w:rPr>
              <w:t>Total stockholders' equity</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77,159</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73,279</w:t>
            </w:r>
          </w:p>
        </w:tc>
      </w:tr>
      <w:tr>
        <w:trPr>
          <w:trHeight w:val="135"/>
        </w:trPr>
        <w:tc>
          <w:tcPr>
            <w:tcW w:w="4180" w:type="dxa"/>
            <w:vAlign w:val="bottom"/>
          </w:tcPr>
          <w:p>
            <w:pPr>
              <w:spacing w:after="0"/>
              <w:rPr>
                <w:sz w:val="11"/>
                <w:szCs w:val="11"/>
                <w:color w:val="auto"/>
              </w:rPr>
            </w:pPr>
          </w:p>
        </w:tc>
        <w:tc>
          <w:tcPr>
            <w:tcW w:w="2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180" w:type="dxa"/>
            <w:vAlign w:val="bottom"/>
          </w:tcPr>
          <w:p>
            <w:pPr>
              <w:ind w:left="340"/>
              <w:spacing w:after="0"/>
              <w:rPr>
                <w:sz w:val="20"/>
                <w:szCs w:val="20"/>
                <w:color w:val="auto"/>
              </w:rPr>
            </w:pPr>
            <w:r>
              <w:rPr>
                <w:rFonts w:ascii="Courier New" w:cs="Courier New" w:eastAsia="Courier New" w:hAnsi="Courier New"/>
                <w:sz w:val="12"/>
                <w:szCs w:val="12"/>
                <w:color w:val="auto"/>
              </w:rPr>
              <w:t>Total liabilities and stockholders' equity</w:t>
            </w:r>
          </w:p>
        </w:tc>
        <w:tc>
          <w:tcPr>
            <w:tcW w:w="20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$212,096</w:t>
            </w:r>
          </w:p>
        </w:tc>
        <w:tc>
          <w:tcPr>
            <w:tcW w:w="12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$198,007</w:t>
            </w:r>
          </w:p>
        </w:tc>
      </w:tr>
      <w:tr>
        <w:trPr>
          <w:trHeight w:val="135"/>
        </w:trPr>
        <w:tc>
          <w:tcPr>
            <w:tcW w:w="4180" w:type="dxa"/>
            <w:vAlign w:val="bottom"/>
          </w:tcPr>
          <w:p>
            <w:pPr>
              <w:spacing w:after="0"/>
              <w:rPr>
                <w:sz w:val="11"/>
                <w:szCs w:val="11"/>
                <w:color w:val="auto"/>
              </w:rPr>
            </w:pPr>
          </w:p>
        </w:tc>
        <w:tc>
          <w:tcPr>
            <w:tcW w:w="2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69"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68"/>
        <w:spacing w:after="0"/>
        <w:rPr>
          <w:sz w:val="20"/>
          <w:szCs w:val="20"/>
          <w:color w:val="auto"/>
        </w:rPr>
      </w:pPr>
      <w:r>
        <w:rPr>
          <w:rFonts w:ascii="Courier New" w:cs="Courier New" w:eastAsia="Courier New" w:hAnsi="Courier New"/>
          <w:sz w:val="12"/>
          <w:szCs w:val="12"/>
          <w:b w:val="1"/>
          <w:bCs w:val="1"/>
          <w:color w:val="auto"/>
        </w:rPr>
        <w:t>NN, Inc.</w:t>
      </w:r>
    </w:p>
    <w:p>
      <w:pPr>
        <w:ind w:left="1968"/>
        <w:spacing w:after="0"/>
        <w:rPr>
          <w:sz w:val="20"/>
          <w:szCs w:val="20"/>
          <w:color w:val="auto"/>
        </w:rPr>
      </w:pPr>
      <w:r>
        <w:rPr>
          <w:rFonts w:ascii="Courier New" w:cs="Courier New" w:eastAsia="Courier New" w:hAnsi="Courier New"/>
          <w:sz w:val="12"/>
          <w:szCs w:val="12"/>
          <w:b w:val="1"/>
          <w:bCs w:val="1"/>
          <w:color w:val="auto"/>
        </w:rPr>
        <w:t>Consolidated Statements of Changes in Stockholders' Equity</w:t>
      </w:r>
    </w:p>
    <w:p>
      <w:pPr>
        <w:ind w:left="3228"/>
        <w:spacing w:after="0" w:line="237" w:lineRule="auto"/>
        <w:rPr>
          <w:sz w:val="20"/>
          <w:szCs w:val="20"/>
          <w:color w:val="auto"/>
        </w:rPr>
      </w:pPr>
      <w:r>
        <w:rPr>
          <w:rFonts w:ascii="Courier New" w:cs="Courier New" w:eastAsia="Courier New" w:hAnsi="Courier New"/>
          <w:sz w:val="12"/>
          <w:szCs w:val="12"/>
          <w:b w:val="1"/>
          <w:bCs w:val="1"/>
          <w:color w:val="auto"/>
        </w:rPr>
        <w:t>(Unaudited)</w:t>
      </w:r>
    </w:p>
    <w:p>
      <w:pPr>
        <w:spacing w:after="0" w:line="269" w:lineRule="exact"/>
        <w:rPr>
          <w:sz w:val="20"/>
          <w:szCs w:val="20"/>
          <w:color w:val="auto"/>
        </w:rPr>
      </w:pPr>
    </w:p>
    <w:p>
      <w:pPr>
        <w:ind w:left="3228"/>
        <w:spacing w:after="0"/>
        <w:rPr>
          <w:sz w:val="20"/>
          <w:szCs w:val="20"/>
          <w:color w:val="auto"/>
        </w:rPr>
      </w:pPr>
      <w:r>
        <w:rPr>
          <w:rFonts w:ascii="Courier New" w:cs="Courier New" w:eastAsia="Courier New" w:hAnsi="Courier New"/>
          <w:sz w:val="12"/>
          <w:szCs w:val="12"/>
          <w:b w:val="1"/>
          <w:bCs w:val="1"/>
          <w:color w:val="auto"/>
        </w:rPr>
        <w:t>Common Stock</w:t>
      </w:r>
    </w:p>
    <w:p>
      <w:pPr>
        <w:spacing w:after="0" w:line="134" w:lineRule="exact"/>
        <w:rPr>
          <w:sz w:val="20"/>
          <w:szCs w:val="20"/>
          <w:color w:val="auto"/>
        </w:rPr>
      </w:pPr>
    </w:p>
    <w:p>
      <w:pPr>
        <w:ind w:left="7168"/>
        <w:spacing w:after="0"/>
        <w:rPr>
          <w:sz w:val="20"/>
          <w:szCs w:val="20"/>
          <w:color w:val="auto"/>
        </w:rPr>
      </w:pPr>
      <w:r>
        <w:rPr>
          <w:rFonts w:ascii="Courier New" w:cs="Courier New" w:eastAsia="Courier New" w:hAnsi="Courier New"/>
          <w:sz w:val="12"/>
          <w:szCs w:val="12"/>
          <w:b w:val="1"/>
          <w:bCs w:val="1"/>
          <w:color w:val="auto"/>
        </w:rPr>
        <w:t>Accumulated</w:t>
      </w:r>
    </w:p>
    <w:p>
      <w:pPr>
        <w:ind w:left="8"/>
        <w:spacing w:after="0"/>
        <w:tabs>
          <w:tab w:leader="none" w:pos="5048" w:val="left"/>
          <w:tab w:leader="none" w:pos="7288" w:val="left"/>
        </w:tabs>
        <w:rPr>
          <w:sz w:val="20"/>
          <w:szCs w:val="20"/>
          <w:color w:val="auto"/>
        </w:rPr>
      </w:pPr>
      <w:r>
        <w:rPr>
          <w:rFonts w:ascii="Courier New" w:cs="Courier New" w:eastAsia="Courier New" w:hAnsi="Courier New"/>
          <w:sz w:val="12"/>
          <w:szCs w:val="12"/>
          <w:b w:val="1"/>
          <w:bCs w:val="1"/>
          <w:color w:val="auto"/>
        </w:rPr>
        <w:t>Thousands of Dollars</w:t>
      </w:r>
      <w:r>
        <w:rPr>
          <w:sz w:val="20"/>
          <w:szCs w:val="20"/>
          <w:color w:val="auto"/>
        </w:rPr>
        <w:tab/>
      </w:r>
      <w:r>
        <w:rPr>
          <w:rFonts w:ascii="Courier New" w:cs="Courier New" w:eastAsia="Courier New" w:hAnsi="Courier New"/>
          <w:sz w:val="12"/>
          <w:szCs w:val="12"/>
          <w:b w:val="1"/>
          <w:bCs w:val="1"/>
          <w:color w:val="auto"/>
        </w:rPr>
        <w:t>Additional</w:t>
      </w:r>
      <w:r>
        <w:rPr>
          <w:sz w:val="20"/>
          <w:szCs w:val="20"/>
          <w:color w:val="auto"/>
        </w:rPr>
        <w:tab/>
      </w:r>
      <w:r>
        <w:rPr>
          <w:rFonts w:ascii="Courier New" w:cs="Courier New" w:eastAsia="Courier New" w:hAnsi="Courier New"/>
          <w:sz w:val="11"/>
          <w:szCs w:val="11"/>
          <w:b w:val="1"/>
          <w:bCs w:val="1"/>
          <w:color w:val="auto"/>
        </w:rPr>
        <w:t>Other</w:t>
      </w:r>
    </w:p>
    <w:p>
      <w:pPr>
        <w:ind w:left="2808"/>
        <w:spacing w:after="0"/>
        <w:tabs>
          <w:tab w:leader="none" w:pos="5108" w:val="left"/>
          <w:tab w:leader="none" w:pos="6088" w:val="left"/>
          <w:tab w:leader="none" w:pos="7068" w:val="left"/>
        </w:tabs>
        <w:rPr>
          <w:sz w:val="20"/>
          <w:szCs w:val="20"/>
          <w:color w:val="auto"/>
        </w:rPr>
      </w:pPr>
      <w:r>
        <w:rPr>
          <w:rFonts w:ascii="Courier New" w:cs="Courier New" w:eastAsia="Courier New" w:hAnsi="Courier New"/>
          <w:sz w:val="12"/>
          <w:szCs w:val="12"/>
          <w:b w:val="1"/>
          <w:bCs w:val="1"/>
          <w:color w:val="auto"/>
        </w:rPr>
        <w:t>Number Of</w:t>
      </w:r>
      <w:r>
        <w:rPr>
          <w:sz w:val="20"/>
          <w:szCs w:val="20"/>
          <w:color w:val="auto"/>
        </w:rPr>
        <w:tab/>
      </w:r>
      <w:r>
        <w:rPr>
          <w:rFonts w:ascii="Courier New" w:cs="Courier New" w:eastAsia="Courier New" w:hAnsi="Courier New"/>
          <w:sz w:val="12"/>
          <w:szCs w:val="12"/>
          <w:b w:val="1"/>
          <w:bCs w:val="1"/>
          <w:color w:val="auto"/>
        </w:rPr>
        <w:t>paid in</w:t>
      </w:r>
      <w:r>
        <w:rPr>
          <w:sz w:val="20"/>
          <w:szCs w:val="20"/>
          <w:color w:val="auto"/>
        </w:rPr>
        <w:tab/>
      </w:r>
      <w:r>
        <w:rPr>
          <w:rFonts w:ascii="Courier New" w:cs="Courier New" w:eastAsia="Courier New" w:hAnsi="Courier New"/>
          <w:sz w:val="12"/>
          <w:szCs w:val="12"/>
          <w:b w:val="1"/>
          <w:bCs w:val="1"/>
          <w:color w:val="auto"/>
        </w:rPr>
        <w:t>Retained</w:t>
      </w:r>
      <w:r>
        <w:rPr>
          <w:sz w:val="20"/>
          <w:szCs w:val="20"/>
          <w:color w:val="auto"/>
        </w:rPr>
        <w:tab/>
      </w:r>
      <w:r>
        <w:rPr>
          <w:rFonts w:ascii="Courier New" w:cs="Courier New" w:eastAsia="Courier New" w:hAnsi="Courier New"/>
          <w:sz w:val="11"/>
          <w:szCs w:val="11"/>
          <w:b w:val="1"/>
          <w:bCs w:val="1"/>
          <w:color w:val="auto"/>
        </w:rPr>
        <w:t>Comprehensive</w:t>
      </w:r>
    </w:p>
    <w:p>
      <w:pPr>
        <w:ind w:left="2888"/>
        <w:spacing w:after="0"/>
        <w:tabs>
          <w:tab w:leader="none" w:pos="3988" w:val="left"/>
          <w:tab w:leader="none" w:pos="5108" w:val="left"/>
          <w:tab w:leader="none" w:pos="6088" w:val="left"/>
          <w:tab w:leader="none" w:pos="7068" w:val="left"/>
          <w:tab w:leader="none" w:pos="8548" w:val="left"/>
        </w:tabs>
        <w:rPr>
          <w:sz w:val="20"/>
          <w:szCs w:val="20"/>
          <w:color w:val="auto"/>
        </w:rPr>
      </w:pPr>
      <w:r>
        <w:rPr>
          <w:rFonts w:ascii="Courier New" w:cs="Courier New" w:eastAsia="Courier New" w:hAnsi="Courier New"/>
          <w:sz w:val="12"/>
          <w:szCs w:val="12"/>
          <w:b w:val="1"/>
          <w:bCs w:val="1"/>
          <w:color w:val="auto"/>
        </w:rPr>
        <w:t>Shares</w:t>
      </w:r>
      <w:r>
        <w:rPr>
          <w:sz w:val="20"/>
          <w:szCs w:val="20"/>
          <w:color w:val="auto"/>
        </w:rPr>
        <w:tab/>
      </w:r>
      <w:r>
        <w:rPr>
          <w:rFonts w:ascii="Courier New" w:cs="Courier New" w:eastAsia="Courier New" w:hAnsi="Courier New"/>
          <w:sz w:val="12"/>
          <w:szCs w:val="12"/>
          <w:b w:val="1"/>
          <w:bCs w:val="1"/>
          <w:color w:val="auto"/>
        </w:rPr>
        <w:t>Par value</w:t>
      </w:r>
      <w:r>
        <w:rPr>
          <w:sz w:val="20"/>
          <w:szCs w:val="20"/>
          <w:color w:val="auto"/>
        </w:rPr>
        <w:tab/>
      </w:r>
      <w:r>
        <w:rPr>
          <w:rFonts w:ascii="Courier New" w:cs="Courier New" w:eastAsia="Courier New" w:hAnsi="Courier New"/>
          <w:sz w:val="12"/>
          <w:szCs w:val="12"/>
          <w:b w:val="1"/>
          <w:bCs w:val="1"/>
          <w:color w:val="auto"/>
        </w:rPr>
        <w:t>capital</w:t>
      </w:r>
      <w:r>
        <w:rPr>
          <w:sz w:val="20"/>
          <w:szCs w:val="20"/>
          <w:color w:val="auto"/>
        </w:rPr>
        <w:tab/>
      </w:r>
      <w:r>
        <w:rPr>
          <w:rFonts w:ascii="Courier New" w:cs="Courier New" w:eastAsia="Courier New" w:hAnsi="Courier New"/>
          <w:sz w:val="12"/>
          <w:szCs w:val="12"/>
          <w:b w:val="1"/>
          <w:bCs w:val="1"/>
          <w:color w:val="auto"/>
        </w:rPr>
        <w:t>Earnings</w:t>
      </w:r>
      <w:r>
        <w:rPr>
          <w:sz w:val="20"/>
          <w:szCs w:val="20"/>
          <w:color w:val="auto"/>
        </w:rPr>
        <w:tab/>
      </w:r>
      <w:r>
        <w:rPr>
          <w:rFonts w:ascii="Courier New" w:cs="Courier New" w:eastAsia="Courier New" w:hAnsi="Courier New"/>
          <w:sz w:val="12"/>
          <w:szCs w:val="12"/>
          <w:b w:val="1"/>
          <w:bCs w:val="1"/>
          <w:color w:val="auto"/>
        </w:rPr>
        <w:t>Income (Loss)</w:t>
      </w:r>
      <w:r>
        <w:rPr>
          <w:sz w:val="20"/>
          <w:szCs w:val="20"/>
          <w:color w:val="auto"/>
        </w:rPr>
        <w:tab/>
      </w:r>
      <w:r>
        <w:rPr>
          <w:rFonts w:ascii="Courier New" w:cs="Courier New" w:eastAsia="Courier New" w:hAnsi="Courier New"/>
          <w:sz w:val="11"/>
          <w:szCs w:val="11"/>
          <w:b w:val="1"/>
          <w:bCs w:val="1"/>
          <w:color w:val="auto"/>
        </w:rPr>
        <w:t>Total</w:t>
      </w:r>
    </w:p>
    <w:p>
      <w:pPr>
        <w:ind w:left="8"/>
        <w:spacing w:after="0" w:line="237" w:lineRule="auto"/>
        <w:rPr>
          <w:sz w:val="20"/>
          <w:szCs w:val="20"/>
          <w:color w:val="auto"/>
        </w:rPr>
      </w:pPr>
      <w:r>
        <w:rPr>
          <w:rFonts w:ascii="Courier New" w:cs="Courier New" w:eastAsia="Courier New" w:hAnsi="Courier New"/>
          <w:sz w:val="12"/>
          <w:szCs w:val="12"/>
          <w:b w:val="1"/>
          <w:bCs w:val="1"/>
          <w:color w:val="auto"/>
        </w:rPr>
        <w:t>- -------------------------------------------------------------------------------------------------------------------------------</w:t>
      </w:r>
    </w:p>
    <w:tbl>
      <w:tblPr>
        <w:tblLayout w:type="fixed"/>
        <w:tblInd w:w="8" w:type="dxa"/>
        <w:tblCellMar>
          <w:top w:w="0" w:type="dxa"/>
          <w:left w:w="0" w:type="dxa"/>
          <w:bottom w:w="0" w:type="dxa"/>
          <w:right w:w="0" w:type="dxa"/>
        </w:tblCellMar>
      </w:tblPr>
      <w:tr>
        <w:trPr>
          <w:trHeight w:val="135"/>
        </w:trPr>
        <w:tc>
          <w:tcPr>
            <w:tcW w:w="2420" w:type="dxa"/>
            <w:vAlign w:val="bottom"/>
          </w:tcPr>
          <w:p>
            <w:pPr>
              <w:spacing w:after="0"/>
              <w:rPr>
                <w:sz w:val="20"/>
                <w:szCs w:val="20"/>
                <w:color w:val="auto"/>
              </w:rPr>
            </w:pPr>
            <w:r>
              <w:rPr>
                <w:rFonts w:ascii="Courier New" w:cs="Courier New" w:eastAsia="Courier New" w:hAnsi="Courier New"/>
                <w:sz w:val="12"/>
                <w:szCs w:val="12"/>
                <w:color w:val="auto"/>
              </w:rPr>
              <w:t>Balance, January 1, 2002</w:t>
            </w:r>
          </w:p>
        </w:tc>
        <w:tc>
          <w:tcPr>
            <w:tcW w:w="15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15,317</w:t>
            </w:r>
          </w:p>
        </w:tc>
        <w:tc>
          <w:tcPr>
            <w:tcW w:w="9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$154</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$ 30,841</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$ 36,139</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(5,095)</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$ 62,039</w:t>
            </w:r>
          </w:p>
        </w:tc>
      </w:tr>
      <w:tr>
        <w:trPr>
          <w:trHeight w:val="135"/>
        </w:trPr>
        <w:tc>
          <w:tcPr>
            <w:tcW w:w="2420" w:type="dxa"/>
            <w:vAlign w:val="bottom"/>
          </w:tcPr>
          <w:p>
            <w:pPr>
              <w:ind w:left="200"/>
              <w:spacing w:after="0"/>
              <w:rPr>
                <w:sz w:val="20"/>
                <w:szCs w:val="20"/>
                <w:color w:val="auto"/>
              </w:rPr>
            </w:pPr>
            <w:r>
              <w:rPr>
                <w:rFonts w:ascii="Courier New" w:cs="Courier New" w:eastAsia="Courier New" w:hAnsi="Courier New"/>
                <w:sz w:val="12"/>
                <w:szCs w:val="12"/>
                <w:color w:val="auto"/>
              </w:rPr>
              <w:t>Shares issued</w:t>
            </w:r>
          </w:p>
        </w:tc>
        <w:tc>
          <w:tcPr>
            <w:tcW w:w="15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24</w:t>
            </w:r>
          </w:p>
        </w:tc>
        <w:tc>
          <w:tcPr>
            <w:tcW w:w="9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148</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148</w:t>
            </w:r>
          </w:p>
        </w:tc>
      </w:tr>
      <w:tr>
        <w:trPr>
          <w:trHeight w:val="135"/>
        </w:trPr>
        <w:tc>
          <w:tcPr>
            <w:tcW w:w="2420" w:type="dxa"/>
            <w:vAlign w:val="bottom"/>
          </w:tcPr>
          <w:p>
            <w:pPr>
              <w:ind w:left="200"/>
              <w:spacing w:after="0"/>
              <w:rPr>
                <w:sz w:val="20"/>
                <w:szCs w:val="20"/>
                <w:color w:val="auto"/>
              </w:rPr>
            </w:pPr>
            <w:r>
              <w:rPr>
                <w:rFonts w:ascii="Courier New" w:cs="Courier New" w:eastAsia="Courier New" w:hAnsi="Courier New"/>
                <w:sz w:val="12"/>
                <w:szCs w:val="12"/>
                <w:color w:val="auto"/>
              </w:rPr>
              <w:t>Net income</w:t>
            </w:r>
          </w:p>
        </w:tc>
        <w:tc>
          <w:tcPr>
            <w:tcW w:w="15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1,848</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1,848</w:t>
            </w:r>
          </w:p>
        </w:tc>
      </w:tr>
      <w:tr>
        <w:trPr>
          <w:trHeight w:val="135"/>
        </w:trPr>
        <w:tc>
          <w:tcPr>
            <w:tcW w:w="2420" w:type="dxa"/>
            <w:vAlign w:val="bottom"/>
          </w:tcPr>
          <w:p>
            <w:pPr>
              <w:ind w:left="200"/>
              <w:spacing w:after="0"/>
              <w:rPr>
                <w:sz w:val="20"/>
                <w:szCs w:val="20"/>
                <w:color w:val="auto"/>
              </w:rPr>
            </w:pPr>
            <w:r>
              <w:rPr>
                <w:rFonts w:ascii="Courier New" w:cs="Courier New" w:eastAsia="Courier New" w:hAnsi="Courier New"/>
                <w:sz w:val="12"/>
                <w:szCs w:val="12"/>
                <w:color w:val="auto"/>
              </w:rPr>
              <w:t>Dividends declared</w:t>
            </w:r>
          </w:p>
        </w:tc>
        <w:tc>
          <w:tcPr>
            <w:tcW w:w="15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(1,227)</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(1,227)</w:t>
            </w:r>
          </w:p>
        </w:tc>
      </w:tr>
    </w:tbl>
    <w:p>
      <w:pPr>
        <w:sectPr>
          <w:pgSz w:w="11900" w:h="16838" w:orient="portrait"/>
          <w:cols w:equalWidth="0" w:num="1">
            <w:col w:w="11488"/>
          </w:cols>
          <w:pgMar w:left="212" w:top="137" w:right="199" w:bottom="0" w:gutter="0" w:footer="0" w:header="0"/>
        </w:sectPr>
      </w:pPr>
    </w:p>
    <w:bookmarkStart w:id="2" w:name="page3"/>
    <w:bookmarkEnd w:id="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ind w:left="280"/>
              <w:spacing w:after="0"/>
              <w:rPr>
                <w:sz w:val="20"/>
                <w:szCs w:val="20"/>
                <w:color w:val="auto"/>
              </w:rPr>
            </w:pPr>
            <w:r>
              <w:rPr>
                <w:rFonts w:ascii="Courier New" w:cs="Courier New" w:eastAsia="Courier New" w:hAnsi="Courier New"/>
                <w:sz w:val="12"/>
                <w:szCs w:val="12"/>
                <w:color w:val="auto"/>
              </w:rPr>
              <w:t>Other comprehensive loss</w:t>
            </w:r>
          </w:p>
        </w:tc>
        <w:tc>
          <w:tcPr>
            <w:tcW w:w="14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(80)</w:t>
            </w:r>
          </w:p>
        </w:tc>
        <w:tc>
          <w:tcPr>
            <w:tcW w:w="8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(80)</w:t>
            </w:r>
          </w:p>
        </w:tc>
      </w:tr>
      <w:tr>
        <w:trPr>
          <w:trHeight w:val="135"/>
        </w:trPr>
        <w:tc>
          <w:tcPr>
            <w:tcW w:w="2320" w:type="dxa"/>
            <w:vAlign w:val="bottom"/>
          </w:tcPr>
          <w:p>
            <w:pPr>
              <w:spacing w:after="0"/>
              <w:rPr>
                <w:sz w:val="11"/>
                <w:szCs w:val="11"/>
                <w:color w:val="auto"/>
              </w:rPr>
            </w:pPr>
          </w:p>
        </w:tc>
        <w:tc>
          <w:tcPr>
            <w:tcW w:w="1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Balance, March 31, 2002</w:t>
            </w:r>
          </w:p>
        </w:tc>
        <w:tc>
          <w:tcPr>
            <w:tcW w:w="14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15,341</w:t>
            </w:r>
          </w:p>
        </w:tc>
        <w:tc>
          <w:tcPr>
            <w:tcW w:w="11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$154</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$ 30,989</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$ 36,750</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(5,175)</w:t>
            </w:r>
          </w:p>
        </w:tc>
        <w:tc>
          <w:tcPr>
            <w:tcW w:w="8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$ 62,728</w:t>
            </w:r>
          </w:p>
        </w:tc>
      </w:tr>
      <w:tr>
        <w:trPr>
          <w:trHeight w:val="135"/>
        </w:trPr>
        <w:tc>
          <w:tcPr>
            <w:tcW w:w="2320" w:type="dxa"/>
            <w:vAlign w:val="bottom"/>
          </w:tcPr>
          <w:p>
            <w:pPr>
              <w:spacing w:after="0"/>
              <w:rPr>
                <w:sz w:val="11"/>
                <w:szCs w:val="11"/>
                <w:color w:val="auto"/>
              </w:rPr>
            </w:pPr>
          </w:p>
        </w:tc>
        <w:tc>
          <w:tcPr>
            <w:tcW w:w="1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2320" w:type="dxa"/>
            <w:vAlign w:val="bottom"/>
          </w:tcPr>
          <w:p>
            <w:pPr>
              <w:spacing w:after="0"/>
              <w:rPr>
                <w:sz w:val="20"/>
                <w:szCs w:val="20"/>
                <w:color w:val="auto"/>
              </w:rPr>
            </w:pPr>
            <w:r>
              <w:rPr>
                <w:rFonts w:ascii="Courier New" w:cs="Courier New" w:eastAsia="Courier New" w:hAnsi="Courier New"/>
                <w:sz w:val="12"/>
                <w:szCs w:val="12"/>
                <w:color w:val="auto"/>
              </w:rPr>
              <w:t>Balance, January 1, 2003</w:t>
            </w:r>
          </w:p>
        </w:tc>
        <w:tc>
          <w:tcPr>
            <w:tcW w:w="14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15,370</w:t>
            </w:r>
          </w:p>
        </w:tc>
        <w:tc>
          <w:tcPr>
            <w:tcW w:w="11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$154</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$ 31,187</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$ 44,888</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(2,950)</w:t>
            </w:r>
          </w:p>
        </w:tc>
        <w:tc>
          <w:tcPr>
            <w:tcW w:w="8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$ 73,279</w:t>
            </w:r>
          </w:p>
        </w:tc>
      </w:tr>
      <w:tr>
        <w:trPr>
          <w:trHeight w:val="135"/>
        </w:trPr>
        <w:tc>
          <w:tcPr>
            <w:tcW w:w="2320" w:type="dxa"/>
            <w:vAlign w:val="bottom"/>
          </w:tcPr>
          <w:p>
            <w:pPr>
              <w:ind w:left="140"/>
              <w:spacing w:after="0"/>
              <w:rPr>
                <w:sz w:val="20"/>
                <w:szCs w:val="20"/>
                <w:color w:val="auto"/>
              </w:rPr>
            </w:pPr>
            <w:r>
              <w:rPr>
                <w:rFonts w:ascii="Courier New" w:cs="Courier New" w:eastAsia="Courier New" w:hAnsi="Courier New"/>
                <w:sz w:val="12"/>
                <w:szCs w:val="12"/>
                <w:color w:val="auto"/>
              </w:rPr>
              <w:t>Shares issued</w:t>
            </w:r>
          </w:p>
        </w:tc>
        <w:tc>
          <w:tcPr>
            <w:tcW w:w="14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w:t>
            </w:r>
          </w:p>
        </w:tc>
        <w:tc>
          <w:tcPr>
            <w:tcW w:w="11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78</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79</w:t>
            </w:r>
          </w:p>
        </w:tc>
      </w:tr>
      <w:tr>
        <w:trPr>
          <w:trHeight w:val="135"/>
        </w:trPr>
        <w:tc>
          <w:tcPr>
            <w:tcW w:w="2320" w:type="dxa"/>
            <w:vAlign w:val="bottom"/>
          </w:tcPr>
          <w:p>
            <w:pPr>
              <w:ind w:left="140"/>
              <w:spacing w:after="0"/>
              <w:rPr>
                <w:sz w:val="20"/>
                <w:szCs w:val="20"/>
                <w:color w:val="auto"/>
              </w:rPr>
            </w:pPr>
            <w:r>
              <w:rPr>
                <w:rFonts w:ascii="Courier New" w:cs="Courier New" w:eastAsia="Courier New" w:hAnsi="Courier New"/>
                <w:sz w:val="12"/>
                <w:szCs w:val="12"/>
                <w:color w:val="auto"/>
              </w:rPr>
              <w:t>Net income</w:t>
            </w:r>
          </w:p>
        </w:tc>
        <w:tc>
          <w:tcPr>
            <w:tcW w:w="14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3,643</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3,643</w:t>
            </w:r>
          </w:p>
        </w:tc>
      </w:tr>
      <w:tr>
        <w:trPr>
          <w:trHeight w:val="135"/>
        </w:trPr>
        <w:tc>
          <w:tcPr>
            <w:tcW w:w="2320" w:type="dxa"/>
            <w:vAlign w:val="bottom"/>
          </w:tcPr>
          <w:p>
            <w:pPr>
              <w:ind w:left="140"/>
              <w:spacing w:after="0"/>
              <w:rPr>
                <w:sz w:val="20"/>
                <w:szCs w:val="20"/>
                <w:color w:val="auto"/>
              </w:rPr>
            </w:pPr>
            <w:r>
              <w:rPr>
                <w:rFonts w:ascii="Courier New" w:cs="Courier New" w:eastAsia="Courier New" w:hAnsi="Courier New"/>
                <w:sz w:val="12"/>
                <w:szCs w:val="12"/>
                <w:color w:val="auto"/>
              </w:rPr>
              <w:t>Dividends declared</w:t>
            </w:r>
          </w:p>
        </w:tc>
        <w:tc>
          <w:tcPr>
            <w:tcW w:w="14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(1,230)</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2320" w:type="dxa"/>
            <w:vAlign w:val="bottom"/>
          </w:tcPr>
          <w:p>
            <w:pPr>
              <w:ind w:left="140"/>
              <w:spacing w:after="0"/>
              <w:rPr>
                <w:sz w:val="20"/>
                <w:szCs w:val="20"/>
                <w:color w:val="auto"/>
              </w:rPr>
            </w:pPr>
            <w:r>
              <w:rPr>
                <w:rFonts w:ascii="Courier New" w:cs="Courier New" w:eastAsia="Courier New" w:hAnsi="Courier New"/>
                <w:sz w:val="12"/>
                <w:szCs w:val="12"/>
                <w:color w:val="auto"/>
              </w:rPr>
              <w:t>Other comprehensive income</w:t>
            </w:r>
          </w:p>
        </w:tc>
        <w:tc>
          <w:tcPr>
            <w:tcW w:w="14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1,388</w:t>
            </w:r>
          </w:p>
        </w:tc>
        <w:tc>
          <w:tcPr>
            <w:tcW w:w="8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1,388</w:t>
            </w:r>
          </w:p>
        </w:tc>
      </w:tr>
      <w:tr>
        <w:trPr>
          <w:trHeight w:val="135"/>
        </w:trPr>
        <w:tc>
          <w:tcPr>
            <w:tcW w:w="2320" w:type="dxa"/>
            <w:vAlign w:val="bottom"/>
          </w:tcPr>
          <w:p>
            <w:pPr>
              <w:spacing w:after="0"/>
              <w:rPr>
                <w:sz w:val="11"/>
                <w:szCs w:val="11"/>
                <w:color w:val="auto"/>
              </w:rPr>
            </w:pPr>
          </w:p>
        </w:tc>
        <w:tc>
          <w:tcPr>
            <w:tcW w:w="1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2320" w:type="dxa"/>
            <w:vAlign w:val="bottom"/>
          </w:tcPr>
          <w:p>
            <w:pPr>
              <w:spacing w:after="0"/>
              <w:rPr>
                <w:sz w:val="20"/>
                <w:szCs w:val="20"/>
                <w:color w:val="auto"/>
              </w:rPr>
            </w:pPr>
            <w:r>
              <w:rPr>
                <w:rFonts w:ascii="Courier New" w:cs="Courier New" w:eastAsia="Courier New" w:hAnsi="Courier New"/>
                <w:sz w:val="12"/>
                <w:szCs w:val="12"/>
                <w:color w:val="auto"/>
              </w:rPr>
              <w:t>Balance, March 31, 2003</w:t>
            </w:r>
          </w:p>
        </w:tc>
        <w:tc>
          <w:tcPr>
            <w:tcW w:w="14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15,381</w:t>
            </w:r>
          </w:p>
        </w:tc>
        <w:tc>
          <w:tcPr>
            <w:tcW w:w="11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$155</w:t>
            </w:r>
          </w:p>
        </w:tc>
        <w:tc>
          <w:tcPr>
            <w:tcW w:w="10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$ 31,265</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$ 47,301</w:t>
            </w:r>
          </w:p>
        </w:tc>
        <w:tc>
          <w:tcPr>
            <w:tcW w:w="11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(1,562)</w:t>
            </w:r>
          </w:p>
        </w:tc>
        <w:tc>
          <w:tcPr>
            <w:tcW w:w="8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$ 77,159</w:t>
            </w:r>
          </w:p>
        </w:tc>
      </w:tr>
      <w:tr>
        <w:trPr>
          <w:trHeight w:val="135"/>
        </w:trPr>
        <w:tc>
          <w:tcPr>
            <w:tcW w:w="2320" w:type="dxa"/>
            <w:vAlign w:val="bottom"/>
          </w:tcPr>
          <w:p>
            <w:pPr>
              <w:spacing w:after="0"/>
              <w:rPr>
                <w:sz w:val="11"/>
                <w:szCs w:val="11"/>
                <w:color w:val="auto"/>
              </w:rPr>
            </w:pPr>
          </w:p>
        </w:tc>
        <w:tc>
          <w:tcPr>
            <w:tcW w:w="14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13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b w:val="1"/>
          <w:bCs w:val="1"/>
          <w:color w:val="auto"/>
        </w:rPr>
        <w:t>NN, Inc.</w:t>
      </w:r>
    </w:p>
    <w:p>
      <w:pPr>
        <w:jc w:val="center"/>
        <w:ind w:right="4551"/>
        <w:spacing w:after="0"/>
        <w:rPr>
          <w:sz w:val="20"/>
          <w:szCs w:val="20"/>
          <w:color w:val="auto"/>
        </w:rPr>
      </w:pPr>
      <w:r>
        <w:rPr>
          <w:rFonts w:ascii="Courier New" w:cs="Courier New" w:eastAsia="Courier New" w:hAnsi="Courier New"/>
          <w:sz w:val="12"/>
          <w:szCs w:val="12"/>
          <w:b w:val="1"/>
          <w:bCs w:val="1"/>
          <w:color w:val="auto"/>
        </w:rPr>
        <w:t>Consolidated Statements of Cash Flows</w:t>
      </w:r>
    </w:p>
    <w:p>
      <w:pPr>
        <w:jc w:val="center"/>
        <w:ind w:right="4551"/>
        <w:spacing w:after="0" w:line="237" w:lineRule="auto"/>
        <w:rPr>
          <w:sz w:val="20"/>
          <w:szCs w:val="20"/>
          <w:color w:val="auto"/>
        </w:rPr>
      </w:pPr>
      <w:r>
        <w:rPr>
          <w:rFonts w:ascii="Courier New" w:cs="Courier New" w:eastAsia="Courier New" w:hAnsi="Courier New"/>
          <w:sz w:val="12"/>
          <w:szCs w:val="12"/>
          <w:b w:val="1"/>
          <w:bCs w:val="1"/>
          <w:color w:val="auto"/>
        </w:rPr>
        <w:t>(Unaudited)</w:t>
      </w:r>
    </w:p>
    <w:p>
      <w:pPr>
        <w:spacing w:after="0" w:line="134" w:lineRule="exact"/>
        <w:rPr>
          <w:sz w:val="20"/>
          <w:szCs w:val="20"/>
          <w:color w:val="auto"/>
        </w:rPr>
      </w:pPr>
    </w:p>
    <w:p>
      <w:pPr>
        <w:ind w:left="5968"/>
        <w:spacing w:after="0"/>
        <w:rPr>
          <w:sz w:val="20"/>
          <w:szCs w:val="20"/>
          <w:color w:val="auto"/>
        </w:rPr>
      </w:pPr>
      <w:r>
        <w:rPr>
          <w:rFonts w:ascii="Courier New" w:cs="Courier New" w:eastAsia="Courier New" w:hAnsi="Courier New"/>
          <w:sz w:val="12"/>
          <w:szCs w:val="12"/>
          <w:b w:val="1"/>
          <w:bCs w:val="1"/>
          <w:color w:val="auto"/>
        </w:rPr>
        <w:t>Three Months Ended</w:t>
      </w:r>
    </w:p>
    <w:p>
      <w:pPr>
        <w:ind w:left="6388"/>
        <w:spacing w:after="0"/>
        <w:rPr>
          <w:sz w:val="20"/>
          <w:szCs w:val="20"/>
          <w:color w:val="auto"/>
        </w:rPr>
      </w:pPr>
      <w:r>
        <w:rPr>
          <w:rFonts w:ascii="Courier New" w:cs="Courier New" w:eastAsia="Courier New" w:hAnsi="Courier New"/>
          <w:sz w:val="12"/>
          <w:szCs w:val="12"/>
          <w:b w:val="1"/>
          <w:bCs w:val="1"/>
          <w:color w:val="auto"/>
        </w:rPr>
        <w:t>March 31,</w:t>
      </w:r>
    </w:p>
    <w:tbl>
      <w:tblPr>
        <w:tblLayout w:type="fixed"/>
        <w:tblInd w:w="68" w:type="dxa"/>
        <w:tblCellMar>
          <w:top w:w="0" w:type="dxa"/>
          <w:left w:w="0" w:type="dxa"/>
          <w:bottom w:w="0" w:type="dxa"/>
          <w:right w:w="0" w:type="dxa"/>
        </w:tblCellMar>
      </w:tblPr>
      <w:tr>
        <w:trPr>
          <w:trHeight w:val="134"/>
        </w:trPr>
        <w:tc>
          <w:tcPr>
            <w:tcW w:w="3720" w:type="dxa"/>
            <w:vAlign w:val="bottom"/>
          </w:tcPr>
          <w:p>
            <w:pPr>
              <w:spacing w:after="0" w:line="135" w:lineRule="exact"/>
              <w:rPr>
                <w:sz w:val="20"/>
                <w:szCs w:val="20"/>
                <w:color w:val="auto"/>
              </w:rPr>
            </w:pPr>
            <w:r>
              <w:rPr>
                <w:rFonts w:ascii="Courier New" w:cs="Courier New" w:eastAsia="Courier New" w:hAnsi="Courier New"/>
                <w:sz w:val="12"/>
                <w:szCs w:val="12"/>
                <w:b w:val="1"/>
                <w:bCs w:val="1"/>
                <w:color w:val="auto"/>
              </w:rPr>
              <w:t>Thousands of Dollars</w:t>
            </w:r>
          </w:p>
        </w:tc>
        <w:tc>
          <w:tcPr>
            <w:tcW w:w="2960" w:type="dxa"/>
            <w:vAlign w:val="bottom"/>
          </w:tcPr>
          <w:p>
            <w:pPr>
              <w:jc w:val="right"/>
              <w:ind w:right="301"/>
              <w:spacing w:after="0" w:line="135" w:lineRule="exact"/>
              <w:rPr>
                <w:sz w:val="20"/>
                <w:szCs w:val="20"/>
                <w:color w:val="auto"/>
              </w:rPr>
            </w:pPr>
            <w:r>
              <w:rPr>
                <w:rFonts w:ascii="Courier New" w:cs="Courier New" w:eastAsia="Courier New" w:hAnsi="Courier New"/>
                <w:sz w:val="12"/>
                <w:szCs w:val="12"/>
                <w:b w:val="1"/>
                <w:bCs w:val="1"/>
                <w:color w:val="auto"/>
              </w:rPr>
              <w:t>2003</w:t>
            </w:r>
          </w:p>
        </w:tc>
        <w:tc>
          <w:tcPr>
            <w:tcW w:w="620" w:type="dxa"/>
            <w:vAlign w:val="bottom"/>
          </w:tcPr>
          <w:p>
            <w:pPr>
              <w:jc w:val="right"/>
              <w:spacing w:after="0" w:line="135" w:lineRule="exact"/>
              <w:rPr>
                <w:sz w:val="20"/>
                <w:szCs w:val="20"/>
                <w:color w:val="auto"/>
              </w:rPr>
            </w:pPr>
            <w:r>
              <w:rPr>
                <w:rFonts w:ascii="Courier New" w:cs="Courier New" w:eastAsia="Courier New" w:hAnsi="Courier New"/>
                <w:sz w:val="12"/>
                <w:szCs w:val="12"/>
                <w:b w:val="1"/>
                <w:bCs w:val="1"/>
                <w:color w:val="auto"/>
              </w:rPr>
              <w:t>2002</w:t>
            </w:r>
          </w:p>
        </w:tc>
      </w:tr>
    </w:tbl>
    <w:p>
      <w:pPr>
        <w:ind w:left="148" w:hanging="148"/>
        <w:spacing w:after="0"/>
        <w:tabs>
          <w:tab w:leader="none" w:pos="148" w:val="left"/>
        </w:tabs>
        <w:numPr>
          <w:ilvl w:val="0"/>
          <w:numId w:val="4"/>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w:t>
      </w:r>
    </w:p>
    <w:p>
      <w:pPr>
        <w:ind w:left="8"/>
        <w:spacing w:after="0"/>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Operating Activities:</w:t>
      </w:r>
    </w:p>
    <w:tbl>
      <w:tblPr>
        <w:tblLayout w:type="fixed"/>
        <w:tblInd w:w="8" w:type="dxa"/>
        <w:tblCellMar>
          <w:top w:w="0" w:type="dxa"/>
          <w:left w:w="0" w:type="dxa"/>
          <w:bottom w:w="0" w:type="dxa"/>
          <w:right w:w="0" w:type="dxa"/>
        </w:tblCellMar>
      </w:tblPr>
      <w:tr>
        <w:trPr>
          <w:trHeight w:val="134"/>
        </w:trPr>
        <w:tc>
          <w:tcPr>
            <w:tcW w:w="5640" w:type="dxa"/>
            <w:vAlign w:val="bottom"/>
          </w:tcPr>
          <w:p>
            <w:pPr>
              <w:ind w:left="140"/>
              <w:spacing w:after="0" w:line="135" w:lineRule="exact"/>
              <w:rPr>
                <w:sz w:val="20"/>
                <w:szCs w:val="20"/>
                <w:color w:val="auto"/>
              </w:rPr>
            </w:pPr>
            <w:r>
              <w:rPr>
                <w:rFonts w:ascii="Courier New" w:cs="Courier New" w:eastAsia="Courier New" w:hAnsi="Courier New"/>
                <w:sz w:val="12"/>
                <w:szCs w:val="12"/>
                <w:color w:val="auto"/>
              </w:rPr>
              <w:t>Net income</w:t>
            </w:r>
          </w:p>
        </w:tc>
        <w:tc>
          <w:tcPr>
            <w:tcW w:w="1100" w:type="dxa"/>
            <w:vAlign w:val="bottom"/>
          </w:tcPr>
          <w:p>
            <w:pPr>
              <w:jc w:val="right"/>
              <w:ind w:right="161"/>
              <w:spacing w:after="0" w:line="135" w:lineRule="exact"/>
              <w:rPr>
                <w:sz w:val="20"/>
                <w:szCs w:val="20"/>
                <w:color w:val="auto"/>
              </w:rPr>
            </w:pPr>
            <w:r>
              <w:rPr>
                <w:rFonts w:ascii="Courier New" w:cs="Courier New" w:eastAsia="Courier New" w:hAnsi="Courier New"/>
                <w:sz w:val="12"/>
                <w:szCs w:val="12"/>
                <w:color w:val="auto"/>
              </w:rPr>
              <w:t>$3,643</w:t>
            </w:r>
          </w:p>
        </w:tc>
        <w:tc>
          <w:tcPr>
            <w:tcW w:w="240" w:type="dxa"/>
            <w:vAlign w:val="bottom"/>
          </w:tcPr>
          <w:p>
            <w:pPr>
              <w:spacing w:after="0"/>
              <w:rPr>
                <w:sz w:val="11"/>
                <w:szCs w:val="11"/>
                <w:color w:val="auto"/>
              </w:rPr>
            </w:pPr>
          </w:p>
        </w:tc>
        <w:tc>
          <w:tcPr>
            <w:tcW w:w="600" w:type="dxa"/>
            <w:vAlign w:val="bottom"/>
          </w:tcPr>
          <w:p>
            <w:pPr>
              <w:jc w:val="right"/>
              <w:ind w:right="21"/>
              <w:spacing w:after="0" w:line="135" w:lineRule="exact"/>
              <w:rPr>
                <w:sz w:val="20"/>
                <w:szCs w:val="20"/>
                <w:color w:val="auto"/>
              </w:rPr>
            </w:pPr>
            <w:r>
              <w:rPr>
                <w:rFonts w:ascii="Courier New" w:cs="Courier New" w:eastAsia="Courier New" w:hAnsi="Courier New"/>
                <w:sz w:val="12"/>
                <w:szCs w:val="12"/>
                <w:color w:val="auto"/>
              </w:rPr>
              <w:t>$1,848</w:t>
            </w:r>
          </w:p>
        </w:tc>
      </w:tr>
      <w:tr>
        <w:trPr>
          <w:trHeight w:val="135"/>
        </w:trPr>
        <w:tc>
          <w:tcPr>
            <w:tcW w:w="5640" w:type="dxa"/>
            <w:vAlign w:val="bottom"/>
          </w:tcPr>
          <w:p>
            <w:pPr>
              <w:ind w:left="140"/>
              <w:spacing w:after="0"/>
              <w:rPr>
                <w:sz w:val="20"/>
                <w:szCs w:val="20"/>
                <w:color w:val="auto"/>
              </w:rPr>
            </w:pPr>
            <w:r>
              <w:rPr>
                <w:rFonts w:ascii="Courier New" w:cs="Courier New" w:eastAsia="Courier New" w:hAnsi="Courier New"/>
                <w:sz w:val="12"/>
                <w:szCs w:val="12"/>
                <w:color w:val="auto"/>
              </w:rPr>
              <w:t>Adjustments to reconcile net income to net cash provided (used) by operating</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activities:</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Depreciation and amortization</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3,079</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2,796</w:t>
            </w: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Minority interest in consolidated subsidiary</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534</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668</w:t>
            </w: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Restructuring costs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w:t>
            </w: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Changes in operating assets and liabilities:</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Accounts receivable</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(9,416)</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(5,996)</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Inventories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(1,833)</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1,578</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Other current assets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(398)</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(558)</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Other assets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(1,477)</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Accounts payable</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403</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(1,371)</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Income taxes payable</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3,014</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1,421</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Other liabilities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(361)</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600</w:t>
            </w:r>
          </w:p>
        </w:tc>
      </w:tr>
      <w:tr>
        <w:trPr>
          <w:trHeight w:val="135"/>
        </w:trPr>
        <w:tc>
          <w:tcPr>
            <w:tcW w:w="5640" w:type="dxa"/>
            <w:vAlign w:val="bottom"/>
          </w:tcPr>
          <w:p>
            <w:pPr>
              <w:spacing w:after="0"/>
              <w:rPr>
                <w:sz w:val="11"/>
                <w:szCs w:val="11"/>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5640" w:type="dxa"/>
            <w:vAlign w:val="bottom"/>
          </w:tcPr>
          <w:p>
            <w:pPr>
              <w:ind w:left="620"/>
              <w:spacing w:after="0"/>
              <w:rPr>
                <w:sz w:val="20"/>
                <w:szCs w:val="20"/>
                <w:color w:val="auto"/>
              </w:rPr>
            </w:pPr>
            <w:r>
              <w:rPr>
                <w:rFonts w:ascii="Courier New" w:cs="Courier New" w:eastAsia="Courier New" w:hAnsi="Courier New"/>
                <w:sz w:val="12"/>
                <w:szCs w:val="12"/>
                <w:color w:val="auto"/>
              </w:rPr>
              <w:t>Net cash provided (used) by operating activities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(2,812)</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1,066</w:t>
            </w:r>
          </w:p>
        </w:tc>
      </w:tr>
      <w:tr>
        <w:trPr>
          <w:trHeight w:val="135"/>
        </w:trPr>
        <w:tc>
          <w:tcPr>
            <w:tcW w:w="5640" w:type="dxa"/>
            <w:vAlign w:val="bottom"/>
          </w:tcPr>
          <w:p>
            <w:pPr>
              <w:spacing w:after="0"/>
              <w:rPr>
                <w:sz w:val="11"/>
                <w:szCs w:val="11"/>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w:t>
            </w:r>
          </w:p>
        </w:tc>
      </w:tr>
      <w:tr>
        <w:trPr>
          <w:trHeight w:val="270"/>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Investing Activities:</w:t>
            </w: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Acquisition of property, plant, and equipment</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(2,071)</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(849)</w:t>
            </w:r>
          </w:p>
        </w:tc>
      </w:tr>
      <w:tr>
        <w:trPr>
          <w:trHeight w:val="135"/>
        </w:trPr>
        <w:tc>
          <w:tcPr>
            <w:tcW w:w="5640" w:type="dxa"/>
            <w:vAlign w:val="bottom"/>
          </w:tcPr>
          <w:p>
            <w:pPr>
              <w:spacing w:after="0"/>
              <w:rPr>
                <w:sz w:val="11"/>
                <w:szCs w:val="11"/>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5640" w:type="dxa"/>
            <w:vAlign w:val="bottom"/>
          </w:tcPr>
          <w:p>
            <w:pPr>
              <w:ind w:left="620"/>
              <w:spacing w:after="0"/>
              <w:rPr>
                <w:sz w:val="20"/>
                <w:szCs w:val="20"/>
                <w:color w:val="auto"/>
              </w:rPr>
            </w:pPr>
            <w:r>
              <w:rPr>
                <w:rFonts w:ascii="Courier New" w:cs="Courier New" w:eastAsia="Courier New" w:hAnsi="Courier New"/>
                <w:sz w:val="12"/>
                <w:szCs w:val="12"/>
                <w:color w:val="auto"/>
              </w:rPr>
              <w:t>Net cash used by investing activities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(2,071)</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(849)</w:t>
            </w:r>
          </w:p>
        </w:tc>
      </w:tr>
      <w:tr>
        <w:trPr>
          <w:trHeight w:val="135"/>
        </w:trPr>
        <w:tc>
          <w:tcPr>
            <w:tcW w:w="5640" w:type="dxa"/>
            <w:vAlign w:val="bottom"/>
          </w:tcPr>
          <w:p>
            <w:pPr>
              <w:spacing w:after="0"/>
              <w:rPr>
                <w:sz w:val="11"/>
                <w:szCs w:val="11"/>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w:t>
            </w:r>
          </w:p>
        </w:tc>
      </w:tr>
      <w:tr>
        <w:trPr>
          <w:trHeight w:val="270"/>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Financing Activities:</w:t>
            </w: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Proceeds from long-term debt</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1,710</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Bank overdraft</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2,775</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495</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Repayment of long-term debt</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(83)</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(2,132)</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Proceeds from issuance of stock</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79</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148</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Dividends paid</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(1,227)</w:t>
            </w:r>
          </w:p>
        </w:tc>
      </w:tr>
      <w:tr>
        <w:trPr>
          <w:trHeight w:val="135"/>
        </w:trPr>
        <w:tc>
          <w:tcPr>
            <w:tcW w:w="5640" w:type="dxa"/>
            <w:vAlign w:val="bottom"/>
          </w:tcPr>
          <w:p>
            <w:pPr>
              <w:spacing w:after="0"/>
              <w:rPr>
                <w:sz w:val="11"/>
                <w:szCs w:val="11"/>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5640" w:type="dxa"/>
            <w:vAlign w:val="bottom"/>
          </w:tcPr>
          <w:p>
            <w:pPr>
              <w:ind w:left="620"/>
              <w:spacing w:after="0"/>
              <w:rPr>
                <w:sz w:val="20"/>
                <w:szCs w:val="20"/>
                <w:color w:val="auto"/>
              </w:rPr>
            </w:pPr>
            <w:r>
              <w:rPr>
                <w:rFonts w:ascii="Courier New" w:cs="Courier New" w:eastAsia="Courier New" w:hAnsi="Courier New"/>
                <w:sz w:val="12"/>
                <w:szCs w:val="12"/>
                <w:color w:val="auto"/>
              </w:rPr>
              <w:t>Net cash provided (used) by financing activities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2,771</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(1,006)</w:t>
            </w:r>
          </w:p>
        </w:tc>
      </w:tr>
      <w:tr>
        <w:trPr>
          <w:trHeight w:val="135"/>
        </w:trPr>
        <w:tc>
          <w:tcPr>
            <w:tcW w:w="5640" w:type="dxa"/>
            <w:vAlign w:val="bottom"/>
          </w:tcPr>
          <w:p>
            <w:pPr>
              <w:spacing w:after="0"/>
              <w:rPr>
                <w:sz w:val="11"/>
                <w:szCs w:val="11"/>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5640" w:type="dxa"/>
            <w:vAlign w:val="bottom"/>
          </w:tcPr>
          <w:p>
            <w:pPr>
              <w:spacing w:after="0"/>
              <w:rPr>
                <w:sz w:val="20"/>
                <w:szCs w:val="20"/>
                <w:color w:val="auto"/>
              </w:rPr>
            </w:pPr>
            <w:r>
              <w:rPr>
                <w:rFonts w:ascii="Courier New" w:cs="Courier New" w:eastAsia="Courier New" w:hAnsi="Courier New"/>
                <w:sz w:val="12"/>
                <w:szCs w:val="12"/>
                <w:color w:val="auto"/>
              </w:rPr>
              <w:t>Effect of exchange rate changes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196</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(31)</w:t>
            </w:r>
          </w:p>
        </w:tc>
      </w:tr>
      <w:tr>
        <w:trPr>
          <w:trHeight w:val="270"/>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Net Change in Cash and Cash Equivalents</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(1,916)</w:t>
            </w:r>
          </w:p>
        </w:tc>
        <w:tc>
          <w:tcPr>
            <w:tcW w:w="24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(820)</w:t>
            </w:r>
          </w:p>
        </w:tc>
      </w:tr>
      <w:tr>
        <w:trPr>
          <w:trHeight w:val="135"/>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Cash and Cash Equivalents at Beginning of Period</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5,144</w:t>
            </w:r>
          </w:p>
        </w:tc>
        <w:tc>
          <w:tcPr>
            <w:tcW w:w="24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3,024</w:t>
            </w:r>
          </w:p>
        </w:tc>
      </w:tr>
      <w:tr>
        <w:trPr>
          <w:trHeight w:val="135"/>
        </w:trPr>
        <w:tc>
          <w:tcPr>
            <w:tcW w:w="5640" w:type="dxa"/>
            <w:vAlign w:val="bottom"/>
          </w:tcPr>
          <w:p>
            <w:pPr>
              <w:spacing w:after="0"/>
              <w:rPr>
                <w:sz w:val="11"/>
                <w:szCs w:val="11"/>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Cash and Cash Equivalents at End of Period</w:t>
            </w:r>
          </w:p>
        </w:tc>
        <w:tc>
          <w:tcPr>
            <w:tcW w:w="11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$3,228</w:t>
            </w:r>
          </w:p>
        </w:tc>
        <w:tc>
          <w:tcPr>
            <w:tcW w:w="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2,204</w:t>
            </w:r>
          </w:p>
        </w:tc>
      </w:tr>
      <w:tr>
        <w:trPr>
          <w:trHeight w:val="135"/>
        </w:trPr>
        <w:tc>
          <w:tcPr>
            <w:tcW w:w="5640" w:type="dxa"/>
            <w:vAlign w:val="bottom"/>
          </w:tcPr>
          <w:p>
            <w:pPr>
              <w:spacing w:after="0"/>
              <w:rPr>
                <w:sz w:val="11"/>
                <w:szCs w:val="11"/>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13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b w:val="1"/>
          <w:bCs w:val="1"/>
          <w:color w:val="auto"/>
        </w:rPr>
        <w:t>NN, Inc.</w:t>
      </w:r>
    </w:p>
    <w:p>
      <w:pPr>
        <w:jc w:val="center"/>
        <w:ind w:right="4611"/>
        <w:spacing w:after="0"/>
        <w:rPr>
          <w:sz w:val="20"/>
          <w:szCs w:val="20"/>
          <w:color w:val="auto"/>
        </w:rPr>
      </w:pPr>
      <w:r>
        <w:rPr>
          <w:rFonts w:ascii="Courier New" w:cs="Courier New" w:eastAsia="Courier New" w:hAnsi="Courier New"/>
          <w:sz w:val="12"/>
          <w:szCs w:val="12"/>
          <w:b w:val="1"/>
          <w:bCs w:val="1"/>
          <w:color w:val="auto"/>
        </w:rPr>
        <w:t>Notes To Consolidated Financial Statements</w:t>
      </w:r>
    </w:p>
    <w:p>
      <w:pPr>
        <w:spacing w:after="0" w:line="269"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b w:val="1"/>
          <w:bCs w:val="1"/>
          <w:color w:val="auto"/>
        </w:rPr>
        <w:t>Note 1.</w:t>
      </w:r>
      <w:r>
        <w:rPr>
          <w:sz w:val="20"/>
          <w:szCs w:val="20"/>
          <w:color w:val="auto"/>
        </w:rPr>
        <w:tab/>
      </w:r>
      <w:r>
        <w:rPr>
          <w:rFonts w:ascii="Courier New" w:cs="Courier New" w:eastAsia="Courier New" w:hAnsi="Courier New"/>
          <w:sz w:val="11"/>
          <w:szCs w:val="11"/>
          <w:b w:val="1"/>
          <w:bCs w:val="1"/>
          <w:color w:val="auto"/>
        </w:rPr>
        <w:t>Interim Financial Statements</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The accompanying consolidated financial statements of NN, Inc. (the "Company") have not been audited by independent accountants, except that the balance sheet at December 31, 2002 is derived from the Company's audited financial statements. In the opinion of the Company's management, the financial statements reflect all adjustments necessary to present fairly the results of operations for the three month periods ended March 31, 2003 and 2002, the Company's financial position at March 31, 2003 and December 31, 2002, and the cash flows for the three month periods ended March 31, 2003 and 2002. These adjustments are of a normal recurring nature and are, in the opinion of management, necessary for fair presentation of the financial position and operating results for the interim periods.</w:t>
      </w:r>
    </w:p>
    <w:p>
      <w:pPr>
        <w:spacing w:after="0" w:line="145" w:lineRule="exact"/>
        <w:rPr>
          <w:sz w:val="20"/>
          <w:szCs w:val="20"/>
          <w:color w:val="auto"/>
        </w:rPr>
      </w:pPr>
    </w:p>
    <w:p>
      <w:pPr>
        <w:ind w:left="8" w:right="4699"/>
        <w:spacing w:after="0" w:line="236" w:lineRule="auto"/>
        <w:rPr>
          <w:sz w:val="20"/>
          <w:szCs w:val="20"/>
          <w:color w:val="auto"/>
        </w:rPr>
      </w:pPr>
      <w:r>
        <w:rPr>
          <w:rFonts w:ascii="Courier New" w:cs="Courier New" w:eastAsia="Courier New" w:hAnsi="Courier New"/>
          <w:sz w:val="12"/>
          <w:szCs w:val="12"/>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w:t>
      </w:r>
    </w:p>
    <w:p>
      <w:pPr>
        <w:spacing w:after="0" w:line="141" w:lineRule="exact"/>
        <w:rPr>
          <w:sz w:val="20"/>
          <w:szCs w:val="20"/>
          <w:color w:val="auto"/>
        </w:rPr>
      </w:pPr>
    </w:p>
    <w:p>
      <w:pPr>
        <w:ind w:left="8" w:right="4979"/>
        <w:spacing w:after="0" w:line="235" w:lineRule="auto"/>
        <w:rPr>
          <w:sz w:val="20"/>
          <w:szCs w:val="20"/>
          <w:color w:val="auto"/>
        </w:rPr>
      </w:pPr>
      <w:r>
        <w:rPr>
          <w:rFonts w:ascii="Courier New" w:cs="Courier New" w:eastAsia="Courier New" w:hAnsi="Courier New"/>
          <w:sz w:val="12"/>
          <w:szCs w:val="12"/>
          <w:color w:val="auto"/>
        </w:rPr>
        <w:t>The results for the first quarter of 2003 are not necessarily indicative of future results.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Certain 2002 amounts have been reclassified to conform with the 2003</w:t>
      </w:r>
    </w:p>
    <w:p>
      <w:pPr>
        <w:sectPr>
          <w:pgSz w:w="11900" w:h="16838" w:orient="portrait"/>
          <w:cols w:equalWidth="0" w:num="1">
            <w:col w:w="10247"/>
          </w:cols>
          <w:pgMar w:left="212" w:top="13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2"/>
          <w:szCs w:val="12"/>
          <w:color w:val="auto"/>
        </w:rPr>
        <w:t>presentation.</w:t>
      </w:r>
    </w:p>
    <w:p>
      <w:pPr>
        <w:spacing w:after="0" w:line="13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2.</w:t>
      </w:r>
      <w:r>
        <w:rPr>
          <w:sz w:val="20"/>
          <w:szCs w:val="20"/>
          <w:color w:val="auto"/>
        </w:rPr>
        <w:tab/>
      </w:r>
      <w:r>
        <w:rPr>
          <w:rFonts w:ascii="Courier New" w:cs="Courier New" w:eastAsia="Courier New" w:hAnsi="Courier New"/>
          <w:sz w:val="11"/>
          <w:szCs w:val="11"/>
          <w:b w:val="1"/>
          <w:bCs w:val="1"/>
          <w:color w:val="auto"/>
        </w:rPr>
        <w:t>Derivative Financial Instruments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43"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connection with a variable Euribor rate debt financing in July 2000, the Company's subsidiary, NN Euroball ApS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of March 31, 2003, the fair value of the swap was a loss of approximately</w:t>
      </w:r>
    </w:p>
    <w:p>
      <w:pPr>
        <w:spacing w:after="0" w:line="4" w:lineRule="exact"/>
        <w:rPr>
          <w:sz w:val="20"/>
          <w:szCs w:val="20"/>
          <w:color w:val="auto"/>
        </w:rPr>
      </w:pPr>
    </w:p>
    <w:p>
      <w:pPr>
        <w:jc w:val="both"/>
        <w:ind w:right="4619"/>
        <w:spacing w:after="0" w:line="236" w:lineRule="auto"/>
        <w:rPr>
          <w:sz w:val="20"/>
          <w:szCs w:val="20"/>
          <w:color w:val="auto"/>
        </w:rPr>
      </w:pPr>
      <w:r>
        <w:rPr>
          <w:rFonts w:ascii="Courier New" w:cs="Courier New" w:eastAsia="Courier New" w:hAnsi="Courier New"/>
          <w:sz w:val="12"/>
          <w:szCs w:val="12"/>
          <w:color w:val="auto"/>
        </w:rPr>
        <w:t>$539,000, which is recorded in other non-current liabilities. The change in fair value during the three month period ended March 31, 2003 and 2002 was a loss of approximately $104,000 and a gain of approximately $56,000, respectively, which have been included as a component of other income.</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3.</w:t>
      </w:r>
      <w:r>
        <w:rPr>
          <w:sz w:val="20"/>
          <w:szCs w:val="20"/>
          <w:color w:val="auto"/>
        </w:rPr>
        <w:tab/>
      </w:r>
      <w:r>
        <w:rPr>
          <w:rFonts w:ascii="Courier New" w:cs="Courier New" w:eastAsia="Courier New" w:hAnsi="Courier New"/>
          <w:sz w:val="11"/>
          <w:szCs w:val="11"/>
          <w:b w:val="1"/>
          <w:bCs w:val="1"/>
          <w:color w:val="auto"/>
        </w:rPr>
        <w:t>Inventories</w:t>
      </w:r>
    </w:p>
    <w:p>
      <w:pPr>
        <w:spacing w:after="0" w:line="139"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Inventories are stated at the lower of cost or market. Cost is being determined using the first-in, first-out method.</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Inventories are comprised of the following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2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March 31,</w:t>
            </w:r>
          </w:p>
        </w:tc>
        <w:tc>
          <w:tcPr>
            <w:tcW w:w="440" w:type="dxa"/>
            <w:vAlign w:val="bottom"/>
          </w:tcPr>
          <w:p>
            <w:pPr>
              <w:spacing w:after="0"/>
              <w:rPr>
                <w:sz w:val="11"/>
                <w:szCs w:val="11"/>
                <w:color w:val="auto"/>
              </w:rPr>
            </w:pP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b w:val="1"/>
                <w:bCs w:val="1"/>
                <w:color w:val="auto"/>
                <w:w w:val="97"/>
              </w:rPr>
              <w:t>Dec. 31,</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ind w:right="201"/>
              <w:spacing w:after="0"/>
              <w:rPr>
                <w:sz w:val="20"/>
                <w:szCs w:val="20"/>
                <w:color w:val="auto"/>
              </w:rPr>
            </w:pPr>
            <w:r>
              <w:rPr>
                <w:rFonts w:ascii="Courier New" w:cs="Courier New" w:eastAsia="Courier New" w:hAnsi="Courier New"/>
                <w:sz w:val="12"/>
                <w:szCs w:val="12"/>
                <w:b w:val="1"/>
                <w:bCs w:val="1"/>
                <w:color w:val="auto"/>
                <w:w w:val="90"/>
              </w:rPr>
              <w:t>2003</w:t>
            </w:r>
          </w:p>
        </w:tc>
        <w:tc>
          <w:tcPr>
            <w:tcW w:w="440" w:type="dxa"/>
            <w:vAlign w:val="bottom"/>
          </w:tcPr>
          <w:p>
            <w:pPr>
              <w:spacing w:after="0"/>
              <w:rPr>
                <w:sz w:val="11"/>
                <w:szCs w:val="11"/>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2002</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(Unaudited)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w w:val="96"/>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5,864</w:t>
            </w:r>
          </w:p>
        </w:tc>
        <w:tc>
          <w:tcPr>
            <w:tcW w:w="44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$ 5,400</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420" w:type="dxa"/>
            <w:vAlign w:val="bottom"/>
          </w:tcPr>
          <w:p>
            <w:pPr>
              <w:spacing w:after="0"/>
              <w:rPr>
                <w:sz w:val="11"/>
                <w:szCs w:val="11"/>
                <w:color w:val="auto"/>
              </w:rPr>
            </w:pPr>
          </w:p>
        </w:tc>
        <w:tc>
          <w:tcPr>
            <w:tcW w:w="5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5,522</w:t>
            </w:r>
          </w:p>
        </w:tc>
        <w:tc>
          <w:tcPr>
            <w:tcW w:w="44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5,139</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420" w:type="dxa"/>
            <w:vAlign w:val="bottom"/>
          </w:tcPr>
          <w:p>
            <w:pPr>
              <w:spacing w:after="0"/>
              <w:rPr>
                <w:sz w:val="11"/>
                <w:szCs w:val="11"/>
                <w:color w:val="auto"/>
              </w:rPr>
            </w:pPr>
          </w:p>
        </w:tc>
        <w:tc>
          <w:tcPr>
            <w:tcW w:w="54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2"/>
              </w:rPr>
              <w:t>14,468</w:t>
            </w:r>
          </w:p>
        </w:tc>
        <w:tc>
          <w:tcPr>
            <w:tcW w:w="44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13,065</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Less inventory reserves</w:t>
            </w:r>
          </w:p>
        </w:tc>
        <w:tc>
          <w:tcPr>
            <w:tcW w:w="420" w:type="dxa"/>
            <w:vAlign w:val="bottom"/>
          </w:tcPr>
          <w:p>
            <w:pPr>
              <w:spacing w:after="0"/>
              <w:rPr>
                <w:sz w:val="11"/>
                <w:szCs w:val="11"/>
                <w:color w:val="auto"/>
              </w:rPr>
            </w:pPr>
          </w:p>
        </w:tc>
        <w:tc>
          <w:tcPr>
            <w:tcW w:w="5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(260)</w:t>
            </w:r>
          </w:p>
        </w:tc>
        <w:tc>
          <w:tcPr>
            <w:tcW w:w="44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(202)</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6"/>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2"/>
              </w:rPr>
              <w:t>25,594</w:t>
            </w:r>
          </w:p>
        </w:tc>
        <w:tc>
          <w:tcPr>
            <w:tcW w:w="44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$23,402</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6"/>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70"/>
        </w:trPr>
        <w:tc>
          <w:tcPr>
            <w:tcW w:w="5400" w:type="dxa"/>
            <w:vAlign w:val="bottom"/>
            <w:gridSpan w:val="5"/>
          </w:tcPr>
          <w:p>
            <w:pPr>
              <w:spacing w:after="0"/>
              <w:rPr>
                <w:sz w:val="20"/>
                <w:szCs w:val="20"/>
                <w:color w:val="auto"/>
              </w:rPr>
            </w:pPr>
            <w:r>
              <w:rPr>
                <w:rFonts w:ascii="Courier New" w:cs="Courier New" w:eastAsia="Courier New" w:hAnsi="Courier New"/>
                <w:sz w:val="12"/>
                <w:szCs w:val="12"/>
                <w:color w:val="auto"/>
              </w:rPr>
              <w:t>Inventories on consignment at customer locations as of March 31, 2003 and</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135"/>
        </w:trPr>
        <w:tc>
          <w:tcPr>
            <w:tcW w:w="4180" w:type="dxa"/>
            <w:vAlign w:val="bottom"/>
            <w:gridSpan w:val="3"/>
          </w:tcPr>
          <w:p>
            <w:pPr>
              <w:spacing w:after="0"/>
              <w:rPr>
                <w:sz w:val="20"/>
                <w:szCs w:val="20"/>
                <w:color w:val="auto"/>
              </w:rPr>
            </w:pPr>
            <w:r>
              <w:rPr>
                <w:rFonts w:ascii="Courier New" w:cs="Courier New" w:eastAsia="Courier New" w:hAnsi="Courier New"/>
                <w:sz w:val="12"/>
                <w:szCs w:val="12"/>
                <w:color w:val="auto"/>
              </w:rPr>
              <w:t>December 31, 2002 were $2,458 and $3,093, respectively.</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b w:val="1"/>
                <w:bCs w:val="1"/>
                <w:color w:val="auto"/>
              </w:rPr>
              <w:t>Note 4.  Net Income Per Share</w:t>
            </w: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405"/>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3"/>
          </w:tcPr>
          <w:p>
            <w:pPr>
              <w:ind w:left="380"/>
              <w:spacing w:after="0"/>
              <w:rPr>
                <w:sz w:val="20"/>
                <w:szCs w:val="20"/>
                <w:color w:val="auto"/>
              </w:rPr>
            </w:pPr>
            <w:r>
              <w:rPr>
                <w:rFonts w:ascii="Courier New" w:cs="Courier New" w:eastAsia="Courier New" w:hAnsi="Courier New"/>
                <w:sz w:val="12"/>
                <w:szCs w:val="12"/>
                <w:b w:val="1"/>
                <w:bCs w:val="1"/>
                <w:color w:val="auto"/>
              </w:rPr>
              <w:t>Three Months Ended</w:t>
            </w:r>
          </w:p>
        </w:tc>
        <w:tc>
          <w:tcPr>
            <w:tcW w:w="480" w:type="dxa"/>
            <w:vAlign w:val="bottom"/>
          </w:tcPr>
          <w:p>
            <w:pPr>
              <w:spacing w:after="0"/>
              <w:rPr>
                <w:sz w:val="24"/>
                <w:szCs w:val="24"/>
                <w:color w:val="auto"/>
              </w:rPr>
            </w:pPr>
          </w:p>
        </w:tc>
      </w:tr>
      <w:tr>
        <w:trPr>
          <w:trHeight w:val="135"/>
        </w:trPr>
        <w:tc>
          <w:tcPr>
            <w:tcW w:w="4180" w:type="dxa"/>
            <w:vAlign w:val="bottom"/>
            <w:gridSpan w:val="3"/>
          </w:tcPr>
          <w:p>
            <w:pPr>
              <w:spacing w:after="0"/>
              <w:rPr>
                <w:sz w:val="20"/>
                <w:szCs w:val="20"/>
                <w:color w:val="auto"/>
              </w:rPr>
            </w:pPr>
            <w:r>
              <w:rPr>
                <w:rFonts w:ascii="Courier New" w:cs="Courier New" w:eastAsia="Courier New" w:hAnsi="Courier New"/>
                <w:sz w:val="12"/>
                <w:szCs w:val="12"/>
                <w:b w:val="1"/>
                <w:bCs w:val="1"/>
                <w:color w:val="auto"/>
              </w:rPr>
              <w:t>Thousands of Dollars, Except Share and Per Share Data</w:t>
            </w:r>
          </w:p>
        </w:tc>
        <w:tc>
          <w:tcPr>
            <w:tcW w:w="440" w:type="dxa"/>
            <w:vAlign w:val="bottom"/>
          </w:tcPr>
          <w:p>
            <w:pPr>
              <w:spacing w:after="0"/>
              <w:rPr>
                <w:sz w:val="11"/>
                <w:szCs w:val="11"/>
                <w:color w:val="auto"/>
              </w:rPr>
            </w:pP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2"/>
                <w:szCs w:val="12"/>
                <w:b w:val="1"/>
                <w:bCs w:val="1"/>
                <w:color w:val="auto"/>
              </w:rPr>
              <w:t>March 31,</w:t>
            </w:r>
          </w:p>
        </w:tc>
        <w:tc>
          <w:tcPr>
            <w:tcW w:w="480" w:type="dxa"/>
            <w:vAlign w:val="bottom"/>
          </w:tcPr>
          <w:p>
            <w:pPr>
              <w:spacing w:after="0"/>
              <w:rPr>
                <w:sz w:val="11"/>
                <w:szCs w:val="11"/>
                <w:color w:val="auto"/>
              </w:rPr>
            </w:pPr>
          </w:p>
        </w:tc>
      </w:tr>
      <w:tr>
        <w:trPr>
          <w:trHeight w:val="135"/>
        </w:trPr>
        <w:tc>
          <w:tcPr>
            <w:tcW w:w="364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w w:val="91"/>
              </w:rPr>
              <w:t>- -----------------------------------------------------</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2003</w:t>
            </w:r>
          </w:p>
        </w:tc>
        <w:tc>
          <w:tcPr>
            <w:tcW w:w="500" w:type="dxa"/>
            <w:vAlign w:val="bottom"/>
          </w:tcPr>
          <w:p>
            <w:pPr>
              <w:spacing w:after="0"/>
              <w:rPr>
                <w:sz w:val="11"/>
                <w:szCs w:val="11"/>
                <w:color w:val="auto"/>
              </w:rPr>
            </w:pPr>
          </w:p>
        </w:tc>
        <w:tc>
          <w:tcPr>
            <w:tcW w:w="48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0"/>
              </w:rPr>
              <w:t>2002</w:t>
            </w:r>
          </w:p>
        </w:tc>
      </w:tr>
      <w:tr>
        <w:trPr>
          <w:trHeight w:val="135"/>
        </w:trPr>
        <w:tc>
          <w:tcPr>
            <w:tcW w:w="3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$ 3,643</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$ 1,848</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Adjustments to net income</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220" w:type="dxa"/>
            <w:vAlign w:val="bottom"/>
          </w:tcPr>
          <w:p>
            <w:pPr>
              <w:ind w:left="200"/>
              <w:spacing w:after="0"/>
              <w:rPr>
                <w:sz w:val="20"/>
                <w:szCs w:val="20"/>
                <w:color w:val="auto"/>
              </w:rPr>
            </w:pPr>
            <w:r>
              <w:rPr>
                <w:rFonts w:ascii="Courier New" w:cs="Courier New" w:eastAsia="Courier New" w:hAnsi="Courier New"/>
                <w:sz w:val="12"/>
                <w:szCs w:val="12"/>
                <w:color w:val="auto"/>
              </w:rPr>
              <w:t>Net income</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$ 3,643</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$ 1,848</w:t>
            </w:r>
          </w:p>
        </w:tc>
      </w:tr>
      <w:tr>
        <w:trPr>
          <w:trHeight w:val="135"/>
        </w:trPr>
        <w:tc>
          <w:tcPr>
            <w:tcW w:w="3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2"/>
                <w:szCs w:val="12"/>
                <w:color w:val="auto"/>
              </w:rPr>
              <w:t>Weighted average basic shares</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15,378,313</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15,340,806</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Effect of dilutive stock options</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195,881</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393,904</w:t>
            </w:r>
          </w:p>
        </w:tc>
      </w:tr>
      <w:tr>
        <w:trPr>
          <w:trHeight w:val="135"/>
        </w:trPr>
        <w:tc>
          <w:tcPr>
            <w:tcW w:w="3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Weighted average dilutive shares outstanding</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15,574,194</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15,734,710</w:t>
            </w:r>
          </w:p>
        </w:tc>
      </w:tr>
      <w:tr>
        <w:trPr>
          <w:trHeight w:val="135"/>
        </w:trPr>
        <w:tc>
          <w:tcPr>
            <w:tcW w:w="3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Basic net income per share</w:t>
            </w: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ind w:left="3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0.24</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rPr>
              <w:t>0.12</w:t>
            </w:r>
          </w:p>
        </w:tc>
      </w:tr>
      <w:tr>
        <w:trPr>
          <w:trHeight w:val="135"/>
        </w:trPr>
        <w:tc>
          <w:tcPr>
            <w:tcW w:w="3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Diluted net income per share</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ind w:left="3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0.23</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rPr>
              <w:t>0.12</w:t>
            </w:r>
          </w:p>
        </w:tc>
      </w:tr>
      <w:tr>
        <w:trPr>
          <w:trHeight w:val="135"/>
        </w:trPr>
        <w:tc>
          <w:tcPr>
            <w:tcW w:w="3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r>
    </w:tbl>
    <w:p>
      <w:pPr>
        <w:spacing w:after="0" w:line="139" w:lineRule="exact"/>
        <w:rPr>
          <w:sz w:val="20"/>
          <w:szCs w:val="20"/>
          <w:color w:val="auto"/>
        </w:rPr>
      </w:pPr>
    </w:p>
    <w:p>
      <w:pPr>
        <w:jc w:val="both"/>
        <w:ind w:right="4759"/>
        <w:spacing w:after="0" w:line="266" w:lineRule="auto"/>
        <w:rPr>
          <w:sz w:val="20"/>
          <w:szCs w:val="20"/>
          <w:color w:val="auto"/>
        </w:rPr>
      </w:pPr>
      <w:r>
        <w:rPr>
          <w:rFonts w:ascii="Courier New" w:cs="Courier New" w:eastAsia="Courier New" w:hAnsi="Courier New"/>
          <w:sz w:val="11"/>
          <w:szCs w:val="11"/>
          <w:color w:val="auto"/>
        </w:rPr>
        <w:t>Excluded from the shares outstanding for each of the three month periods ended March 31, 2003 and 2002 were 39,800 and 0 antidilutive options, respectively, which had exercise prices ranging from $9.75 to $10.26 as of March 31, 2003.</w:t>
      </w:r>
    </w:p>
    <w:p>
      <w:pPr>
        <w:spacing w:after="0" w:line="12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5.</w:t>
      </w:r>
      <w:r>
        <w:rPr>
          <w:sz w:val="20"/>
          <w:szCs w:val="20"/>
          <w:color w:val="auto"/>
        </w:rPr>
        <w:tab/>
      </w:r>
      <w:r>
        <w:rPr>
          <w:rFonts w:ascii="Courier New" w:cs="Courier New" w:eastAsia="Courier New" w:hAnsi="Courier New"/>
          <w:sz w:val="11"/>
          <w:szCs w:val="11"/>
          <w:b w:val="1"/>
          <w:bCs w:val="1"/>
          <w:color w:val="auto"/>
        </w:rPr>
        <w:t>Segment Information</w:t>
      </w:r>
    </w:p>
    <w:p>
      <w:pPr>
        <w:spacing w:after="0" w:line="139"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During 2003 and 2002, the Company's reportable segments are based on differences in product lines and geographic locations and are divided among Domestic Ball and Roller, European operations ("Euroball") and Plastic and Rubber Components. The Domestic Ball and Roller Segment is comprised of two manufacturing facilities in the eastern United States. The Euroball Segment was acquired in July 2000 and is comprised of manufacturing facilities located in Kilkenny, Ireland, Eltmann, Germany and Pinerolo, Italy. All of the facilities in the Domestic Ball and Roller and Euroball Segment are engaged in the production of precision balls and rollers used primarily in the bearing industry. The Plastic and Rubber Components Segment is comprised of the Industrial Molding Corporation ("IMC") business, located in Lubbock, Texas, which was acquired in July 1999, NN Arte ("Arte") formed in August of 2000, located in Guadalajara, Mexico and The Delta Rubber Company ("Delta") business, located in Danielson, Connecticut, which was acquired in February 2001. IMC and Arte are engaged in the production of plastic injection molded products for the bearing, automotive, instrumentation, fiber optic and consumer hardware markets. Delta is engaged principally in the production of engineered bearing seals used principally in automotive, industrial, agricultural, mining and aerospace applications. The Plastic and Rubber Components Segment's name has been changed from the Plastics Segment effective with this quarterly</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color w:val="auto"/>
        </w:rPr>
        <w:t>report on Form 10-Q. The businesses and methods of calculation comprising this segment have not changed.</w:t>
      </w:r>
    </w:p>
    <w:p>
      <w:pPr>
        <w:spacing w:after="0" w:line="139" w:lineRule="exact"/>
        <w:rPr>
          <w:sz w:val="20"/>
          <w:szCs w:val="20"/>
          <w:color w:val="auto"/>
        </w:rPr>
      </w:pPr>
    </w:p>
    <w:p>
      <w:pPr>
        <w:ind w:right="4759"/>
        <w:spacing w:after="0" w:line="273" w:lineRule="auto"/>
        <w:rPr>
          <w:sz w:val="20"/>
          <w:szCs w:val="20"/>
          <w:color w:val="auto"/>
        </w:rPr>
      </w:pPr>
      <w:r>
        <w:rPr>
          <w:rFonts w:ascii="Courier New" w:cs="Courier New" w:eastAsia="Courier New" w:hAnsi="Courier New"/>
          <w:sz w:val="11"/>
          <w:szCs w:val="11"/>
          <w:color w:val="auto"/>
        </w:rPr>
        <w:t>The accounting policies of each segment are the same as those described in the summary of significant accounting policies in the December 31, 2002 Form 10-K</w:t>
      </w:r>
    </w:p>
    <w:p>
      <w:pPr>
        <w:sectPr>
          <w:pgSz w:w="11900" w:h="16838" w:orient="portrait"/>
          <w:cols w:equalWidth="0" w:num="1">
            <w:col w:w="10239"/>
          </w:cols>
          <w:pgMar w:left="220" w:top="137" w:right="1440" w:bottom="0" w:gutter="0" w:footer="0" w:header="0"/>
        </w:sectPr>
      </w:pPr>
    </w:p>
    <w:bookmarkStart w:id="4" w:name="page5"/>
    <w:bookmarkEnd w:id="4"/>
    <w:p>
      <w:pPr>
        <w:ind w:right="4619"/>
        <w:spacing w:after="0" w:line="237" w:lineRule="auto"/>
        <w:rPr>
          <w:sz w:val="20"/>
          <w:szCs w:val="20"/>
          <w:color w:val="auto"/>
        </w:rPr>
      </w:pPr>
      <w:r>
        <w:rPr>
          <w:rFonts w:ascii="Courier New" w:cs="Courier New" w:eastAsia="Courier New" w:hAnsi="Courier New"/>
          <w:sz w:val="12"/>
          <w:szCs w:val="12"/>
          <w:color w:val="auto"/>
        </w:rPr>
        <w:t>including those policies as discussed in Note 1. The Company evaluates segment performance based on profit or loss from operations before income taxes and minority interest not including nonrecurring gains and losses. The Company accounts for inter-segment sales and transfers at current market prices; however, the Company did not have any material inter-segment transactions during the three month periods ended March 31, 2003 and 2002.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Three Months</w:t>
            </w:r>
          </w:p>
        </w:tc>
        <w:tc>
          <w:tcPr>
            <w:tcW w:w="400" w:type="dxa"/>
            <w:vAlign w:val="bottom"/>
          </w:tcPr>
          <w:p>
            <w:pPr>
              <w:ind w:left="40"/>
              <w:spacing w:after="0"/>
              <w:rPr>
                <w:sz w:val="20"/>
                <w:szCs w:val="20"/>
                <w:color w:val="auto"/>
              </w:rPr>
            </w:pPr>
            <w:r>
              <w:rPr>
                <w:rFonts w:ascii="Courier New" w:cs="Courier New" w:eastAsia="Courier New" w:hAnsi="Courier New"/>
                <w:sz w:val="12"/>
                <w:szCs w:val="12"/>
                <w:b w:val="1"/>
                <w:bCs w:val="1"/>
                <w:color w:val="auto"/>
                <w:w w:val="94"/>
              </w:rPr>
              <w:t>Ended</w:t>
            </w:r>
          </w:p>
        </w:tc>
        <w:tc>
          <w:tcPr>
            <w:tcW w:w="8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March 31,</w:t>
            </w: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0" w:type="dxa"/>
            <w:vAlign w:val="bottom"/>
          </w:tcPr>
          <w:p>
            <w:pPr>
              <w:jc w:val="right"/>
              <w:ind w:right="121"/>
              <w:spacing w:after="0"/>
              <w:rPr>
                <w:sz w:val="20"/>
                <w:szCs w:val="20"/>
                <w:color w:val="auto"/>
              </w:rPr>
            </w:pPr>
            <w:r>
              <w:rPr>
                <w:rFonts w:ascii="Courier New" w:cs="Courier New" w:eastAsia="Courier New" w:hAnsi="Courier New"/>
                <w:sz w:val="12"/>
                <w:szCs w:val="12"/>
                <w:b w:val="1"/>
                <w:bCs w:val="1"/>
                <w:color w:val="auto"/>
              </w:rPr>
              <w:t>2003</w:t>
            </w:r>
          </w:p>
        </w:tc>
        <w:tc>
          <w:tcPr>
            <w:tcW w:w="1120" w:type="dxa"/>
            <w:vAlign w:val="bottom"/>
          </w:tcPr>
          <w:p>
            <w:pPr>
              <w:spacing w:after="0"/>
              <w:rPr>
                <w:sz w:val="11"/>
                <w:szCs w:val="11"/>
                <w:color w:val="auto"/>
              </w:rPr>
            </w:pPr>
          </w:p>
        </w:tc>
        <w:tc>
          <w:tcPr>
            <w:tcW w:w="40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spacing w:after="0"/>
              <w:rPr>
                <w:sz w:val="11"/>
                <w:szCs w:val="11"/>
                <w:color w:val="auto"/>
              </w:rPr>
            </w:pPr>
          </w:p>
        </w:tc>
        <w:tc>
          <w:tcPr>
            <w:tcW w:w="880" w:type="dxa"/>
            <w:vAlign w:val="bottom"/>
          </w:tcPr>
          <w:p>
            <w:pPr>
              <w:jc w:val="right"/>
              <w:ind w:right="261"/>
              <w:spacing w:after="0"/>
              <w:rPr>
                <w:sz w:val="20"/>
                <w:szCs w:val="20"/>
                <w:color w:val="auto"/>
              </w:rPr>
            </w:pPr>
            <w:r>
              <w:rPr>
                <w:rFonts w:ascii="Courier New" w:cs="Courier New" w:eastAsia="Courier New" w:hAnsi="Courier New"/>
                <w:sz w:val="12"/>
                <w:szCs w:val="12"/>
                <w:b w:val="1"/>
                <w:bCs w:val="1"/>
                <w:color w:val="auto"/>
              </w:rPr>
              <w:t>2002</w:t>
            </w:r>
          </w:p>
        </w:tc>
        <w:tc>
          <w:tcPr>
            <w:tcW w:w="940" w:type="dxa"/>
            <w:vAlign w:val="bottom"/>
          </w:tcPr>
          <w:p>
            <w:pPr>
              <w:spacing w:after="0"/>
              <w:rPr>
                <w:sz w:val="11"/>
                <w:szCs w:val="11"/>
                <w:color w:val="auto"/>
              </w:rPr>
            </w:pPr>
          </w:p>
        </w:tc>
      </w:tr>
      <w:tr>
        <w:trPr>
          <w:trHeight w:val="135"/>
        </w:trPr>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2"/>
                <w:szCs w:val="12"/>
                <w:b w:val="1"/>
                <w:bCs w:val="1"/>
                <w:color w:val="auto"/>
              </w:rPr>
              <w:t>Plastic and</w:t>
            </w:r>
          </w:p>
        </w:tc>
        <w:tc>
          <w:tcPr>
            <w:tcW w:w="40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spacing w:after="0"/>
              <w:rPr>
                <w:sz w:val="20"/>
                <w:szCs w:val="20"/>
                <w:color w:val="auto"/>
              </w:rPr>
            </w:pPr>
            <w:r>
              <w:rPr>
                <w:rFonts w:ascii="Courier New" w:cs="Courier New" w:eastAsia="Courier New" w:hAnsi="Courier New"/>
                <w:sz w:val="12"/>
                <w:szCs w:val="12"/>
                <w:b w:val="1"/>
                <w:bCs w:val="1"/>
                <w:color w:val="auto"/>
              </w:rPr>
              <w:t>Domestic</w:t>
            </w:r>
          </w:p>
        </w:tc>
        <w:tc>
          <w:tcPr>
            <w:tcW w:w="8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Plastic and</w:t>
            </w:r>
          </w:p>
        </w:tc>
      </w:tr>
      <w:tr>
        <w:trPr>
          <w:trHeight w:val="135"/>
        </w:trPr>
        <w:tc>
          <w:tcPr>
            <w:tcW w:w="1860" w:type="dxa"/>
            <w:vAlign w:val="bottom"/>
          </w:tcPr>
          <w:p>
            <w:pPr>
              <w:spacing w:after="0"/>
              <w:rPr>
                <w:sz w:val="11"/>
                <w:szCs w:val="11"/>
                <w:color w:val="auto"/>
              </w:rPr>
            </w:pPr>
          </w:p>
        </w:tc>
        <w:tc>
          <w:tcPr>
            <w:tcW w:w="1440" w:type="dxa"/>
            <w:vAlign w:val="bottom"/>
          </w:tcPr>
          <w:p>
            <w:pPr>
              <w:ind w:left="460"/>
              <w:spacing w:after="0"/>
              <w:rPr>
                <w:sz w:val="20"/>
                <w:szCs w:val="20"/>
                <w:color w:val="auto"/>
              </w:rPr>
            </w:pPr>
            <w:r>
              <w:rPr>
                <w:rFonts w:ascii="Courier New" w:cs="Courier New" w:eastAsia="Courier New" w:hAnsi="Courier New"/>
                <w:sz w:val="12"/>
                <w:szCs w:val="12"/>
                <w:b w:val="1"/>
                <w:bCs w:val="1"/>
                <w:color w:val="auto"/>
              </w:rPr>
              <w:t>Domestic Ball</w:t>
            </w:r>
          </w:p>
        </w:tc>
        <w:tc>
          <w:tcPr>
            <w:tcW w:w="800" w:type="dxa"/>
            <w:vAlign w:val="bottom"/>
          </w:tcPr>
          <w:p>
            <w:pPr>
              <w:spacing w:after="0"/>
              <w:rPr>
                <w:sz w:val="11"/>
                <w:szCs w:val="11"/>
                <w:color w:val="auto"/>
              </w:rPr>
            </w:pPr>
          </w:p>
        </w:tc>
        <w:tc>
          <w:tcPr>
            <w:tcW w:w="1120" w:type="dxa"/>
            <w:vAlign w:val="bottom"/>
          </w:tcPr>
          <w:p>
            <w:pPr>
              <w:jc w:val="right"/>
              <w:ind w:right="261"/>
              <w:spacing w:after="0"/>
              <w:rPr>
                <w:sz w:val="20"/>
                <w:szCs w:val="20"/>
                <w:color w:val="auto"/>
              </w:rPr>
            </w:pPr>
            <w:r>
              <w:rPr>
                <w:rFonts w:ascii="Courier New" w:cs="Courier New" w:eastAsia="Courier New" w:hAnsi="Courier New"/>
                <w:sz w:val="12"/>
                <w:szCs w:val="12"/>
                <w:b w:val="1"/>
                <w:bCs w:val="1"/>
                <w:color w:val="auto"/>
              </w:rPr>
              <w:t>Rubber</w:t>
            </w:r>
          </w:p>
        </w:tc>
        <w:tc>
          <w:tcPr>
            <w:tcW w:w="40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Ball &amp;</w:t>
            </w:r>
          </w:p>
        </w:tc>
        <w:tc>
          <w:tcPr>
            <w:tcW w:w="880" w:type="dxa"/>
            <w:vAlign w:val="bottom"/>
          </w:tcPr>
          <w:p>
            <w:pPr>
              <w:spacing w:after="0"/>
              <w:rPr>
                <w:sz w:val="11"/>
                <w:szCs w:val="11"/>
                <w:color w:val="auto"/>
              </w:rPr>
            </w:pPr>
          </w:p>
        </w:tc>
        <w:tc>
          <w:tcPr>
            <w:tcW w:w="940" w:type="dxa"/>
            <w:vAlign w:val="bottom"/>
          </w:tcPr>
          <w:p>
            <w:pPr>
              <w:jc w:val="right"/>
              <w:ind w:right="81"/>
              <w:spacing w:after="0"/>
              <w:rPr>
                <w:sz w:val="20"/>
                <w:szCs w:val="20"/>
                <w:color w:val="auto"/>
              </w:rPr>
            </w:pPr>
            <w:r>
              <w:rPr>
                <w:rFonts w:ascii="Courier New" w:cs="Courier New" w:eastAsia="Courier New" w:hAnsi="Courier New"/>
                <w:sz w:val="12"/>
                <w:szCs w:val="12"/>
                <w:b w:val="1"/>
                <w:bCs w:val="1"/>
                <w:color w:val="auto"/>
              </w:rPr>
              <w:t>Rubber</w:t>
            </w:r>
          </w:p>
        </w:tc>
      </w:tr>
      <w:tr>
        <w:trPr>
          <w:trHeight w:val="135"/>
        </w:trPr>
        <w:tc>
          <w:tcPr>
            <w:tcW w:w="186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w:t>
            </w:r>
          </w:p>
        </w:tc>
        <w:tc>
          <w:tcPr>
            <w:tcW w:w="1440" w:type="dxa"/>
            <w:vAlign w:val="bottom"/>
          </w:tcPr>
          <w:p>
            <w:pPr>
              <w:ind w:left="520"/>
              <w:spacing w:after="0"/>
              <w:rPr>
                <w:sz w:val="20"/>
                <w:szCs w:val="20"/>
                <w:color w:val="auto"/>
              </w:rPr>
            </w:pPr>
            <w:r>
              <w:rPr>
                <w:rFonts w:ascii="Courier New" w:cs="Courier New" w:eastAsia="Courier New" w:hAnsi="Courier New"/>
                <w:sz w:val="12"/>
                <w:szCs w:val="12"/>
                <w:b w:val="1"/>
                <w:bCs w:val="1"/>
                <w:color w:val="auto"/>
              </w:rPr>
              <w:t>&amp; Roller</w:t>
            </w:r>
          </w:p>
        </w:tc>
        <w:tc>
          <w:tcPr>
            <w:tcW w:w="800" w:type="dxa"/>
            <w:vAlign w:val="bottom"/>
          </w:tcPr>
          <w:p>
            <w:pPr>
              <w:jc w:val="right"/>
              <w:ind w:right="121"/>
              <w:spacing w:after="0"/>
              <w:rPr>
                <w:sz w:val="20"/>
                <w:szCs w:val="20"/>
                <w:color w:val="auto"/>
              </w:rPr>
            </w:pPr>
            <w:r>
              <w:rPr>
                <w:rFonts w:ascii="Courier New" w:cs="Courier New" w:eastAsia="Courier New" w:hAnsi="Courier New"/>
                <w:sz w:val="12"/>
                <w:szCs w:val="12"/>
                <w:b w:val="1"/>
                <w:bCs w:val="1"/>
                <w:color w:val="auto"/>
              </w:rPr>
              <w:t>Euroball</w:t>
            </w:r>
          </w:p>
        </w:tc>
        <w:tc>
          <w:tcPr>
            <w:tcW w:w="1120" w:type="dxa"/>
            <w:vAlign w:val="bottom"/>
          </w:tcPr>
          <w:p>
            <w:pPr>
              <w:jc w:val="right"/>
              <w:ind w:right="101"/>
              <w:spacing w:after="0"/>
              <w:rPr>
                <w:sz w:val="20"/>
                <w:szCs w:val="20"/>
                <w:color w:val="auto"/>
              </w:rPr>
            </w:pPr>
            <w:r>
              <w:rPr>
                <w:rFonts w:ascii="Courier New" w:cs="Courier New" w:eastAsia="Courier New" w:hAnsi="Courier New"/>
                <w:sz w:val="12"/>
                <w:szCs w:val="12"/>
                <w:b w:val="1"/>
                <w:bCs w:val="1"/>
                <w:color w:val="auto"/>
              </w:rPr>
              <w:t>Components</w:t>
            </w:r>
          </w:p>
        </w:tc>
        <w:tc>
          <w:tcPr>
            <w:tcW w:w="40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Roller</w:t>
            </w:r>
          </w:p>
        </w:tc>
        <w:tc>
          <w:tcPr>
            <w:tcW w:w="88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7"/>
              </w:rPr>
              <w:t>Euroball</w:t>
            </w:r>
          </w:p>
        </w:tc>
        <w:tc>
          <w:tcPr>
            <w:tcW w:w="9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Components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20" w:type="dxa"/>
            <w:vAlign w:val="bottom"/>
          </w:tcPr>
          <w:p>
            <w:pPr>
              <w:spacing w:after="0"/>
              <w:rPr>
                <w:sz w:val="20"/>
                <w:szCs w:val="20"/>
                <w:color w:val="auto"/>
              </w:rPr>
            </w:pPr>
            <w:r>
              <w:rPr>
                <w:rFonts w:ascii="Courier New" w:cs="Courier New" w:eastAsia="Courier New" w:hAnsi="Courier New"/>
                <w:sz w:val="12"/>
                <w:szCs w:val="12"/>
                <w:color w:val="auto"/>
              </w:rPr>
              <w:t>Revenues from external</w:t>
            </w:r>
          </w:p>
        </w:tc>
        <w:tc>
          <w:tcPr>
            <w:tcW w:w="12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$ 14,249</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$ 28,835</w:t>
            </w: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$ 14,525|</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$ 13,203</w:t>
            </w:r>
          </w:p>
        </w:tc>
        <w:tc>
          <w:tcPr>
            <w:tcW w:w="11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$ 21,725</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$ 12,272</w:t>
            </w:r>
          </w:p>
        </w:tc>
      </w:tr>
      <w:tr>
        <w:trPr>
          <w:trHeight w:val="135"/>
        </w:trPr>
        <w:tc>
          <w:tcPr>
            <w:tcW w:w="2020" w:type="dxa"/>
            <w:vAlign w:val="bottom"/>
          </w:tcPr>
          <w:p>
            <w:pPr>
              <w:spacing w:after="0"/>
              <w:rPr>
                <w:sz w:val="20"/>
                <w:szCs w:val="20"/>
                <w:color w:val="auto"/>
              </w:rPr>
            </w:pPr>
            <w:r>
              <w:rPr>
                <w:rFonts w:ascii="Courier New" w:cs="Courier New" w:eastAsia="Courier New" w:hAnsi="Courier New"/>
                <w:sz w:val="12"/>
                <w:szCs w:val="12"/>
                <w:color w:val="auto"/>
              </w:rPr>
              <w:t>customers</w:t>
            </w: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20" w:type="dxa"/>
            <w:vAlign w:val="bottom"/>
          </w:tcPr>
          <w:p>
            <w:pPr>
              <w:spacing w:after="0"/>
              <w:rPr>
                <w:sz w:val="20"/>
                <w:szCs w:val="20"/>
                <w:color w:val="auto"/>
              </w:rPr>
            </w:pPr>
            <w:r>
              <w:rPr>
                <w:rFonts w:ascii="Courier New" w:cs="Courier New" w:eastAsia="Courier New" w:hAnsi="Courier New"/>
                <w:sz w:val="12"/>
                <w:szCs w:val="12"/>
                <w:color w:val="auto"/>
              </w:rPr>
              <w:t>Segment pretax profit</w:t>
            </w:r>
          </w:p>
        </w:tc>
        <w:tc>
          <w:tcPr>
            <w:tcW w:w="12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1,980</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3,729</w:t>
            </w: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940|</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998</w:t>
            </w:r>
          </w:p>
        </w:tc>
        <w:tc>
          <w:tcPr>
            <w:tcW w:w="11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2,351</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672</w:t>
            </w:r>
          </w:p>
        </w:tc>
      </w:tr>
      <w:tr>
        <w:trPr>
          <w:trHeight w:val="135"/>
        </w:trPr>
        <w:tc>
          <w:tcPr>
            <w:tcW w:w="2020" w:type="dxa"/>
            <w:vAlign w:val="bottom"/>
          </w:tcPr>
          <w:p>
            <w:pPr>
              <w:spacing w:after="0"/>
              <w:rPr>
                <w:sz w:val="20"/>
                <w:szCs w:val="20"/>
                <w:color w:val="auto"/>
              </w:rPr>
            </w:pPr>
            <w:r>
              <w:rPr>
                <w:rFonts w:ascii="Courier New" w:cs="Courier New" w:eastAsia="Courier New" w:hAnsi="Courier New"/>
                <w:sz w:val="12"/>
                <w:szCs w:val="12"/>
                <w:color w:val="auto"/>
              </w:rPr>
              <w:t>Segment assets</w:t>
            </w:r>
          </w:p>
        </w:tc>
        <w:tc>
          <w:tcPr>
            <w:tcW w:w="12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61,435</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90,681</w:t>
            </w: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59,980|</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65,982</w:t>
            </w:r>
          </w:p>
        </w:tc>
        <w:tc>
          <w:tcPr>
            <w:tcW w:w="11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66,412</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57,026</w:t>
            </w:r>
          </w:p>
        </w:tc>
      </w:tr>
    </w:tbl>
    <w:p>
      <w:pPr>
        <w:spacing w:after="0" w:line="13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6.</w:t>
      </w:r>
      <w:r>
        <w:rPr>
          <w:sz w:val="20"/>
          <w:szCs w:val="20"/>
          <w:color w:val="auto"/>
        </w:rPr>
        <w:tab/>
      </w:r>
      <w:r>
        <w:rPr>
          <w:rFonts w:ascii="Courier New" w:cs="Courier New" w:eastAsia="Courier New" w:hAnsi="Courier New"/>
          <w:sz w:val="11"/>
          <w:szCs w:val="11"/>
          <w:b w:val="1"/>
          <w:bCs w:val="1"/>
          <w:color w:val="auto"/>
        </w:rPr>
        <w:t>Acquisitions and Joint Ventures</w:t>
      </w:r>
    </w:p>
    <w:p>
      <w:pPr>
        <w:spacing w:after="0" w:line="139"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On December 20, 2002, we acquired the 23 percent interest in NN Euroball, ApS ("Euroball") held by INA/FAG. Euroball was formed in 2000 by the Company, FAG Kugelfischer George Schaefer AG, which was subsequently acquired by INA - Schaeffler KG (collectively, "INA/FAG"), and AB SKF ("SKF"). INA/FAG is a global bearing manufacturer and one of our largest customers. We paid approximately</w:t>
      </w:r>
    </w:p>
    <w:p>
      <w:pPr>
        <w:spacing w:after="0" w:line="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13.4 million Euros ($13.8 million) for INA/FAG's interest in Euroball. Following the closing of the transaction, we own 77 percent of the outstanding shares of Euroball and SKF owns the remaining 23 percent. SKF consented to our purchase of INA/FAG's interest pursuant to the terms of the Euroball Shareholder Agreement. SKF has the right, beginning January 1, 2003 to require us to purchase its interest in Euroball, based on a formula price detailed in the Euroball Shareholder Agreement. On May 2, 2003, we acquired the 23 percent interest in Euroball held by SKF, see Note 10.</w:t>
      </w:r>
    </w:p>
    <w:p>
      <w:pPr>
        <w:spacing w:after="0" w:line="142"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On April 1, 2003, we exercised our call right and purchased the remaining 49 percent interest in NN Mexico, LLC. Based on the purchase price formula contained in the principal agreement between the parties, the purchase price for such interest was zero.</w:t>
      </w:r>
    </w:p>
    <w:p>
      <w:pPr>
        <w:spacing w:after="0" w:line="13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7.</w:t>
      </w:r>
      <w:r>
        <w:rPr>
          <w:sz w:val="20"/>
          <w:szCs w:val="20"/>
          <w:color w:val="auto"/>
        </w:rPr>
        <w:tab/>
      </w:r>
      <w:r>
        <w:rPr>
          <w:rFonts w:ascii="Courier New" w:cs="Courier New" w:eastAsia="Courier New" w:hAnsi="Courier New"/>
          <w:sz w:val="11"/>
          <w:szCs w:val="11"/>
          <w:b w:val="1"/>
          <w:bCs w:val="1"/>
          <w:color w:val="auto"/>
        </w:rPr>
        <w:t>Restructuring Charges</w:t>
      </w:r>
    </w:p>
    <w:p>
      <w:pPr>
        <w:spacing w:after="0" w:line="139"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In September of 2001, the Company announced that it would close its Walterboro, South Carolina ball manufacturing facility as part of its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130"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Prior to December 31, 2001, production capacity and certain machinery and equipment were transferred from the Walterboro facility to the Company's two domestic ball facilities in Erwin, Tennessee and Mountain City, Tennessee. The Company recorded restructuring costs of $62,000 for additional severance payments during the quarter ended March 31, 2002. There were no restructuring costs recorded for the quarter ended March 31, 2003.</w:t>
      </w:r>
    </w:p>
    <w:p>
      <w:pPr>
        <w:spacing w:after="0" w:line="136"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The Company's Euroball subsidiary incurred restructuring charges of $16,000 for the quarter ended March 31, 2002 for additional severance payments as a result of the termination of 15 hourly employees and 3 salaried employees at its Italy production facility. Approximately $69,000 of the severance payments recorded during 2001 and 2002 were paid during the quarter ended March 31, 2002 and there are no remaining accrued restructuring costs included in other current liabilities as of March 31, 2002 and March 31, 2003 related to Euroball.</w:t>
      </w:r>
    </w:p>
    <w:p>
      <w:pPr>
        <w:spacing w:after="0" w:line="12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8.</w:t>
      </w:r>
      <w:r>
        <w:rPr>
          <w:sz w:val="20"/>
          <w:szCs w:val="20"/>
          <w:color w:val="auto"/>
        </w:rPr>
        <w:tab/>
      </w:r>
      <w:r>
        <w:rPr>
          <w:rFonts w:ascii="Courier New" w:cs="Courier New" w:eastAsia="Courier New" w:hAnsi="Courier New"/>
          <w:sz w:val="11"/>
          <w:szCs w:val="11"/>
          <w:b w:val="1"/>
          <w:bCs w:val="1"/>
          <w:color w:val="auto"/>
        </w:rPr>
        <w:t>New Accounting Pronouncements</w:t>
      </w:r>
    </w:p>
    <w:p>
      <w:pPr>
        <w:spacing w:after="0" w:line="139"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$40.3 million, which is subject to the provisions of Statement No. 142.</w:t>
      </w:r>
    </w:p>
    <w:p>
      <w:pPr>
        <w:spacing w:after="0" w:line="130" w:lineRule="exact"/>
        <w:rPr>
          <w:sz w:val="20"/>
          <w:szCs w:val="20"/>
          <w:color w:val="auto"/>
        </w:rPr>
      </w:pPr>
    </w:p>
    <w:p>
      <w:pPr>
        <w:ind w:right="4759"/>
        <w:spacing w:after="0" w:line="236" w:lineRule="auto"/>
        <w:rPr>
          <w:sz w:val="20"/>
          <w:szCs w:val="20"/>
          <w:color w:val="auto"/>
        </w:rPr>
      </w:pPr>
      <w:r>
        <w:rPr>
          <w:rFonts w:ascii="Courier New" w:cs="Courier New" w:eastAsia="Courier New" w:hAnsi="Courier New"/>
          <w:sz w:val="12"/>
          <w:szCs w:val="12"/>
          <w:color w:val="auto"/>
        </w:rPr>
        <w:t>As a result of adopting these new standards, the Company's accounting policies for goodwill and other intangibles changed on January 1, 2002, as described below:</w:t>
      </w:r>
    </w:p>
    <w:p>
      <w:pPr>
        <w:spacing w:after="0" w:line="139"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Goodwill: The Company recognized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2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145"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The Company completed the transitional goodwill impairment reviews required by the new standards during the first six months of 2002 and the annually required goodwill impairment review during the fourth quarter of 2002. In performing the impairment reviews, the Company estimated the fair values of the reporting units using a method that incorporates valuations derived from EBITDA multiples based upon market multiples and recent capital market transactions and also incorporates valuations determined by each segment's discounted future cash flows. As of January 1, 2002, the transition date and as of October 1, 2002, the most recent annual review date, there was no impairment to goodwill as the fair values exceeded the carrying values of the reporting units. As of March 31, 2003, the carrying amounts of goodwill by reporting units are as follows: $26.1 million for the Plastics and Rubber Components Segment and $16.6 million for the Euroball Segment. Since December 31, 2002, the increase in goodwill of $0.5 million is principally due to foreign currency translation adjustments at the Euroball Segment.</w:t>
      </w:r>
    </w:p>
    <w:p>
      <w:pPr>
        <w:sectPr>
          <w:pgSz w:w="11900" w:h="16838" w:orient="portrait"/>
          <w:cols w:equalWidth="0" w:num="1">
            <w:col w:w="10239"/>
          </w:cols>
          <w:pgMar w:left="220" w:top="1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2"/>
          <w:szCs w:val="12"/>
          <w:color w:val="auto"/>
        </w:rPr>
        <w:t>In July 2001, the FASB issued Statement of Financial Accounting Standards No.</w:t>
      </w:r>
    </w:p>
    <w:p>
      <w:pPr>
        <w:spacing w:after="0"/>
        <w:rPr>
          <w:sz w:val="20"/>
          <w:szCs w:val="20"/>
          <w:color w:val="auto"/>
        </w:rPr>
      </w:pPr>
      <w:r>
        <w:rPr>
          <w:rFonts w:ascii="Courier New" w:cs="Courier New" w:eastAsia="Courier New" w:hAnsi="Courier New"/>
          <w:sz w:val="12"/>
          <w:szCs w:val="12"/>
          <w:color w:val="auto"/>
        </w:rPr>
        <w:t>143, "Accounting For Asset Retirement Obligations." This Statement requires</w:t>
      </w:r>
    </w:p>
    <w:p>
      <w:pPr>
        <w:spacing w:after="0" w:line="237" w:lineRule="auto"/>
        <w:rPr>
          <w:sz w:val="20"/>
          <w:szCs w:val="20"/>
          <w:color w:val="auto"/>
        </w:rPr>
      </w:pPr>
      <w:r>
        <w:rPr>
          <w:rFonts w:ascii="Courier New" w:cs="Courier New" w:eastAsia="Courier New" w:hAnsi="Courier New"/>
          <w:sz w:val="12"/>
          <w:szCs w:val="12"/>
          <w:color w:val="auto"/>
        </w:rPr>
        <w:t>capitalizing any retirement costs as part of the total cost of the related</w:t>
      </w:r>
    </w:p>
    <w:p>
      <w:pPr>
        <w:spacing w:after="0"/>
        <w:rPr>
          <w:sz w:val="20"/>
          <w:szCs w:val="20"/>
          <w:color w:val="auto"/>
        </w:rPr>
      </w:pPr>
      <w:r>
        <w:rPr>
          <w:rFonts w:ascii="Courier New" w:cs="Courier New" w:eastAsia="Courier New" w:hAnsi="Courier New"/>
          <w:sz w:val="12"/>
          <w:szCs w:val="12"/>
          <w:color w:val="auto"/>
        </w:rPr>
        <w:t>long-lived asset and subsequently allocating the total expense to future periods</w:t>
      </w:r>
    </w:p>
    <w:p>
      <w:pPr>
        <w:spacing w:after="0" w:line="237" w:lineRule="auto"/>
        <w:rPr>
          <w:sz w:val="20"/>
          <w:szCs w:val="20"/>
          <w:color w:val="auto"/>
        </w:rPr>
      </w:pPr>
      <w:r>
        <w:rPr>
          <w:rFonts w:ascii="Courier New" w:cs="Courier New" w:eastAsia="Courier New" w:hAnsi="Courier New"/>
          <w:sz w:val="12"/>
          <w:szCs w:val="12"/>
          <w:color w:val="auto"/>
        </w:rPr>
        <w:t>using a systematic and rational method. Adoption of the Statement is required</w:t>
      </w:r>
    </w:p>
    <w:p>
      <w:pPr>
        <w:spacing w:after="0"/>
        <w:rPr>
          <w:sz w:val="20"/>
          <w:szCs w:val="20"/>
          <w:color w:val="auto"/>
        </w:rPr>
      </w:pPr>
      <w:r>
        <w:rPr>
          <w:rFonts w:ascii="Courier New" w:cs="Courier New" w:eastAsia="Courier New" w:hAnsi="Courier New"/>
          <w:sz w:val="12"/>
          <w:szCs w:val="12"/>
          <w:color w:val="auto"/>
        </w:rPr>
        <w:t>for fiscal years beginning after June 15, 2002. The Company adopted SFAS No. 143</w:t>
      </w:r>
    </w:p>
    <w:p>
      <w:pPr>
        <w:spacing w:after="0" w:line="237" w:lineRule="auto"/>
        <w:rPr>
          <w:sz w:val="20"/>
          <w:szCs w:val="20"/>
          <w:color w:val="auto"/>
        </w:rPr>
      </w:pPr>
      <w:r>
        <w:rPr>
          <w:rFonts w:ascii="Courier New" w:cs="Courier New" w:eastAsia="Courier New" w:hAnsi="Courier New"/>
          <w:sz w:val="12"/>
          <w:szCs w:val="12"/>
          <w:color w:val="auto"/>
        </w:rPr>
        <w:t>on January 1, 2003 and this adoption did not have a material impact on the</w:t>
      </w:r>
    </w:p>
    <w:p>
      <w:pPr>
        <w:spacing w:after="0"/>
        <w:rPr>
          <w:sz w:val="20"/>
          <w:szCs w:val="20"/>
          <w:color w:val="auto"/>
        </w:rPr>
      </w:pPr>
      <w:r>
        <w:rPr>
          <w:rFonts w:ascii="Courier New" w:cs="Courier New" w:eastAsia="Courier New" w:hAnsi="Courier New"/>
          <w:sz w:val="12"/>
          <w:szCs w:val="12"/>
          <w:color w:val="auto"/>
        </w:rPr>
        <w:t>financial statements.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April 2002, the FASB issued SFAS No. 145, "Rescission of FASB Statements No.</w:t>
      </w:r>
    </w:p>
    <w:p>
      <w:pPr>
        <w:spacing w:after="0"/>
        <w:rPr>
          <w:sz w:val="20"/>
          <w:szCs w:val="20"/>
          <w:color w:val="auto"/>
        </w:rPr>
      </w:pPr>
      <w:r>
        <w:rPr>
          <w:rFonts w:ascii="Courier New" w:cs="Courier New" w:eastAsia="Courier New" w:hAnsi="Courier New"/>
          <w:sz w:val="12"/>
          <w:szCs w:val="12"/>
          <w:color w:val="auto"/>
        </w:rPr>
        <w:t>4, 44, and 64, Amendment of FASB Statement No. 13, and Technical Corrections".</w:t>
      </w:r>
    </w:p>
    <w:p>
      <w:pPr>
        <w:spacing w:after="0" w:line="237" w:lineRule="auto"/>
        <w:rPr>
          <w:sz w:val="20"/>
          <w:szCs w:val="20"/>
          <w:color w:val="auto"/>
        </w:rPr>
      </w:pPr>
      <w:r>
        <w:rPr>
          <w:rFonts w:ascii="Courier New" w:cs="Courier New" w:eastAsia="Courier New" w:hAnsi="Courier New"/>
          <w:sz w:val="12"/>
          <w:szCs w:val="12"/>
          <w:color w:val="auto"/>
        </w:rPr>
        <w:t>SFAS No. 4 had required all gains and losses from extinguishment of debt to be</w:t>
      </w:r>
    </w:p>
    <w:p>
      <w:pPr>
        <w:spacing w:after="0"/>
        <w:rPr>
          <w:sz w:val="20"/>
          <w:szCs w:val="20"/>
          <w:color w:val="auto"/>
        </w:rPr>
      </w:pPr>
      <w:r>
        <w:rPr>
          <w:rFonts w:ascii="Courier New" w:cs="Courier New" w:eastAsia="Courier New" w:hAnsi="Courier New"/>
          <w:sz w:val="12"/>
          <w:szCs w:val="12"/>
          <w:color w:val="auto"/>
        </w:rPr>
        <w:t>aggregated and, if material, classified as an extraordinary item, net of related</w:t>
      </w:r>
    </w:p>
    <w:p>
      <w:pPr>
        <w:spacing w:after="0" w:line="237" w:lineRule="auto"/>
        <w:rPr>
          <w:sz w:val="20"/>
          <w:szCs w:val="20"/>
          <w:color w:val="auto"/>
        </w:rPr>
      </w:pPr>
      <w:r>
        <w:rPr>
          <w:rFonts w:ascii="Courier New" w:cs="Courier New" w:eastAsia="Courier New" w:hAnsi="Courier New"/>
          <w:sz w:val="12"/>
          <w:szCs w:val="12"/>
          <w:color w:val="auto"/>
        </w:rPr>
        <w:t>income tax effect. SFAS No. 145 rescinds SFAS No. 4 and the related required</w:t>
      </w:r>
    </w:p>
    <w:p>
      <w:pPr>
        <w:spacing w:after="0"/>
        <w:rPr>
          <w:sz w:val="20"/>
          <w:szCs w:val="20"/>
          <w:color w:val="auto"/>
        </w:rPr>
      </w:pPr>
      <w:r>
        <w:rPr>
          <w:rFonts w:ascii="Courier New" w:cs="Courier New" w:eastAsia="Courier New" w:hAnsi="Courier New"/>
          <w:sz w:val="12"/>
          <w:szCs w:val="12"/>
          <w:color w:val="auto"/>
        </w:rPr>
        <w:t>classifications gains and losses form extinguishment of debt as extraordinary</w:t>
      </w:r>
    </w:p>
    <w:p>
      <w:pPr>
        <w:spacing w:after="0" w:line="237" w:lineRule="auto"/>
        <w:rPr>
          <w:sz w:val="20"/>
          <w:szCs w:val="20"/>
          <w:color w:val="auto"/>
        </w:rPr>
      </w:pPr>
      <w:r>
        <w:rPr>
          <w:rFonts w:ascii="Courier New" w:cs="Courier New" w:eastAsia="Courier New" w:hAnsi="Courier New"/>
          <w:sz w:val="12"/>
          <w:szCs w:val="12"/>
          <w:color w:val="auto"/>
        </w:rPr>
        <w:t>items. Additionally, the SFAS No. 145 amends SFAS No. 13 to require that certain</w:t>
      </w:r>
    </w:p>
    <w:p>
      <w:pPr>
        <w:spacing w:after="0"/>
        <w:rPr>
          <w:sz w:val="20"/>
          <w:szCs w:val="20"/>
          <w:color w:val="auto"/>
        </w:rPr>
      </w:pPr>
      <w:r>
        <w:rPr>
          <w:rFonts w:ascii="Courier New" w:cs="Courier New" w:eastAsia="Courier New" w:hAnsi="Courier New"/>
          <w:sz w:val="12"/>
          <w:szCs w:val="12"/>
          <w:color w:val="auto"/>
        </w:rPr>
        <w:t>lease modifications that have economic effects similar to sale-leaseback</w:t>
      </w:r>
    </w:p>
    <w:p>
      <w:pPr>
        <w:spacing w:after="0" w:line="237" w:lineRule="auto"/>
        <w:rPr>
          <w:sz w:val="20"/>
          <w:szCs w:val="20"/>
          <w:color w:val="auto"/>
        </w:rPr>
      </w:pPr>
      <w:r>
        <w:rPr>
          <w:rFonts w:ascii="Courier New" w:cs="Courier New" w:eastAsia="Courier New" w:hAnsi="Courier New"/>
          <w:sz w:val="12"/>
          <w:szCs w:val="12"/>
          <w:color w:val="auto"/>
        </w:rPr>
        <w:t>transactions be accounted for in the same manner as sale-leaseback transactions.</w:t>
      </w:r>
    </w:p>
    <w:p>
      <w:pPr>
        <w:spacing w:after="0"/>
        <w:rPr>
          <w:sz w:val="20"/>
          <w:szCs w:val="20"/>
          <w:color w:val="auto"/>
        </w:rPr>
      </w:pPr>
      <w:r>
        <w:rPr>
          <w:rFonts w:ascii="Courier New" w:cs="Courier New" w:eastAsia="Courier New" w:hAnsi="Courier New"/>
          <w:sz w:val="12"/>
          <w:szCs w:val="12"/>
          <w:color w:val="auto"/>
        </w:rPr>
        <w:t>SFAS No. 145 is applicable for the Company at the beginning of fiscal year 2003,</w:t>
      </w:r>
    </w:p>
    <w:p>
      <w:pPr>
        <w:spacing w:after="0" w:line="237" w:lineRule="auto"/>
        <w:rPr>
          <w:sz w:val="20"/>
          <w:szCs w:val="20"/>
          <w:color w:val="auto"/>
        </w:rPr>
      </w:pPr>
      <w:r>
        <w:rPr>
          <w:rFonts w:ascii="Courier New" w:cs="Courier New" w:eastAsia="Courier New" w:hAnsi="Courier New"/>
          <w:sz w:val="12"/>
          <w:szCs w:val="12"/>
          <w:color w:val="auto"/>
        </w:rPr>
        <w:t>with the provisions related to SFAS No. 13 for transactions occurring after May</w:t>
      </w:r>
    </w:p>
    <w:p>
      <w:pPr>
        <w:spacing w:after="0"/>
        <w:rPr>
          <w:sz w:val="20"/>
          <w:szCs w:val="20"/>
          <w:color w:val="auto"/>
        </w:rPr>
      </w:pPr>
      <w:r>
        <w:rPr>
          <w:rFonts w:ascii="Courier New" w:cs="Courier New" w:eastAsia="Courier New" w:hAnsi="Courier New"/>
          <w:sz w:val="12"/>
          <w:szCs w:val="12"/>
          <w:color w:val="auto"/>
        </w:rPr>
        <w:t>15, 2002. The Company adopted SFAS No. 145 effective January 1, 2003 and this</w:t>
      </w:r>
    </w:p>
    <w:p>
      <w:pPr>
        <w:spacing w:after="0" w:line="237" w:lineRule="auto"/>
        <w:rPr>
          <w:sz w:val="20"/>
          <w:szCs w:val="20"/>
          <w:color w:val="auto"/>
        </w:rPr>
      </w:pPr>
      <w:r>
        <w:rPr>
          <w:rFonts w:ascii="Courier New" w:cs="Courier New" w:eastAsia="Courier New" w:hAnsi="Courier New"/>
          <w:sz w:val="12"/>
          <w:szCs w:val="12"/>
          <w:color w:val="auto"/>
        </w:rPr>
        <w:t>adoption did not have a material impact on the financial statements.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July 2002, the FASB issued SFAS No. 146, "Accounting for Costs Associated</w:t>
      </w:r>
    </w:p>
    <w:p>
      <w:pPr>
        <w:spacing w:after="0"/>
        <w:rPr>
          <w:sz w:val="20"/>
          <w:szCs w:val="20"/>
          <w:color w:val="auto"/>
        </w:rPr>
      </w:pPr>
      <w:r>
        <w:rPr>
          <w:rFonts w:ascii="Courier New" w:cs="Courier New" w:eastAsia="Courier New" w:hAnsi="Courier New"/>
          <w:sz w:val="12"/>
          <w:szCs w:val="12"/>
          <w:color w:val="auto"/>
        </w:rPr>
        <w:t>with Exit or Disposal Activities". SFAS No. 146 requires costs associated with</w:t>
      </w:r>
    </w:p>
    <w:p>
      <w:pPr>
        <w:spacing w:after="0" w:line="237" w:lineRule="auto"/>
        <w:rPr>
          <w:sz w:val="20"/>
          <w:szCs w:val="20"/>
          <w:color w:val="auto"/>
        </w:rPr>
      </w:pPr>
      <w:r>
        <w:rPr>
          <w:rFonts w:ascii="Courier New" w:cs="Courier New" w:eastAsia="Courier New" w:hAnsi="Courier New"/>
          <w:sz w:val="12"/>
          <w:szCs w:val="12"/>
          <w:color w:val="auto"/>
        </w:rPr>
        <w:t>exit or disposal activities to be recognized when they are incurred rather than</w:t>
      </w:r>
    </w:p>
    <w:p>
      <w:pPr>
        <w:spacing w:after="0"/>
        <w:rPr>
          <w:sz w:val="20"/>
          <w:szCs w:val="20"/>
          <w:color w:val="auto"/>
        </w:rPr>
      </w:pPr>
      <w:r>
        <w:rPr>
          <w:rFonts w:ascii="Courier New" w:cs="Courier New" w:eastAsia="Courier New" w:hAnsi="Courier New"/>
          <w:sz w:val="12"/>
          <w:szCs w:val="12"/>
          <w:color w:val="auto"/>
        </w:rPr>
        <w:t>at the date of a commitment to an exit or disposal plan. SFAS No. 146 is to be</w:t>
      </w:r>
    </w:p>
    <w:p>
      <w:pPr>
        <w:spacing w:after="0" w:line="237" w:lineRule="auto"/>
        <w:rPr>
          <w:sz w:val="20"/>
          <w:szCs w:val="20"/>
          <w:color w:val="auto"/>
        </w:rPr>
      </w:pPr>
      <w:r>
        <w:rPr>
          <w:rFonts w:ascii="Courier New" w:cs="Courier New" w:eastAsia="Courier New" w:hAnsi="Courier New"/>
          <w:sz w:val="12"/>
          <w:szCs w:val="12"/>
          <w:color w:val="auto"/>
        </w:rPr>
        <w:t>applied prospectively to exit or disposal activities initiated after December</w:t>
      </w:r>
    </w:p>
    <w:p>
      <w:pPr>
        <w:spacing w:after="0"/>
        <w:rPr>
          <w:sz w:val="20"/>
          <w:szCs w:val="20"/>
          <w:color w:val="auto"/>
        </w:rPr>
      </w:pPr>
      <w:r>
        <w:rPr>
          <w:rFonts w:ascii="Courier New" w:cs="Courier New" w:eastAsia="Courier New" w:hAnsi="Courier New"/>
          <w:sz w:val="12"/>
          <w:szCs w:val="12"/>
          <w:color w:val="auto"/>
        </w:rPr>
        <w:t>31, 2002.</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December 2002, the FASB issued SFAS No. 148, "Accounting for Stock-Based</w:t>
      </w:r>
    </w:p>
    <w:p>
      <w:pPr>
        <w:spacing w:after="0"/>
        <w:rPr>
          <w:sz w:val="20"/>
          <w:szCs w:val="20"/>
          <w:color w:val="auto"/>
        </w:rPr>
      </w:pPr>
      <w:r>
        <w:rPr>
          <w:rFonts w:ascii="Courier New" w:cs="Courier New" w:eastAsia="Courier New" w:hAnsi="Courier New"/>
          <w:sz w:val="12"/>
          <w:szCs w:val="12"/>
          <w:color w:val="auto"/>
        </w:rPr>
        <w:t>Compensation - Transition and Disclosure - an amendment of FASB Statement No.</w:t>
      </w:r>
    </w:p>
    <w:p>
      <w:pPr>
        <w:spacing w:after="0" w:line="237" w:lineRule="auto"/>
        <w:rPr>
          <w:sz w:val="20"/>
          <w:szCs w:val="20"/>
          <w:color w:val="auto"/>
        </w:rPr>
      </w:pPr>
      <w:r>
        <w:rPr>
          <w:rFonts w:ascii="Courier New" w:cs="Courier New" w:eastAsia="Courier New" w:hAnsi="Courier New"/>
          <w:sz w:val="12"/>
          <w:szCs w:val="12"/>
          <w:color w:val="auto"/>
        </w:rPr>
        <w:t>123". SFAS No. 148 provides alternative methods of transition for a voluntary</w:t>
      </w:r>
    </w:p>
    <w:p>
      <w:pPr>
        <w:spacing w:after="0"/>
        <w:rPr>
          <w:sz w:val="20"/>
          <w:szCs w:val="20"/>
          <w:color w:val="auto"/>
        </w:rPr>
      </w:pPr>
      <w:r>
        <w:rPr>
          <w:rFonts w:ascii="Courier New" w:cs="Courier New" w:eastAsia="Courier New" w:hAnsi="Courier New"/>
          <w:sz w:val="12"/>
          <w:szCs w:val="12"/>
          <w:color w:val="auto"/>
        </w:rPr>
        <w:t>change to the fair value based method of accounting for stock-based employee</w:t>
      </w:r>
    </w:p>
    <w:p>
      <w:pPr>
        <w:spacing w:after="0" w:line="237" w:lineRule="auto"/>
        <w:rPr>
          <w:sz w:val="20"/>
          <w:szCs w:val="20"/>
          <w:color w:val="auto"/>
        </w:rPr>
      </w:pPr>
      <w:r>
        <w:rPr>
          <w:rFonts w:ascii="Courier New" w:cs="Courier New" w:eastAsia="Courier New" w:hAnsi="Courier New"/>
          <w:sz w:val="12"/>
          <w:szCs w:val="12"/>
          <w:color w:val="auto"/>
        </w:rPr>
        <w:t>compensation. In addition, SFAS No. 148, which was effective for the year ending</w:t>
      </w:r>
    </w:p>
    <w:p>
      <w:pPr>
        <w:spacing w:after="0"/>
        <w:rPr>
          <w:sz w:val="20"/>
          <w:szCs w:val="20"/>
          <w:color w:val="auto"/>
        </w:rPr>
      </w:pPr>
      <w:r>
        <w:rPr>
          <w:rFonts w:ascii="Courier New" w:cs="Courier New" w:eastAsia="Courier New" w:hAnsi="Courier New"/>
          <w:sz w:val="12"/>
          <w:szCs w:val="12"/>
          <w:color w:val="auto"/>
        </w:rPr>
        <w:t>December 31, 2002, amends the disclosures in both annual and interim financial</w:t>
      </w:r>
    </w:p>
    <w:p>
      <w:pPr>
        <w:spacing w:after="0" w:line="237" w:lineRule="auto"/>
        <w:rPr>
          <w:sz w:val="20"/>
          <w:szCs w:val="20"/>
          <w:color w:val="auto"/>
        </w:rPr>
      </w:pPr>
      <w:r>
        <w:rPr>
          <w:rFonts w:ascii="Courier New" w:cs="Courier New" w:eastAsia="Courier New" w:hAnsi="Courier New"/>
          <w:sz w:val="12"/>
          <w:szCs w:val="12"/>
          <w:color w:val="auto"/>
        </w:rPr>
        <w:t>statements about the method of accounting for stock-based employee compensation</w:t>
      </w:r>
    </w:p>
    <w:p>
      <w:pPr>
        <w:spacing w:after="0"/>
        <w:rPr>
          <w:sz w:val="20"/>
          <w:szCs w:val="20"/>
          <w:color w:val="auto"/>
        </w:rPr>
      </w:pPr>
      <w:r>
        <w:rPr>
          <w:rFonts w:ascii="Courier New" w:cs="Courier New" w:eastAsia="Courier New" w:hAnsi="Courier New"/>
          <w:sz w:val="12"/>
          <w:szCs w:val="12"/>
          <w:color w:val="auto"/>
        </w:rPr>
        <w:t>and the effect of the method used on reported results. The Company has adopted</w:t>
      </w:r>
    </w:p>
    <w:p>
      <w:pPr>
        <w:spacing w:after="0" w:line="237" w:lineRule="auto"/>
        <w:rPr>
          <w:sz w:val="20"/>
          <w:szCs w:val="20"/>
          <w:color w:val="auto"/>
        </w:rPr>
      </w:pPr>
      <w:r>
        <w:rPr>
          <w:rFonts w:ascii="Courier New" w:cs="Courier New" w:eastAsia="Courier New" w:hAnsi="Courier New"/>
          <w:sz w:val="12"/>
          <w:szCs w:val="12"/>
          <w:color w:val="auto"/>
        </w:rPr>
        <w:t>the provisions of SFAS 123, which encourages but does not require a fair value</w:t>
      </w:r>
    </w:p>
    <w:p>
      <w:pPr>
        <w:spacing w:after="0"/>
        <w:rPr>
          <w:sz w:val="20"/>
          <w:szCs w:val="20"/>
          <w:color w:val="auto"/>
        </w:rPr>
      </w:pPr>
      <w:r>
        <w:rPr>
          <w:rFonts w:ascii="Courier New" w:cs="Courier New" w:eastAsia="Courier New" w:hAnsi="Courier New"/>
          <w:sz w:val="12"/>
          <w:szCs w:val="12"/>
          <w:color w:val="auto"/>
        </w:rPr>
        <w:t>based method of accounting for stock compensation plans. The Company has elected</w:t>
      </w:r>
    </w:p>
    <w:p>
      <w:pPr>
        <w:spacing w:after="0" w:line="237" w:lineRule="auto"/>
        <w:rPr>
          <w:sz w:val="20"/>
          <w:szCs w:val="20"/>
          <w:color w:val="auto"/>
        </w:rPr>
      </w:pPr>
      <w:r>
        <w:rPr>
          <w:rFonts w:ascii="Courier New" w:cs="Courier New" w:eastAsia="Courier New" w:hAnsi="Courier New"/>
          <w:sz w:val="12"/>
          <w:szCs w:val="12"/>
          <w:color w:val="auto"/>
        </w:rPr>
        <w:t>to continue accounting for its stock compensation plan using the intrinsic value</w:t>
      </w:r>
    </w:p>
    <w:p>
      <w:pPr>
        <w:spacing w:after="0"/>
        <w:rPr>
          <w:sz w:val="20"/>
          <w:szCs w:val="20"/>
          <w:color w:val="auto"/>
        </w:rPr>
      </w:pPr>
      <w:r>
        <w:rPr>
          <w:rFonts w:ascii="Courier New" w:cs="Courier New" w:eastAsia="Courier New" w:hAnsi="Courier New"/>
          <w:sz w:val="12"/>
          <w:szCs w:val="12"/>
          <w:color w:val="auto"/>
        </w:rPr>
        <w:t>based method under APB Opinion No. 25 and, accordingly, has not recorded</w:t>
      </w:r>
    </w:p>
    <w:p>
      <w:pPr>
        <w:spacing w:after="0" w:line="237" w:lineRule="auto"/>
        <w:rPr>
          <w:sz w:val="20"/>
          <w:szCs w:val="20"/>
          <w:color w:val="auto"/>
        </w:rPr>
      </w:pPr>
      <w:r>
        <w:rPr>
          <w:rFonts w:ascii="Courier New" w:cs="Courier New" w:eastAsia="Courier New" w:hAnsi="Courier New"/>
          <w:sz w:val="12"/>
          <w:szCs w:val="12"/>
          <w:color w:val="auto"/>
        </w:rPr>
        <w:t>compensation expense for each of the three months ended March 31, 2003 and March</w:t>
      </w:r>
    </w:p>
    <w:p>
      <w:pPr>
        <w:spacing w:after="0"/>
        <w:rPr>
          <w:sz w:val="20"/>
          <w:szCs w:val="20"/>
          <w:color w:val="auto"/>
        </w:rPr>
      </w:pPr>
      <w:r>
        <w:rPr>
          <w:rFonts w:ascii="Courier New" w:cs="Courier New" w:eastAsia="Courier New" w:hAnsi="Courier New"/>
          <w:sz w:val="12"/>
          <w:szCs w:val="12"/>
          <w:color w:val="auto"/>
        </w:rPr>
        <w:t>31, 2002, except as discussed above. Had compensation cost for the Company's</w:t>
      </w:r>
    </w:p>
    <w:p>
      <w:pPr>
        <w:spacing w:after="0" w:line="237" w:lineRule="auto"/>
        <w:rPr>
          <w:sz w:val="20"/>
          <w:szCs w:val="20"/>
          <w:color w:val="auto"/>
        </w:rPr>
      </w:pPr>
      <w:r>
        <w:rPr>
          <w:rFonts w:ascii="Courier New" w:cs="Courier New" w:eastAsia="Courier New" w:hAnsi="Courier New"/>
          <w:sz w:val="12"/>
          <w:szCs w:val="12"/>
          <w:color w:val="auto"/>
        </w:rPr>
        <w:t>stock compensation plan been determined based on the fair value at the option</w:t>
      </w:r>
    </w:p>
    <w:p>
      <w:pPr>
        <w:spacing w:after="0"/>
        <w:rPr>
          <w:sz w:val="20"/>
          <w:szCs w:val="20"/>
          <w:color w:val="auto"/>
        </w:rPr>
      </w:pPr>
      <w:r>
        <w:rPr>
          <w:rFonts w:ascii="Courier New" w:cs="Courier New" w:eastAsia="Courier New" w:hAnsi="Courier New"/>
          <w:sz w:val="12"/>
          <w:szCs w:val="12"/>
          <w:color w:val="auto"/>
        </w:rPr>
        <w:t>grant dates, the Company's net income and earnings per share would have been</w:t>
      </w:r>
    </w:p>
    <w:p>
      <w:pPr>
        <w:spacing w:after="0" w:line="237" w:lineRule="auto"/>
        <w:rPr>
          <w:sz w:val="20"/>
          <w:szCs w:val="20"/>
          <w:color w:val="auto"/>
        </w:rPr>
      </w:pPr>
      <w:r>
        <w:rPr>
          <w:rFonts w:ascii="Courier New" w:cs="Courier New" w:eastAsia="Courier New" w:hAnsi="Courier New"/>
          <w:sz w:val="12"/>
          <w:szCs w:val="12"/>
          <w:color w:val="auto"/>
        </w:rPr>
        <w:t>reduced to the proforma amounts indicated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820" w:type="dxa"/>
            <w:vAlign w:val="bottom"/>
            <w:gridSpan w:val="4"/>
          </w:tcPr>
          <w:p>
            <w:pPr>
              <w:ind w:left="180"/>
              <w:spacing w:after="0"/>
              <w:rPr>
                <w:sz w:val="20"/>
                <w:szCs w:val="20"/>
                <w:color w:val="auto"/>
              </w:rPr>
            </w:pPr>
            <w:r>
              <w:rPr>
                <w:rFonts w:ascii="Courier New" w:cs="Courier New" w:eastAsia="Courier New" w:hAnsi="Courier New"/>
                <w:sz w:val="12"/>
                <w:szCs w:val="12"/>
                <w:color w:val="auto"/>
              </w:rPr>
              <w:t>Three months ended March 31,</w:t>
            </w:r>
          </w:p>
        </w:tc>
      </w:tr>
      <w:tr>
        <w:trPr>
          <w:trHeight w:val="270"/>
        </w:trPr>
        <w:tc>
          <w:tcPr>
            <w:tcW w:w="16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2003</w:t>
            </w:r>
          </w:p>
        </w:tc>
        <w:tc>
          <w:tcPr>
            <w:tcW w:w="200" w:type="dxa"/>
            <w:vAlign w:val="bottom"/>
          </w:tcPr>
          <w:p>
            <w:pPr>
              <w:spacing w:after="0"/>
              <w:rPr>
                <w:sz w:val="23"/>
                <w:szCs w:val="23"/>
                <w:color w:val="auto"/>
              </w:rPr>
            </w:pPr>
          </w:p>
        </w:tc>
        <w:tc>
          <w:tcPr>
            <w:tcW w:w="5380" w:type="dxa"/>
            <w:vAlign w:val="bottom"/>
          </w:tcPr>
          <w:p>
            <w:pPr>
              <w:jc w:val="right"/>
              <w:ind w:right="4961"/>
              <w:spacing w:after="0"/>
              <w:rPr>
                <w:sz w:val="20"/>
                <w:szCs w:val="20"/>
                <w:color w:val="auto"/>
              </w:rPr>
            </w:pPr>
            <w:r>
              <w:rPr>
                <w:rFonts w:ascii="Courier New" w:cs="Courier New" w:eastAsia="Courier New" w:hAnsi="Courier New"/>
                <w:sz w:val="12"/>
                <w:szCs w:val="12"/>
                <w:color w:val="auto"/>
              </w:rPr>
              <w:t>2002</w:t>
            </w:r>
          </w:p>
        </w:tc>
      </w:tr>
      <w:tr>
        <w:trPr>
          <w:trHeight w:val="135"/>
        </w:trPr>
        <w:tc>
          <w:tcPr>
            <w:tcW w:w="16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w:t>
            </w:r>
          </w:p>
        </w:tc>
        <w:tc>
          <w:tcPr>
            <w:tcW w:w="5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w:t>
            </w:r>
          </w:p>
        </w:tc>
      </w:tr>
      <w:tr>
        <w:trPr>
          <w:trHeight w:val="135"/>
        </w:trPr>
        <w:tc>
          <w:tcPr>
            <w:tcW w:w="4660" w:type="dxa"/>
            <w:vAlign w:val="bottom"/>
            <w:gridSpan w:val="2"/>
          </w:tcPr>
          <w:p>
            <w:pPr>
              <w:ind w:left="980"/>
              <w:spacing w:after="0"/>
              <w:rPr>
                <w:sz w:val="20"/>
                <w:szCs w:val="20"/>
                <w:color w:val="auto"/>
              </w:rPr>
            </w:pPr>
            <w:r>
              <w:rPr>
                <w:rFonts w:ascii="Courier New" w:cs="Courier New" w:eastAsia="Courier New" w:hAnsi="Courier New"/>
                <w:sz w:val="12"/>
                <w:szCs w:val="12"/>
                <w:color w:val="auto"/>
              </w:rPr>
              <w:t>Net income - as reported</w:t>
            </w:r>
          </w:p>
        </w:tc>
        <w:tc>
          <w:tcPr>
            <w:tcW w:w="46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3,643</w:t>
            </w:r>
          </w:p>
        </w:tc>
        <w:tc>
          <w:tcPr>
            <w:tcW w:w="20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5380" w:type="dxa"/>
            <w:vAlign w:val="bottom"/>
          </w:tcPr>
          <w:p>
            <w:pPr>
              <w:jc w:val="right"/>
              <w:ind w:right="4821"/>
              <w:spacing w:after="0"/>
              <w:rPr>
                <w:sz w:val="20"/>
                <w:szCs w:val="20"/>
                <w:color w:val="auto"/>
              </w:rPr>
            </w:pPr>
            <w:r>
              <w:rPr>
                <w:rFonts w:ascii="Courier New" w:cs="Courier New" w:eastAsia="Courier New" w:hAnsi="Courier New"/>
                <w:sz w:val="12"/>
                <w:szCs w:val="12"/>
                <w:color w:val="auto"/>
              </w:rPr>
              <w:t>1,848</w:t>
            </w: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Stock</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based compensation costs, net of income</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tax,</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included in net income as reported</w:t>
            </w:r>
          </w:p>
        </w:tc>
        <w:tc>
          <w:tcPr>
            <w:tcW w:w="46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380" w:type="dxa"/>
            <w:vAlign w:val="bottom"/>
          </w:tcPr>
          <w:p>
            <w:pPr>
              <w:jc w:val="right"/>
              <w:ind w:right="5041"/>
              <w:spacing w:after="0"/>
              <w:rPr>
                <w:sz w:val="20"/>
                <w:szCs w:val="20"/>
                <w:color w:val="auto"/>
              </w:rPr>
            </w:pPr>
            <w:r>
              <w:rPr>
                <w:rFonts w:ascii="Courier New" w:cs="Courier New" w:eastAsia="Courier New" w:hAnsi="Courier New"/>
                <w:sz w:val="12"/>
                <w:szCs w:val="12"/>
                <w:color w:val="auto"/>
              </w:rPr>
              <w:t>--</w:t>
            </w: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Stock</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based compensation costs, net of income</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tax,</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that would have been included in net</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4660" w:type="dxa"/>
            <w:vAlign w:val="bottom"/>
            <w:gridSpan w:val="2"/>
          </w:tcPr>
          <w:p>
            <w:pPr>
              <w:ind w:left="1260"/>
              <w:spacing w:after="0"/>
              <w:rPr>
                <w:sz w:val="20"/>
                <w:szCs w:val="20"/>
                <w:color w:val="auto"/>
              </w:rPr>
            </w:pPr>
            <w:r>
              <w:rPr>
                <w:rFonts w:ascii="Courier New" w:cs="Courier New" w:eastAsia="Courier New" w:hAnsi="Courier New"/>
                <w:sz w:val="12"/>
                <w:szCs w:val="12"/>
                <w:color w:val="auto"/>
              </w:rPr>
              <w:t>income if the fair value method had been</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4660" w:type="dxa"/>
            <w:vAlign w:val="bottom"/>
            <w:gridSpan w:val="2"/>
          </w:tcPr>
          <w:p>
            <w:pPr>
              <w:ind w:left="1260"/>
              <w:spacing w:after="0"/>
              <w:rPr>
                <w:sz w:val="20"/>
                <w:szCs w:val="20"/>
                <w:color w:val="auto"/>
              </w:rPr>
            </w:pPr>
            <w:r>
              <w:rPr>
                <w:rFonts w:ascii="Courier New" w:cs="Courier New" w:eastAsia="Courier New" w:hAnsi="Courier New"/>
                <w:sz w:val="12"/>
                <w:szCs w:val="12"/>
                <w:color w:val="auto"/>
              </w:rPr>
              <w:t>applied</w:t>
            </w:r>
          </w:p>
        </w:tc>
        <w:tc>
          <w:tcPr>
            <w:tcW w:w="460" w:type="dxa"/>
            <w:vAlign w:val="bottom"/>
          </w:tcPr>
          <w:p>
            <w:pPr>
              <w:spacing w:after="0"/>
              <w:rPr>
                <w:sz w:val="11"/>
                <w:szCs w:val="11"/>
                <w:color w:val="auto"/>
              </w:rPr>
            </w:pPr>
          </w:p>
        </w:tc>
        <w:tc>
          <w:tcPr>
            <w:tcW w:w="7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10</w:t>
            </w:r>
          </w:p>
        </w:tc>
        <w:tc>
          <w:tcPr>
            <w:tcW w:w="200" w:type="dxa"/>
            <w:vAlign w:val="bottom"/>
          </w:tcPr>
          <w:p>
            <w:pPr>
              <w:spacing w:after="0"/>
              <w:rPr>
                <w:sz w:val="11"/>
                <w:szCs w:val="11"/>
                <w:color w:val="auto"/>
              </w:rPr>
            </w:pPr>
          </w:p>
        </w:tc>
        <w:tc>
          <w:tcPr>
            <w:tcW w:w="5380" w:type="dxa"/>
            <w:vAlign w:val="bottom"/>
          </w:tcPr>
          <w:p>
            <w:pPr>
              <w:jc w:val="right"/>
              <w:ind w:right="4901"/>
              <w:spacing w:after="0"/>
              <w:rPr>
                <w:sz w:val="20"/>
                <w:szCs w:val="20"/>
                <w:color w:val="auto"/>
              </w:rPr>
            </w:pPr>
            <w:r>
              <w:rPr>
                <w:rFonts w:ascii="Courier New" w:cs="Courier New" w:eastAsia="Courier New" w:hAnsi="Courier New"/>
                <w:sz w:val="12"/>
                <w:szCs w:val="12"/>
                <w:color w:val="auto"/>
              </w:rPr>
              <w:t>14</w:t>
            </w:r>
          </w:p>
        </w:tc>
      </w:tr>
      <w:tr>
        <w:trPr>
          <w:trHeight w:val="135"/>
        </w:trPr>
        <w:tc>
          <w:tcPr>
            <w:tcW w:w="16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w:t>
            </w:r>
          </w:p>
        </w:tc>
        <w:tc>
          <w:tcPr>
            <w:tcW w:w="5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w:t>
            </w:r>
          </w:p>
        </w:tc>
      </w:tr>
      <w:tr>
        <w:trPr>
          <w:trHeight w:val="135"/>
        </w:trPr>
        <w:tc>
          <w:tcPr>
            <w:tcW w:w="4660" w:type="dxa"/>
            <w:vAlign w:val="bottom"/>
            <w:gridSpan w:val="2"/>
          </w:tcPr>
          <w:p>
            <w:pPr>
              <w:ind w:left="980"/>
              <w:spacing w:after="0"/>
              <w:rPr>
                <w:sz w:val="20"/>
                <w:szCs w:val="20"/>
                <w:color w:val="auto"/>
              </w:rPr>
            </w:pPr>
            <w:r>
              <w:rPr>
                <w:rFonts w:ascii="Courier New" w:cs="Courier New" w:eastAsia="Courier New" w:hAnsi="Courier New"/>
                <w:sz w:val="12"/>
                <w:szCs w:val="12"/>
                <w:color w:val="auto"/>
              </w:rPr>
              <w:t>Net income - proforma</w:t>
            </w:r>
          </w:p>
        </w:tc>
        <w:tc>
          <w:tcPr>
            <w:tcW w:w="46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3,633</w:t>
            </w:r>
          </w:p>
        </w:tc>
        <w:tc>
          <w:tcPr>
            <w:tcW w:w="200" w:type="dxa"/>
            <w:vAlign w:val="bottom"/>
          </w:tcPr>
          <w:p>
            <w:pPr>
              <w:spacing w:after="0"/>
              <w:rPr>
                <w:sz w:val="11"/>
                <w:szCs w:val="11"/>
                <w:color w:val="auto"/>
              </w:rPr>
            </w:pPr>
          </w:p>
        </w:tc>
        <w:tc>
          <w:tcPr>
            <w:tcW w:w="5380" w:type="dxa"/>
            <w:vAlign w:val="bottom"/>
          </w:tcPr>
          <w:p>
            <w:pPr>
              <w:jc w:val="right"/>
              <w:ind w:right="4901"/>
              <w:spacing w:after="0"/>
              <w:rPr>
                <w:sz w:val="20"/>
                <w:szCs w:val="20"/>
                <w:color w:val="auto"/>
              </w:rPr>
            </w:pPr>
            <w:r>
              <w:rPr>
                <w:rFonts w:ascii="Courier New" w:cs="Courier New" w:eastAsia="Courier New" w:hAnsi="Courier New"/>
                <w:sz w:val="12"/>
                <w:szCs w:val="12"/>
                <w:color w:val="auto"/>
                <w:w w:val="92"/>
              </w:rPr>
              <w:t>$1,834</w:t>
            </w:r>
          </w:p>
        </w:tc>
      </w:tr>
      <w:tr>
        <w:trPr>
          <w:trHeight w:val="135"/>
        </w:trPr>
        <w:tc>
          <w:tcPr>
            <w:tcW w:w="16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w:t>
            </w:r>
          </w:p>
        </w:tc>
        <w:tc>
          <w:tcPr>
            <w:tcW w:w="5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w:t>
            </w:r>
          </w:p>
        </w:tc>
      </w:tr>
      <w:tr>
        <w:trPr>
          <w:trHeight w:val="270"/>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Earnings</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per share - as reported</w:t>
            </w:r>
          </w:p>
        </w:tc>
        <w:tc>
          <w:tcPr>
            <w:tcW w:w="46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0.24</w:t>
            </w:r>
          </w:p>
        </w:tc>
        <w:tc>
          <w:tcPr>
            <w:tcW w:w="200" w:type="dxa"/>
            <w:vAlign w:val="bottom"/>
          </w:tcPr>
          <w:p>
            <w:pPr>
              <w:spacing w:after="0"/>
              <w:rPr>
                <w:sz w:val="23"/>
                <w:szCs w:val="23"/>
                <w:color w:val="auto"/>
              </w:rPr>
            </w:pPr>
          </w:p>
        </w:tc>
        <w:tc>
          <w:tcPr>
            <w:tcW w:w="5380" w:type="dxa"/>
            <w:vAlign w:val="bottom"/>
          </w:tcPr>
          <w:p>
            <w:pPr>
              <w:jc w:val="right"/>
              <w:ind w:right="4901"/>
              <w:spacing w:after="0"/>
              <w:rPr>
                <w:sz w:val="20"/>
                <w:szCs w:val="20"/>
                <w:color w:val="auto"/>
              </w:rPr>
            </w:pPr>
            <w:r>
              <w:rPr>
                <w:rFonts w:ascii="Courier New" w:cs="Courier New" w:eastAsia="Courier New" w:hAnsi="Courier New"/>
                <w:sz w:val="12"/>
                <w:szCs w:val="12"/>
                <w:color w:val="auto"/>
                <w:w w:val="92"/>
              </w:rPr>
              <w:t>$ 0.12</w:t>
            </w: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Stock</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based compensation costs, net of income</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tax,</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included in net income as reported</w:t>
            </w:r>
          </w:p>
        </w:tc>
        <w:tc>
          <w:tcPr>
            <w:tcW w:w="46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380" w:type="dxa"/>
            <w:vAlign w:val="bottom"/>
          </w:tcPr>
          <w:p>
            <w:pPr>
              <w:jc w:val="right"/>
              <w:ind w:right="4901"/>
              <w:spacing w:after="0"/>
              <w:rPr>
                <w:sz w:val="20"/>
                <w:szCs w:val="20"/>
                <w:color w:val="auto"/>
              </w:rPr>
            </w:pPr>
            <w:r>
              <w:rPr>
                <w:rFonts w:ascii="Courier New" w:cs="Courier New" w:eastAsia="Courier New" w:hAnsi="Courier New"/>
                <w:sz w:val="12"/>
                <w:szCs w:val="12"/>
                <w:color w:val="auto"/>
              </w:rPr>
              <w:t>--</w:t>
            </w: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Stock</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based compensation costs, net of income</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tax,</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that would have been included in net</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4660" w:type="dxa"/>
            <w:vAlign w:val="bottom"/>
            <w:gridSpan w:val="2"/>
          </w:tcPr>
          <w:p>
            <w:pPr>
              <w:ind w:left="1260"/>
              <w:spacing w:after="0"/>
              <w:rPr>
                <w:sz w:val="20"/>
                <w:szCs w:val="20"/>
                <w:color w:val="auto"/>
              </w:rPr>
            </w:pPr>
            <w:r>
              <w:rPr>
                <w:rFonts w:ascii="Courier New" w:cs="Courier New" w:eastAsia="Courier New" w:hAnsi="Courier New"/>
                <w:sz w:val="12"/>
                <w:szCs w:val="12"/>
                <w:color w:val="auto"/>
              </w:rPr>
              <w:t>income if the fair value method had been</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4660" w:type="dxa"/>
            <w:vAlign w:val="bottom"/>
            <w:gridSpan w:val="2"/>
          </w:tcPr>
          <w:p>
            <w:pPr>
              <w:ind w:left="1260"/>
              <w:spacing w:after="0"/>
              <w:rPr>
                <w:sz w:val="20"/>
                <w:szCs w:val="20"/>
                <w:color w:val="auto"/>
              </w:rPr>
            </w:pPr>
            <w:r>
              <w:rPr>
                <w:rFonts w:ascii="Courier New" w:cs="Courier New" w:eastAsia="Courier New" w:hAnsi="Courier New"/>
                <w:sz w:val="12"/>
                <w:szCs w:val="12"/>
                <w:color w:val="auto"/>
              </w:rPr>
              <w:t>applied</w:t>
            </w:r>
          </w:p>
        </w:tc>
        <w:tc>
          <w:tcPr>
            <w:tcW w:w="46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380" w:type="dxa"/>
            <w:vAlign w:val="bottom"/>
          </w:tcPr>
          <w:p>
            <w:pPr>
              <w:jc w:val="right"/>
              <w:ind w:right="4901"/>
              <w:spacing w:after="0"/>
              <w:rPr>
                <w:sz w:val="20"/>
                <w:szCs w:val="20"/>
                <w:color w:val="auto"/>
              </w:rPr>
            </w:pPr>
            <w:r>
              <w:rPr>
                <w:rFonts w:ascii="Courier New" w:cs="Courier New" w:eastAsia="Courier New" w:hAnsi="Courier New"/>
                <w:sz w:val="12"/>
                <w:szCs w:val="12"/>
                <w:color w:val="auto"/>
              </w:rPr>
              <w:t>--</w:t>
            </w:r>
          </w:p>
        </w:tc>
      </w:tr>
      <w:tr>
        <w:trPr>
          <w:trHeight w:val="135"/>
        </w:trPr>
        <w:tc>
          <w:tcPr>
            <w:tcW w:w="16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w:t>
            </w:r>
          </w:p>
        </w:tc>
        <w:tc>
          <w:tcPr>
            <w:tcW w:w="5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w:t>
            </w: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Earnings</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per share - proforma</w:t>
            </w:r>
          </w:p>
        </w:tc>
        <w:tc>
          <w:tcPr>
            <w:tcW w:w="46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0.24</w:t>
            </w:r>
          </w:p>
        </w:tc>
        <w:tc>
          <w:tcPr>
            <w:tcW w:w="20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5380" w:type="dxa"/>
            <w:vAlign w:val="bottom"/>
          </w:tcPr>
          <w:p>
            <w:pPr>
              <w:jc w:val="right"/>
              <w:ind w:right="4901"/>
              <w:spacing w:after="0"/>
              <w:rPr>
                <w:sz w:val="20"/>
                <w:szCs w:val="20"/>
                <w:color w:val="auto"/>
              </w:rPr>
            </w:pPr>
            <w:r>
              <w:rPr>
                <w:rFonts w:ascii="Courier New" w:cs="Courier New" w:eastAsia="Courier New" w:hAnsi="Courier New"/>
                <w:sz w:val="12"/>
                <w:szCs w:val="12"/>
                <w:color w:val="auto"/>
              </w:rPr>
              <w:t>0.12</w:t>
            </w:r>
          </w:p>
        </w:tc>
      </w:tr>
      <w:tr>
        <w:trPr>
          <w:trHeight w:val="135"/>
        </w:trPr>
        <w:tc>
          <w:tcPr>
            <w:tcW w:w="16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w:t>
            </w:r>
          </w:p>
        </w:tc>
        <w:tc>
          <w:tcPr>
            <w:tcW w:w="5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w:t>
            </w:r>
          </w:p>
        </w:tc>
      </w:tr>
      <w:tr>
        <w:trPr>
          <w:trHeight w:val="270"/>
        </w:trPr>
        <w:tc>
          <w:tcPr>
            <w:tcW w:w="160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Courier New" w:cs="Courier New" w:eastAsia="Courier New" w:hAnsi="Courier New"/>
                <w:sz w:val="12"/>
                <w:szCs w:val="12"/>
                <w:color w:val="auto"/>
              </w:rPr>
              <w:t>10</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380" w:type="dxa"/>
            <w:vAlign w:val="bottom"/>
          </w:tcPr>
          <w:p>
            <w:pPr>
              <w:spacing w:after="0"/>
              <w:rPr>
                <w:sz w:val="23"/>
                <w:szCs w:val="23"/>
                <w:color w:val="auto"/>
              </w:rPr>
            </w:pPr>
          </w:p>
        </w:tc>
      </w:tr>
      <w:tr>
        <w:trPr>
          <w:trHeight w:val="254"/>
        </w:trPr>
        <w:tc>
          <w:tcPr>
            <w:tcW w:w="1600" w:type="dxa"/>
            <w:vAlign w:val="bottom"/>
            <w:tcBorders>
              <w:bottom w:val="single" w:sz="8" w:color="9A9A9A"/>
            </w:tcBorders>
          </w:tcPr>
          <w:p>
            <w:pPr>
              <w:spacing w:after="0"/>
              <w:rPr>
                <w:sz w:val="22"/>
                <w:szCs w:val="22"/>
                <w:color w:val="auto"/>
              </w:rPr>
            </w:pPr>
          </w:p>
        </w:tc>
        <w:tc>
          <w:tcPr>
            <w:tcW w:w="30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78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5380" w:type="dxa"/>
            <w:vAlign w:val="bottom"/>
            <w:tcBorders>
              <w:bottom w:val="single" w:sz="8" w:color="9A9A9A"/>
            </w:tcBorders>
          </w:tcPr>
          <w:p>
            <w:pPr>
              <w:spacing w:after="0"/>
              <w:rPr>
                <w:sz w:val="22"/>
                <w:szCs w:val="22"/>
                <w:color w:val="auto"/>
              </w:rPr>
            </w:pPr>
          </w:p>
        </w:tc>
      </w:tr>
      <w:tr>
        <w:trPr>
          <w:trHeight w:val="383"/>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Earnings</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per share-assuming dilution - as reported</w:t>
            </w:r>
          </w:p>
        </w:tc>
        <w:tc>
          <w:tcPr>
            <w:tcW w:w="46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0.23</w:t>
            </w:r>
          </w:p>
        </w:tc>
        <w:tc>
          <w:tcPr>
            <w:tcW w:w="200" w:type="dxa"/>
            <w:vAlign w:val="bottom"/>
          </w:tcPr>
          <w:p>
            <w:pPr>
              <w:ind w:left="140"/>
              <w:spacing w:after="0"/>
              <w:rPr>
                <w:sz w:val="20"/>
                <w:szCs w:val="20"/>
                <w:color w:val="auto"/>
              </w:rPr>
            </w:pPr>
            <w:r>
              <w:rPr>
                <w:rFonts w:ascii="Courier New" w:cs="Courier New" w:eastAsia="Courier New" w:hAnsi="Courier New"/>
                <w:sz w:val="9"/>
                <w:szCs w:val="9"/>
                <w:color w:val="auto"/>
                <w:w w:val="73"/>
              </w:rPr>
              <w:t>$</w:t>
            </w:r>
          </w:p>
        </w:tc>
        <w:tc>
          <w:tcPr>
            <w:tcW w:w="5380" w:type="dxa"/>
            <w:vAlign w:val="bottom"/>
          </w:tcPr>
          <w:p>
            <w:pPr>
              <w:jc w:val="right"/>
              <w:ind w:right="4821"/>
              <w:spacing w:after="0"/>
              <w:rPr>
                <w:sz w:val="20"/>
                <w:szCs w:val="20"/>
                <w:color w:val="auto"/>
              </w:rPr>
            </w:pPr>
            <w:r>
              <w:rPr>
                <w:rFonts w:ascii="Courier New" w:cs="Courier New" w:eastAsia="Courier New" w:hAnsi="Courier New"/>
                <w:sz w:val="12"/>
                <w:szCs w:val="12"/>
                <w:color w:val="auto"/>
              </w:rPr>
              <w:t>0.12</w:t>
            </w:r>
          </w:p>
        </w:tc>
      </w:tr>
      <w:tr>
        <w:trPr>
          <w:trHeight w:val="135"/>
        </w:trPr>
        <w:tc>
          <w:tcPr>
            <w:tcW w:w="4660" w:type="dxa"/>
            <w:vAlign w:val="bottom"/>
            <w:gridSpan w:val="2"/>
          </w:tcPr>
          <w:p>
            <w:pPr>
              <w:ind w:left="980"/>
              <w:spacing w:after="0"/>
              <w:rPr>
                <w:sz w:val="20"/>
                <w:szCs w:val="20"/>
                <w:color w:val="auto"/>
              </w:rPr>
            </w:pPr>
            <w:r>
              <w:rPr>
                <w:rFonts w:ascii="Courier New" w:cs="Courier New" w:eastAsia="Courier New" w:hAnsi="Courier New"/>
                <w:sz w:val="12"/>
                <w:szCs w:val="12"/>
                <w:color w:val="auto"/>
              </w:rPr>
              <w:t>Stock based compensation costs, net of income tax,</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4660" w:type="dxa"/>
            <w:vAlign w:val="bottom"/>
            <w:gridSpan w:val="2"/>
          </w:tcPr>
          <w:p>
            <w:pPr>
              <w:ind w:left="1260"/>
              <w:spacing w:after="0"/>
              <w:rPr>
                <w:sz w:val="20"/>
                <w:szCs w:val="20"/>
                <w:color w:val="auto"/>
              </w:rPr>
            </w:pPr>
            <w:r>
              <w:rPr>
                <w:rFonts w:ascii="Courier New" w:cs="Courier New" w:eastAsia="Courier New" w:hAnsi="Courier New"/>
                <w:sz w:val="12"/>
                <w:szCs w:val="12"/>
                <w:color w:val="auto"/>
              </w:rPr>
              <w:t>included in net income as reported</w:t>
            </w:r>
          </w:p>
        </w:tc>
        <w:tc>
          <w:tcPr>
            <w:tcW w:w="46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380" w:type="dxa"/>
            <w:vAlign w:val="bottom"/>
          </w:tcPr>
          <w:p>
            <w:pPr>
              <w:jc w:val="right"/>
              <w:ind w:right="4901"/>
              <w:spacing w:after="0"/>
              <w:rPr>
                <w:sz w:val="20"/>
                <w:szCs w:val="20"/>
                <w:color w:val="auto"/>
              </w:rPr>
            </w:pPr>
            <w:r>
              <w:rPr>
                <w:rFonts w:ascii="Courier New" w:cs="Courier New" w:eastAsia="Courier New" w:hAnsi="Courier New"/>
                <w:sz w:val="12"/>
                <w:szCs w:val="12"/>
                <w:color w:val="auto"/>
              </w:rPr>
              <w:t>--</w:t>
            </w:r>
          </w:p>
        </w:tc>
      </w:tr>
      <w:tr>
        <w:trPr>
          <w:trHeight w:val="135"/>
        </w:trPr>
        <w:tc>
          <w:tcPr>
            <w:tcW w:w="4660" w:type="dxa"/>
            <w:vAlign w:val="bottom"/>
            <w:gridSpan w:val="2"/>
          </w:tcPr>
          <w:p>
            <w:pPr>
              <w:ind w:left="980"/>
              <w:spacing w:after="0"/>
              <w:rPr>
                <w:sz w:val="20"/>
                <w:szCs w:val="20"/>
                <w:color w:val="auto"/>
              </w:rPr>
            </w:pPr>
            <w:r>
              <w:rPr>
                <w:rFonts w:ascii="Courier New" w:cs="Courier New" w:eastAsia="Courier New" w:hAnsi="Courier New"/>
                <w:sz w:val="12"/>
                <w:szCs w:val="12"/>
                <w:color w:val="auto"/>
              </w:rPr>
              <w:t>Stock based compensation costs, net of income tax,</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that</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would have been included in net income if</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4660" w:type="dxa"/>
            <w:vAlign w:val="bottom"/>
            <w:gridSpan w:val="2"/>
          </w:tcPr>
          <w:p>
            <w:pPr>
              <w:ind w:left="1260"/>
              <w:spacing w:after="0"/>
              <w:rPr>
                <w:sz w:val="20"/>
                <w:szCs w:val="20"/>
                <w:color w:val="auto"/>
              </w:rPr>
            </w:pPr>
            <w:r>
              <w:rPr>
                <w:rFonts w:ascii="Courier New" w:cs="Courier New" w:eastAsia="Courier New" w:hAnsi="Courier New"/>
                <w:sz w:val="12"/>
                <w:szCs w:val="12"/>
                <w:color w:val="auto"/>
              </w:rPr>
              <w:t>the fair value method had been applied</w:t>
            </w:r>
          </w:p>
        </w:tc>
        <w:tc>
          <w:tcPr>
            <w:tcW w:w="46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380" w:type="dxa"/>
            <w:vAlign w:val="bottom"/>
          </w:tcPr>
          <w:p>
            <w:pPr>
              <w:jc w:val="right"/>
              <w:ind w:right="4901"/>
              <w:spacing w:after="0"/>
              <w:rPr>
                <w:sz w:val="20"/>
                <w:szCs w:val="20"/>
                <w:color w:val="auto"/>
              </w:rPr>
            </w:pPr>
            <w:r>
              <w:rPr>
                <w:rFonts w:ascii="Courier New" w:cs="Courier New" w:eastAsia="Courier New" w:hAnsi="Courier New"/>
                <w:sz w:val="12"/>
                <w:szCs w:val="12"/>
                <w:color w:val="auto"/>
              </w:rPr>
              <w:t>--</w:t>
            </w:r>
          </w:p>
        </w:tc>
      </w:tr>
      <w:tr>
        <w:trPr>
          <w:trHeight w:val="135"/>
        </w:trPr>
        <w:tc>
          <w:tcPr>
            <w:tcW w:w="16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w:t>
            </w:r>
          </w:p>
        </w:tc>
        <w:tc>
          <w:tcPr>
            <w:tcW w:w="5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w:t>
            </w:r>
          </w:p>
        </w:tc>
      </w:tr>
      <w:tr>
        <w:trPr>
          <w:trHeight w:val="13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Earnings</w:t>
            </w:r>
          </w:p>
        </w:tc>
        <w:tc>
          <w:tcPr>
            <w:tcW w:w="3060" w:type="dxa"/>
            <w:vAlign w:val="bottom"/>
          </w:tcPr>
          <w:p>
            <w:pPr>
              <w:spacing w:after="0"/>
              <w:rPr>
                <w:sz w:val="20"/>
                <w:szCs w:val="20"/>
                <w:color w:val="auto"/>
              </w:rPr>
            </w:pPr>
            <w:r>
              <w:rPr>
                <w:rFonts w:ascii="Courier New" w:cs="Courier New" w:eastAsia="Courier New" w:hAnsi="Courier New"/>
                <w:sz w:val="12"/>
                <w:szCs w:val="12"/>
                <w:color w:val="auto"/>
              </w:rPr>
              <w:t>per share - assuming dilution-proforma</w:t>
            </w:r>
          </w:p>
        </w:tc>
        <w:tc>
          <w:tcPr>
            <w:tcW w:w="46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0.23</w:t>
            </w:r>
          </w:p>
        </w:tc>
        <w:tc>
          <w:tcPr>
            <w:tcW w:w="20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5380" w:type="dxa"/>
            <w:vAlign w:val="bottom"/>
          </w:tcPr>
          <w:p>
            <w:pPr>
              <w:jc w:val="right"/>
              <w:ind w:right="4821"/>
              <w:spacing w:after="0"/>
              <w:rPr>
                <w:sz w:val="20"/>
                <w:szCs w:val="20"/>
                <w:color w:val="auto"/>
              </w:rPr>
            </w:pPr>
            <w:r>
              <w:rPr>
                <w:rFonts w:ascii="Courier New" w:cs="Courier New" w:eastAsia="Courier New" w:hAnsi="Courier New"/>
                <w:sz w:val="12"/>
                <w:szCs w:val="12"/>
                <w:color w:val="auto"/>
              </w:rPr>
              <w:t>0.12</w:t>
            </w:r>
          </w:p>
        </w:tc>
      </w:tr>
      <w:tr>
        <w:trPr>
          <w:trHeight w:val="135"/>
        </w:trPr>
        <w:tc>
          <w:tcPr>
            <w:tcW w:w="16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w:t>
            </w:r>
          </w:p>
        </w:tc>
        <w:tc>
          <w:tcPr>
            <w:tcW w:w="55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w:t>
            </w:r>
          </w:p>
        </w:tc>
      </w:tr>
      <w:tr>
        <w:trPr>
          <w:trHeight w:val="405"/>
        </w:trPr>
        <w:tc>
          <w:tcPr>
            <w:tcW w:w="1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The fair</w:t>
            </w:r>
          </w:p>
        </w:tc>
        <w:tc>
          <w:tcPr>
            <w:tcW w:w="4300" w:type="dxa"/>
            <w:vAlign w:val="bottom"/>
            <w:gridSpan w:val="3"/>
          </w:tcPr>
          <w:p>
            <w:pPr>
              <w:spacing w:after="0"/>
              <w:rPr>
                <w:sz w:val="20"/>
                <w:szCs w:val="20"/>
                <w:color w:val="auto"/>
              </w:rPr>
            </w:pPr>
            <w:r>
              <w:rPr>
                <w:rFonts w:ascii="Courier New" w:cs="Courier New" w:eastAsia="Courier New" w:hAnsi="Courier New"/>
                <w:sz w:val="12"/>
                <w:szCs w:val="12"/>
                <w:color w:val="auto"/>
              </w:rPr>
              <w:t>value of each option grant was estimated based on actual</w:t>
            </w:r>
          </w:p>
        </w:tc>
        <w:tc>
          <w:tcPr>
            <w:tcW w:w="2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135"/>
        </w:trPr>
        <w:tc>
          <w:tcPr>
            <w:tcW w:w="5900" w:type="dxa"/>
            <w:vAlign w:val="bottom"/>
            <w:gridSpan w:val="4"/>
          </w:tcPr>
          <w:p>
            <w:pPr>
              <w:ind w:left="980"/>
              <w:spacing w:after="0"/>
              <w:rPr>
                <w:sz w:val="20"/>
                <w:szCs w:val="20"/>
                <w:color w:val="auto"/>
              </w:rPr>
            </w:pPr>
            <w:r>
              <w:rPr>
                <w:rFonts w:ascii="Courier New" w:cs="Courier New" w:eastAsia="Courier New" w:hAnsi="Courier New"/>
                <w:sz w:val="12"/>
                <w:szCs w:val="12"/>
                <w:color w:val="auto"/>
              </w:rPr>
              <w:t>information available through March 31, 2003 and 2002 using the</w:t>
            </w: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135"/>
        </w:trPr>
        <w:tc>
          <w:tcPr>
            <w:tcW w:w="5900" w:type="dxa"/>
            <w:vAlign w:val="bottom"/>
            <w:gridSpan w:val="4"/>
          </w:tcPr>
          <w:p>
            <w:pPr>
              <w:ind w:left="980"/>
              <w:spacing w:after="0"/>
              <w:rPr>
                <w:sz w:val="20"/>
                <w:szCs w:val="20"/>
                <w:color w:val="auto"/>
              </w:rPr>
            </w:pPr>
            <w:r>
              <w:rPr>
                <w:rFonts w:ascii="Courier New" w:cs="Courier New" w:eastAsia="Courier New" w:hAnsi="Courier New"/>
                <w:sz w:val="12"/>
                <w:szCs w:val="12"/>
                <w:color w:val="auto"/>
              </w:rPr>
              <w:t>Black Scholes option-pricing model with the following assumptions:</w:t>
            </w:r>
          </w:p>
        </w:tc>
        <w:tc>
          <w:tcPr>
            <w:tcW w:w="200" w:type="dxa"/>
            <w:vAlign w:val="bottom"/>
          </w:tcPr>
          <w:p>
            <w:pPr>
              <w:spacing w:after="0"/>
              <w:rPr>
                <w:sz w:val="11"/>
                <w:szCs w:val="11"/>
                <w:color w:val="auto"/>
              </w:rPr>
            </w:pPr>
          </w:p>
        </w:tc>
        <w:tc>
          <w:tcPr>
            <w:tcW w:w="5380" w:type="dxa"/>
            <w:vAlign w:val="bottom"/>
          </w:tcPr>
          <w:p>
            <w:pPr>
              <w:spacing w:after="0"/>
              <w:rPr>
                <w:sz w:val="11"/>
                <w:szCs w:val="11"/>
                <w:color w:val="auto"/>
              </w:rPr>
            </w:pPr>
          </w:p>
        </w:tc>
      </w:tr>
      <w:tr>
        <w:trPr>
          <w:trHeight w:val="405"/>
        </w:trPr>
        <w:tc>
          <w:tcPr>
            <w:tcW w:w="1600" w:type="dxa"/>
            <w:vAlign w:val="bottom"/>
          </w:tcPr>
          <w:p>
            <w:pPr>
              <w:spacing w:after="0"/>
              <w:rPr>
                <w:sz w:val="20"/>
                <w:szCs w:val="20"/>
                <w:color w:val="auto"/>
              </w:rPr>
            </w:pPr>
            <w:r>
              <w:rPr>
                <w:rFonts w:ascii="Courier New" w:cs="Courier New" w:eastAsia="Courier New" w:hAnsi="Courier New"/>
                <w:sz w:val="12"/>
                <w:szCs w:val="12"/>
                <w:color w:val="auto"/>
              </w:rPr>
              <w:t>Term</w:t>
            </w:r>
          </w:p>
        </w:tc>
        <w:tc>
          <w:tcPr>
            <w:tcW w:w="3060" w:type="dxa"/>
            <w:vAlign w:val="bottom"/>
          </w:tcPr>
          <w:p>
            <w:pPr>
              <w:ind w:left="500"/>
              <w:spacing w:after="0"/>
              <w:rPr>
                <w:sz w:val="20"/>
                <w:szCs w:val="20"/>
                <w:color w:val="auto"/>
              </w:rPr>
            </w:pPr>
            <w:r>
              <w:rPr>
                <w:rFonts w:ascii="Courier New" w:cs="Courier New" w:eastAsia="Courier New" w:hAnsi="Courier New"/>
                <w:sz w:val="12"/>
                <w:szCs w:val="12"/>
                <w:color w:val="auto"/>
              </w:rPr>
              <w:t>Vesting period</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w w:val="95"/>
              </w:rPr>
              <w:t>Risk free interest rate</w:t>
            </w:r>
          </w:p>
        </w:tc>
        <w:tc>
          <w:tcPr>
            <w:tcW w:w="4500" w:type="dxa"/>
            <w:vAlign w:val="bottom"/>
            <w:gridSpan w:val="4"/>
          </w:tcPr>
          <w:p>
            <w:pPr>
              <w:ind w:left="500"/>
              <w:spacing w:after="0"/>
              <w:rPr>
                <w:sz w:val="20"/>
                <w:szCs w:val="20"/>
                <w:color w:val="auto"/>
              </w:rPr>
            </w:pPr>
            <w:r>
              <w:rPr>
                <w:rFonts w:ascii="Courier New" w:cs="Courier New" w:eastAsia="Courier New" w:hAnsi="Courier New"/>
                <w:sz w:val="12"/>
                <w:szCs w:val="12"/>
                <w:color w:val="auto"/>
                <w:w w:val="98"/>
              </w:rPr>
              <w:t>3.28% and 3.28% at March 31, 2003 and 2002, respectively</w:t>
            </w:r>
          </w:p>
        </w:tc>
        <w:tc>
          <w:tcPr>
            <w:tcW w:w="5380" w:type="dxa"/>
            <w:vAlign w:val="bottom"/>
          </w:tcPr>
          <w:p>
            <w:pPr>
              <w:spacing w:after="0"/>
              <w:rPr>
                <w:sz w:val="11"/>
                <w:szCs w:val="11"/>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Dividend yield</w:t>
            </w:r>
          </w:p>
        </w:tc>
        <w:tc>
          <w:tcPr>
            <w:tcW w:w="4500" w:type="dxa"/>
            <w:vAlign w:val="bottom"/>
            <w:gridSpan w:val="4"/>
          </w:tcPr>
          <w:p>
            <w:pPr>
              <w:ind w:left="500"/>
              <w:spacing w:after="0"/>
              <w:rPr>
                <w:sz w:val="20"/>
                <w:szCs w:val="20"/>
                <w:color w:val="auto"/>
              </w:rPr>
            </w:pPr>
            <w:r>
              <w:rPr>
                <w:rFonts w:ascii="Courier New" w:cs="Courier New" w:eastAsia="Courier New" w:hAnsi="Courier New"/>
                <w:sz w:val="12"/>
                <w:szCs w:val="12"/>
                <w:color w:val="auto"/>
                <w:w w:val="98"/>
              </w:rPr>
              <w:t>3.66% and 2.91% at March 31, 2003 and 2002, respectively</w:t>
            </w:r>
          </w:p>
        </w:tc>
        <w:tc>
          <w:tcPr>
            <w:tcW w:w="5380" w:type="dxa"/>
            <w:vAlign w:val="bottom"/>
          </w:tcPr>
          <w:p>
            <w:pPr>
              <w:spacing w:after="0"/>
              <w:rPr>
                <w:sz w:val="11"/>
                <w:szCs w:val="11"/>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Volatility</w:t>
            </w:r>
          </w:p>
        </w:tc>
        <w:tc>
          <w:tcPr>
            <w:tcW w:w="4500" w:type="dxa"/>
            <w:vAlign w:val="bottom"/>
            <w:gridSpan w:val="4"/>
          </w:tcPr>
          <w:p>
            <w:pPr>
              <w:ind w:left="500"/>
              <w:spacing w:after="0"/>
              <w:rPr>
                <w:sz w:val="20"/>
                <w:szCs w:val="20"/>
                <w:color w:val="auto"/>
              </w:rPr>
            </w:pPr>
            <w:r>
              <w:rPr>
                <w:rFonts w:ascii="Courier New" w:cs="Courier New" w:eastAsia="Courier New" w:hAnsi="Courier New"/>
                <w:sz w:val="12"/>
                <w:szCs w:val="12"/>
                <w:color w:val="auto"/>
                <w:w w:val="96"/>
              </w:rPr>
              <w:t>50.11% and 40.2% at March 31, 2003 and 2002, respectively</w:t>
            </w:r>
          </w:p>
        </w:tc>
        <w:tc>
          <w:tcPr>
            <w:tcW w:w="53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-1898015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-1898015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November 2002, the FASB issued FASB Interpretation ("FIN") No. 45,</w:t>
      </w:r>
    </w:p>
    <w:p>
      <w:pPr>
        <w:spacing w:after="0"/>
        <w:rPr>
          <w:sz w:val="20"/>
          <w:szCs w:val="20"/>
          <w:color w:val="auto"/>
        </w:rPr>
      </w:pPr>
      <w:r>
        <w:rPr>
          <w:rFonts w:ascii="Courier New" w:cs="Courier New" w:eastAsia="Courier New" w:hAnsi="Courier New"/>
          <w:sz w:val="12"/>
          <w:szCs w:val="12"/>
          <w:color w:val="auto"/>
        </w:rPr>
        <w:t>"Guarantor's Accounting and Disclosure Requirements for Guarantees, Including</w:t>
      </w:r>
    </w:p>
    <w:p>
      <w:pPr>
        <w:spacing w:after="0" w:line="237" w:lineRule="auto"/>
        <w:rPr>
          <w:sz w:val="20"/>
          <w:szCs w:val="20"/>
          <w:color w:val="auto"/>
        </w:rPr>
      </w:pPr>
      <w:r>
        <w:rPr>
          <w:rFonts w:ascii="Courier New" w:cs="Courier New" w:eastAsia="Courier New" w:hAnsi="Courier New"/>
          <w:sz w:val="12"/>
          <w:szCs w:val="12"/>
          <w:color w:val="auto"/>
        </w:rPr>
        <w:t>Indirect Guarantees of Indebtedness of Others," an interpretation of FASB</w:t>
      </w:r>
    </w:p>
    <w:p>
      <w:pPr>
        <w:spacing w:after="0"/>
        <w:rPr>
          <w:sz w:val="20"/>
          <w:szCs w:val="20"/>
          <w:color w:val="auto"/>
        </w:rPr>
      </w:pPr>
      <w:r>
        <w:rPr>
          <w:rFonts w:ascii="Courier New" w:cs="Courier New" w:eastAsia="Courier New" w:hAnsi="Courier New"/>
          <w:sz w:val="12"/>
          <w:szCs w:val="12"/>
          <w:color w:val="auto"/>
        </w:rPr>
        <w:t>Statements No. 5, 57, and 107 and rescission of FASB Interpretation No. 34. This</w:t>
      </w:r>
    </w:p>
    <w:p>
      <w:pPr>
        <w:spacing w:after="0" w:line="237" w:lineRule="auto"/>
        <w:rPr>
          <w:sz w:val="20"/>
          <w:szCs w:val="20"/>
          <w:color w:val="auto"/>
        </w:rPr>
      </w:pPr>
      <w:r>
        <w:rPr>
          <w:rFonts w:ascii="Courier New" w:cs="Courier New" w:eastAsia="Courier New" w:hAnsi="Courier New"/>
          <w:sz w:val="12"/>
          <w:szCs w:val="12"/>
          <w:color w:val="auto"/>
        </w:rPr>
        <w:t>interpretation elaborates the disclosures to be made by a guarantor in its</w:t>
      </w:r>
    </w:p>
    <w:p>
      <w:pPr>
        <w:spacing w:after="0"/>
        <w:rPr>
          <w:sz w:val="20"/>
          <w:szCs w:val="20"/>
          <w:color w:val="auto"/>
        </w:rPr>
      </w:pPr>
      <w:r>
        <w:rPr>
          <w:rFonts w:ascii="Courier New" w:cs="Courier New" w:eastAsia="Courier New" w:hAnsi="Courier New"/>
          <w:sz w:val="12"/>
          <w:szCs w:val="12"/>
          <w:color w:val="auto"/>
        </w:rPr>
        <w:t>interim and annual financial statements about its obligations under certain</w:t>
      </w:r>
    </w:p>
    <w:p>
      <w:pPr>
        <w:spacing w:after="0" w:line="237" w:lineRule="auto"/>
        <w:rPr>
          <w:sz w:val="20"/>
          <w:szCs w:val="20"/>
          <w:color w:val="auto"/>
        </w:rPr>
      </w:pPr>
      <w:r>
        <w:rPr>
          <w:rFonts w:ascii="Courier New" w:cs="Courier New" w:eastAsia="Courier New" w:hAnsi="Courier New"/>
          <w:sz w:val="12"/>
          <w:szCs w:val="12"/>
          <w:color w:val="auto"/>
        </w:rPr>
        <w:t>guarantees that it has issued. It also clarifies that a guarantor is required to</w:t>
      </w:r>
    </w:p>
    <w:p>
      <w:pPr>
        <w:spacing w:after="0"/>
        <w:rPr>
          <w:sz w:val="20"/>
          <w:szCs w:val="20"/>
          <w:color w:val="auto"/>
        </w:rPr>
      </w:pPr>
      <w:r>
        <w:rPr>
          <w:rFonts w:ascii="Courier New" w:cs="Courier New" w:eastAsia="Courier New" w:hAnsi="Courier New"/>
          <w:sz w:val="12"/>
          <w:szCs w:val="12"/>
          <w:color w:val="auto"/>
        </w:rPr>
        <w:t>recognize, at the inception of a guarantee, a liability for the fair value of</w:t>
      </w:r>
    </w:p>
    <w:p>
      <w:pPr>
        <w:spacing w:after="0" w:line="237" w:lineRule="auto"/>
        <w:rPr>
          <w:sz w:val="20"/>
          <w:szCs w:val="20"/>
          <w:color w:val="auto"/>
        </w:rPr>
      </w:pPr>
      <w:r>
        <w:rPr>
          <w:rFonts w:ascii="Courier New" w:cs="Courier New" w:eastAsia="Courier New" w:hAnsi="Courier New"/>
          <w:sz w:val="12"/>
          <w:szCs w:val="12"/>
          <w:color w:val="auto"/>
        </w:rPr>
        <w:t>the obligation undertaken in issuing the guarantee. The initial recognition and</w:t>
      </w:r>
    </w:p>
    <w:p>
      <w:pPr>
        <w:spacing w:after="0"/>
        <w:rPr>
          <w:sz w:val="20"/>
          <w:szCs w:val="20"/>
          <w:color w:val="auto"/>
        </w:rPr>
      </w:pPr>
      <w:r>
        <w:rPr>
          <w:rFonts w:ascii="Courier New" w:cs="Courier New" w:eastAsia="Courier New" w:hAnsi="Courier New"/>
          <w:sz w:val="12"/>
          <w:szCs w:val="12"/>
          <w:color w:val="auto"/>
        </w:rPr>
        <w:t>initial measurement provisions of this interpretation are applicable on a</w:t>
      </w:r>
    </w:p>
    <w:p>
      <w:pPr>
        <w:spacing w:after="0" w:line="237" w:lineRule="auto"/>
        <w:rPr>
          <w:sz w:val="20"/>
          <w:szCs w:val="20"/>
          <w:color w:val="auto"/>
        </w:rPr>
      </w:pPr>
      <w:r>
        <w:rPr>
          <w:rFonts w:ascii="Courier New" w:cs="Courier New" w:eastAsia="Courier New" w:hAnsi="Courier New"/>
          <w:sz w:val="12"/>
          <w:szCs w:val="12"/>
          <w:color w:val="auto"/>
        </w:rPr>
        <w:t>prospective basis to guarantees issued or modified after December 31, 2002 and</w:t>
      </w:r>
    </w:p>
    <w:p>
      <w:pPr>
        <w:spacing w:after="0"/>
        <w:rPr>
          <w:sz w:val="20"/>
          <w:szCs w:val="20"/>
          <w:color w:val="auto"/>
        </w:rPr>
      </w:pPr>
      <w:r>
        <w:rPr>
          <w:rFonts w:ascii="Courier New" w:cs="Courier New" w:eastAsia="Courier New" w:hAnsi="Courier New"/>
          <w:sz w:val="12"/>
          <w:szCs w:val="12"/>
          <w:color w:val="auto"/>
        </w:rPr>
        <w:t>are not expected to have a material effect on the Company's consolidated results</w:t>
      </w:r>
    </w:p>
    <w:p>
      <w:pPr>
        <w:spacing w:after="0" w:line="237" w:lineRule="auto"/>
        <w:rPr>
          <w:sz w:val="20"/>
          <w:szCs w:val="20"/>
          <w:color w:val="auto"/>
        </w:rPr>
      </w:pPr>
      <w:r>
        <w:rPr>
          <w:rFonts w:ascii="Courier New" w:cs="Courier New" w:eastAsia="Courier New" w:hAnsi="Courier New"/>
          <w:sz w:val="12"/>
          <w:szCs w:val="12"/>
          <w:color w:val="auto"/>
        </w:rPr>
        <w:t>of operations, financial position or cash flows.</w:t>
      </w:r>
    </w:p>
    <w:p>
      <w:pPr>
        <w:sectPr>
          <w:pgSz w:w="11900" w:h="16838" w:orient="portrait"/>
          <w:cols w:equalWidth="0" w:num="1">
            <w:col w:w="11480"/>
          </w:cols>
          <w:pgMar w:left="220" w:top="272" w:right="199" w:bottom="0" w:gutter="0" w:footer="0" w:header="0"/>
        </w:sectPr>
      </w:pPr>
    </w:p>
    <w:bookmarkStart w:id="6" w:name="page7"/>
    <w:bookmarkEnd w:id="6"/>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9.</w:t>
      </w:r>
      <w:r>
        <w:rPr>
          <w:sz w:val="20"/>
          <w:szCs w:val="20"/>
          <w:color w:val="auto"/>
        </w:rPr>
        <w:tab/>
      </w:r>
      <w:r>
        <w:rPr>
          <w:rFonts w:ascii="Courier New" w:cs="Courier New" w:eastAsia="Courier New" w:hAnsi="Courier New"/>
          <w:sz w:val="11"/>
          <w:szCs w:val="11"/>
          <w:b w:val="1"/>
          <w:bCs w:val="1"/>
          <w:color w:val="auto"/>
        </w:rPr>
        <w:t>Long-Term Debt</w:t>
      </w:r>
    </w:p>
    <w:p>
      <w:pPr>
        <w:spacing w:after="0" w:line="139"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On July 12, 2002, the Company amended this credit facility to convert the term loan portion into a reducing revolving credit line providing initial availability equivalent to the balance of the term loan prior to the amendment. Additionally, on July 31, 2002, the Company amended the credit facility again to extend the $25 million senior non-secured revolving credit facility to July 25, 2004. Amounts outstanding under the revolving facility and term loan facility bore interest at a floating rate equal to LIBOR (1.23% at March 31, 2003) plus an applicable margin of 0.75% to 2.00% based upon calculated financial ratios. The loan agreement contains customary financial and non-financial covenants. Such covenants specify that the Company must maintain certain liquidity measures and limits the amount of capital expenditures we may make in any fiscal year. The Company's ownership in NN Euroball ApS has been pledged as collateral. The Company was in compliance with all loan covenants as of March 31, 2003. In connection with the new $90 million syndicated credit facility entered into on May 1, 2003 this credit facility was repaid, see Note 10.</w:t>
      </w:r>
    </w:p>
    <w:p>
      <w:pPr>
        <w:spacing w:after="0" w:line="141"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In connection with the Euroball transaction the Company and NN Euroball ApS, entered into a Facility Agreement with a bank to provide up to Euro 36 million in Term Loans and Euro 5 million in revolving credit loans. The Company borrowed Euro 30.5 million ($28.8 million) under the term loan facility and Euro 1.0 million ($0.9 million) under the revolving credit facility. Amounts outstanding under the Facility Agreement were secured by inventory and accounts receivable and bear interest at EURIBOR (2.52% at March 31, 2003) plus an applicable margin between 0.8% and 2.25% based upon financial ratios. The</w:t>
      </w:r>
    </w:p>
    <w:p>
      <w:pPr>
        <w:spacing w:after="0" w:line="12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shareholders of NN Euroball ApS have provided guarantees for the Facility Agreement. Euroball was in compliance with all loan covenants at March 31, 2003. Amounts outstanding under the Facility Agreement are secured by the stock of certain subsidiaries, inventory and accounts receivable of NN Euroball ApS. In connection with the new $90 million syndicated credit facility entered into on May 1, 2003 this credit facility was repaid, see Note 10.</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Note 10. Subsequent Events</w:t>
      </w:r>
    </w:p>
    <w:p>
      <w:pPr>
        <w:spacing w:after="0" w:line="139" w:lineRule="exact"/>
        <w:rPr>
          <w:sz w:val="20"/>
          <w:szCs w:val="20"/>
          <w:color w:val="auto"/>
        </w:rPr>
      </w:pPr>
    </w:p>
    <w:p>
      <w:pPr>
        <w:ind w:right="4839"/>
        <w:spacing w:after="0" w:line="237" w:lineRule="auto"/>
        <w:rPr>
          <w:sz w:val="20"/>
          <w:szCs w:val="20"/>
          <w:color w:val="auto"/>
        </w:rPr>
      </w:pPr>
      <w:r>
        <w:rPr>
          <w:rFonts w:ascii="Courier New" w:cs="Courier New" w:eastAsia="Courier New" w:hAnsi="Courier New"/>
          <w:sz w:val="12"/>
          <w:szCs w:val="12"/>
          <w:color w:val="auto"/>
        </w:rPr>
        <w:t>On May 2, 2003 we acquired the 23 percent interest in NN Euroball, ApS ("Euroball") held by SKF. We paid approximately 13.8 million Euros ($15.5 million). Euroball was formed in 2000 by the Company, FAG Kugelfischer George Shaefer AG, which was subsequently acquired by INA - Schaeffler KG (collectively, "INA/FAG"), and AB SKF ("SKF"). Upon consummation of this transaction, we became the sole owner of Euroball.</w:t>
      </w:r>
    </w:p>
    <w:p>
      <w:pPr>
        <w:spacing w:after="0" w:line="140" w:lineRule="exact"/>
        <w:rPr>
          <w:sz w:val="20"/>
          <w:szCs w:val="20"/>
          <w:color w:val="auto"/>
        </w:rPr>
      </w:pPr>
    </w:p>
    <w:p>
      <w:pPr>
        <w:ind w:right="4759"/>
        <w:spacing w:after="0" w:line="263" w:lineRule="auto"/>
        <w:rPr>
          <w:sz w:val="20"/>
          <w:szCs w:val="20"/>
          <w:color w:val="auto"/>
        </w:rPr>
      </w:pPr>
      <w:r>
        <w:rPr>
          <w:rFonts w:ascii="Courier New" w:cs="Courier New" w:eastAsia="Courier New" w:hAnsi="Courier New"/>
          <w:sz w:val="11"/>
          <w:szCs w:val="11"/>
          <w:color w:val="auto"/>
        </w:rPr>
        <w:t>On May 2, 2003 we acquired the tapered roller and metal cage manufacturing operations of SKF in Veenendaal, The Netherlands. We paid consideration of approximately 22.2 million Euros ($25.0 million), for the assets acquired from SKF. The Veenendaal operation manufactures rollers for tapered roller bearings and metal cages for both tapered roller and spherical roller bearings.</w:t>
      </w:r>
    </w:p>
    <w:p>
      <w:pPr>
        <w:spacing w:after="0" w:line="128"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In connection with the acquisition of SKF's operations in Veenendaal, The Netherlands, SKF purchased 700,000 shares of our common stock from us for an aggregate purchase price of approximately $6.2 million, which was applied to the purchase of SKF's Veenendaal, The Netherlands operations.</w:t>
      </w:r>
    </w:p>
    <w:p>
      <w:pPr>
        <w:spacing w:after="0" w:line="141"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(1.31% at April 30, 2003) plus an applicable margin of 1.25 to 2.0, a $30.4 million term loan expiring on May 1, 2008, bearing interest at a floating rate equal to LIBOR</w:t>
      </w:r>
    </w:p>
    <w:p>
      <w:pPr>
        <w:spacing w:after="0" w:line="1"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(1.31% at April 30, 2003) plus an applicable margin of 1.25 to 2.0 and a 26.3 million ($29.6 million) Euros term loan expiring on May 1, 2008 which bears interest at a floating rate equal to Euro LIBOR (2.57% at April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agreement is uncollateralized except for the pledge of stock of certain foreign subsidiaries.</w:t>
      </w:r>
    </w:p>
    <w:p>
      <w:pPr>
        <w:spacing w:after="0" w:line="396"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b w:val="1"/>
          <w:bCs w:val="1"/>
          <w:color w:val="auto"/>
        </w:rPr>
        <w:t>MANAGEMENT'S DISCUSSION AND ANALYSIS OF</w:t>
      </w:r>
    </w:p>
    <w:p>
      <w:pPr>
        <w:jc w:val="center"/>
        <w:ind w:right="4559"/>
        <w:spacing w:after="0"/>
        <w:rPr>
          <w:sz w:val="20"/>
          <w:szCs w:val="20"/>
          <w:color w:val="auto"/>
        </w:rPr>
      </w:pPr>
      <w:r>
        <w:rPr>
          <w:rFonts w:ascii="Courier New" w:cs="Courier New" w:eastAsia="Courier New" w:hAnsi="Courier New"/>
          <w:sz w:val="12"/>
          <w:szCs w:val="12"/>
          <w:b w:val="1"/>
          <w:bCs w:val="1"/>
          <w:color w:val="auto"/>
        </w:rPr>
        <w:t>FINANCIAL CONDITION AND RESULTS OF OPERATIONS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Results of Operations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Three Months Ended March 31, 2003 Compared to the Three Months Ended March 31, 2002</w:t>
      </w:r>
    </w:p>
    <w:p>
      <w:pPr>
        <w:spacing w:after="0" w:line="14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i w:val="1"/>
          <w:iCs w:val="1"/>
          <w:color w:val="auto"/>
        </w:rPr>
        <w:t xml:space="preserve">Net Sales. </w:t>
      </w:r>
      <w:r>
        <w:rPr>
          <w:rFonts w:ascii="Courier New" w:cs="Courier New" w:eastAsia="Courier New" w:hAnsi="Courier New"/>
          <w:sz w:val="12"/>
          <w:szCs w:val="12"/>
          <w:color w:val="auto"/>
        </w:rPr>
        <w:t>Net sales increased by approximately $10.4 million or 22.1% from</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$47.2 million for the first quarter of 2002 to $57.6 million for the first quarter of 2003. By segment, sales increased $1.0 million, $2.3 million and $7.1 million for the Domestic Ball and Roller Segment, the Plastic and Rubber Components Segment and the Euroball Segment, respectively. Within the Domestic Ball and Roller Segment and the Plastic and Rubber Components Segment the sales increases were principally related to increased demand. Within the Euroball Segment, $5.5 million of the increase is related to currency impacts while the remaining $1.6 million increase is due to increased product demand.</w:t>
      </w:r>
    </w:p>
    <w:p>
      <w:pPr>
        <w:spacing w:after="0" w:line="143"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i w:val="1"/>
          <w:iCs w:val="1"/>
          <w:color w:val="auto"/>
        </w:rPr>
        <w:t xml:space="preserve">Gross Profit. </w:t>
      </w:r>
      <w:r>
        <w:rPr>
          <w:rFonts w:ascii="Courier New" w:cs="Courier New" w:eastAsia="Courier New" w:hAnsi="Courier New"/>
          <w:sz w:val="11"/>
          <w:szCs w:val="11"/>
          <w:color w:val="auto"/>
        </w:rPr>
        <w:t>Gross profit increased by $3.2 million or 27.4% from $11.7 million</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for the first quarter of 2002 to $14.9 million for the first quarter of 2003. By segment, gross profit increased $0.9 million, $0.2 million and $2.1 million for the Domestic Ball and Roller Segment, the Plastic and Rubber Components Segment and the Euroball Segment, respectively. Capitalized costs related to finished goods inventory increases and sales increases contributed $0.9 million of the increase in the Domestic Ball and Roller Segment. Increased product demand, new sales programs offset by impacts of inventory decreases and insurance expenses in the Plastic and Rubber Components Segment contributed $0.2 million of the</w:t>
      </w:r>
    </w:p>
    <w:p>
      <w:pPr>
        <w:sectPr>
          <w:pgSz w:w="11900" w:h="16838" w:orient="portrait"/>
          <w:cols w:equalWidth="0" w:num="1">
            <w:col w:w="10239"/>
          </w:cols>
          <w:pgMar w:left="220" w:top="137" w:right="1440" w:bottom="0" w:gutter="0" w:footer="0" w:header="0"/>
        </w:sectPr>
      </w:pPr>
    </w:p>
    <w:bookmarkStart w:id="7" w:name="page8"/>
    <w:bookmarkEnd w:id="7"/>
    <w:p>
      <w:pPr>
        <w:ind w:right="4619"/>
        <w:spacing w:after="0" w:line="236" w:lineRule="auto"/>
        <w:rPr>
          <w:sz w:val="20"/>
          <w:szCs w:val="20"/>
          <w:color w:val="auto"/>
        </w:rPr>
      </w:pPr>
      <w:r>
        <w:rPr>
          <w:rFonts w:ascii="Courier New" w:cs="Courier New" w:eastAsia="Courier New" w:hAnsi="Courier New"/>
          <w:sz w:val="12"/>
          <w:szCs w:val="12"/>
          <w:color w:val="auto"/>
        </w:rPr>
        <w:t>increase. Additionally, volume increases and currency impacts contributed $0.7 million and $1.4 million, respectively, in the Euroball Segment. As a percentage of net sales, gross profit increased from 24.7% for the first quarter of 2002 to 25.8% for the first quarter of 2003.</w:t>
      </w:r>
    </w:p>
    <w:p>
      <w:pPr>
        <w:spacing w:after="0" w:line="141"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i w:val="1"/>
          <w:iCs w:val="1"/>
          <w:color w:val="auto"/>
        </w:rPr>
        <w:t xml:space="preserve">Selling, General and Administrative Expenses. </w:t>
      </w:r>
      <w:r>
        <w:rPr>
          <w:rFonts w:ascii="Courier New" w:cs="Courier New" w:eastAsia="Courier New" w:hAnsi="Courier New"/>
          <w:sz w:val="11"/>
          <w:szCs w:val="11"/>
          <w:color w:val="auto"/>
        </w:rPr>
        <w:t>Selling, general and</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administrative costs increased by $0.2 million, or 3.9%, from $4.5 million in the first quarter of 2002 to $4.6 million in first quarter of 2003. Currency impacts in the Euroball segment resulted in a $0.4 million increase. Offsetting this increase was decreased spending of $0.2 million related to advisory service expenses incurred by the Company associated with the previously announced desire of certain original founders of the Company to diversify and liquidate their holdings in the Company' stock in the first quarter of 2002. As a percentage of net sales, selling, general and administrative expenses decreased from 9.5% in the first quarter of 2002 to 8.0% in the first quarter of 2003.</w:t>
      </w:r>
    </w:p>
    <w:p>
      <w:pPr>
        <w:spacing w:after="0" w:line="131"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i w:val="1"/>
          <w:iCs w:val="1"/>
          <w:color w:val="auto"/>
        </w:rPr>
        <w:t xml:space="preserve">Depreciation and Amortizaton. </w:t>
      </w:r>
      <w:r>
        <w:rPr>
          <w:rFonts w:ascii="Courier New" w:cs="Courier New" w:eastAsia="Courier New" w:hAnsi="Courier New"/>
          <w:sz w:val="12"/>
          <w:szCs w:val="12"/>
          <w:color w:val="auto"/>
        </w:rPr>
        <w:t>Depreciation and amortization expenses increased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by $0.3 million, or 10.1%, from $2.8 million in the first quarter of 2002 to $3.1 million in the first quarter of 2003. Currency impacts in the Euroball Segment resulted in a $0.3 million increase. As a percentage of sales, depreciation and amortization decreased from 5.9% in the first quarter of 2002 to 5.3% in first quarter of 2003.</w:t>
      </w:r>
    </w:p>
    <w:p>
      <w:pPr>
        <w:spacing w:after="0" w:line="14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i w:val="1"/>
          <w:iCs w:val="1"/>
          <w:color w:val="auto"/>
        </w:rPr>
        <w:t xml:space="preserve">Restructuring and Impairment Costs. </w:t>
      </w:r>
      <w:r>
        <w:rPr>
          <w:rFonts w:ascii="Courier New" w:cs="Courier New" w:eastAsia="Courier New" w:hAnsi="Courier New"/>
          <w:sz w:val="12"/>
          <w:szCs w:val="12"/>
          <w:color w:val="auto"/>
        </w:rPr>
        <w:t>Restructuring and impairment costs decreased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by $0.1 million from $0.1 million for the first quarter of 2002 to $0.0 million in the first quarter of 2003. A charge of $0.1 million was recorded in the first quarter of 2002 principally associated with employee severance costs related to the closing of the Walterboro, South Carolina facility. Restructuring and impairment charges were 0.2% of sales in the first quarter of 2002 and 0.0% of sales in the first quarter of 2003.</w:t>
      </w:r>
    </w:p>
    <w:p>
      <w:pPr>
        <w:spacing w:after="0" w:line="14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i w:val="1"/>
          <w:iCs w:val="1"/>
          <w:color w:val="auto"/>
        </w:rPr>
        <w:t xml:space="preserve">Interest Expense. </w:t>
      </w:r>
      <w:r>
        <w:rPr>
          <w:rFonts w:ascii="Courier New" w:cs="Courier New" w:eastAsia="Courier New" w:hAnsi="Courier New"/>
          <w:sz w:val="12"/>
          <w:szCs w:val="12"/>
          <w:color w:val="auto"/>
        </w:rPr>
        <w:t>Interest expense decreased by $0.2 million from $0.7 million</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in the first quarter of 2002 to $0.5 million in the first quarter of 2003. A decrease of $0.3 million is principally attributed to decreased interest rates and decreased average debt levels. Offsetting this decrease was interest expense of $0.1 million related to debt incurred as a result of the previously announced purchase by the Company of the 23% interest in Euroball held by INA/FAG on December 20, 2002. As a percentage of net sales, interest expense decreased from 1.4% in the first quarter of 2002 to 0.9% in first quarter of 2003. See "Management's Discussion and Analysis of Financial Condition and Results of Operations - Liquidity and Capital Resources".</w:t>
      </w:r>
    </w:p>
    <w:p>
      <w:pPr>
        <w:spacing w:after="0" w:line="13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i w:val="1"/>
          <w:iCs w:val="1"/>
          <w:color w:val="auto"/>
        </w:rPr>
        <w:t xml:space="preserve">Minority Interest in Consolidated Subsidiary. </w:t>
      </w:r>
      <w:r>
        <w:rPr>
          <w:rFonts w:ascii="Courier New" w:cs="Courier New" w:eastAsia="Courier New" w:hAnsi="Courier New"/>
          <w:sz w:val="12"/>
          <w:szCs w:val="12"/>
          <w:color w:val="auto"/>
        </w:rPr>
        <w:t>Minority interest of consolidated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subsidiary decreased $0.1 million from $0.6 million in the first quarter of 2002 to $0.5 million in the first quarter of 2003. This decrease is due entirely to the Euroball joint venture, which the Company has been required to consolidate since its formation, August 1, 2000. During the first quarter of 2002, minority interest in consolidated subsidiary represented the 46% of the shares of the joint venture held by the minority partners. During the first quarter of 2003, minority interest in consolidated subsidiary represents the 23% of the shares of the joint venture held by the remaining minority partner as a result of the December 20, 2002 purchase by the Company of the 23% interest in Euroball held by INA/FAG. At March 31, 2003, the Company owned 77% of the shares of the joint venture with the remaining minority partner owning 23%. On May 2, 2003, we purchased the remaining 23 percent interest in Euroball, see "Management's Discussion and Analysis of Financial Condition and Results of Operations - Recent Developments", herein. Minority interest in consolidated subsidiary represents the combined interest in Euroball's earnings of the minority partner and the 49% interest in NN Arte's earnings of the minority partner (the 49% interest in NN Arte's earnings is zero in the first quarter of 2002 and the first quarter of 2003).</w:t>
      </w:r>
    </w:p>
    <w:p>
      <w:pPr>
        <w:spacing w:after="0" w:line="141"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i w:val="1"/>
          <w:iCs w:val="1"/>
          <w:color w:val="auto"/>
        </w:rPr>
        <w:t xml:space="preserve">Net Income. </w:t>
      </w:r>
      <w:r>
        <w:rPr>
          <w:rFonts w:ascii="Courier New" w:cs="Courier New" w:eastAsia="Courier New" w:hAnsi="Courier New"/>
          <w:sz w:val="12"/>
          <w:szCs w:val="12"/>
          <w:color w:val="auto"/>
        </w:rPr>
        <w:t>Net income increased $1.8 million, or 97.1%, from $1.8 in the first</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quarter of 2002 to $3.6 million in the first quarter of 2003. As a percentage of net sales, net income increased from 3.9% in the first quarter of 2002 to 6.3% during the first quarter of 2003.</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Recent Developments</w:t>
      </w:r>
    </w:p>
    <w:p>
      <w:pPr>
        <w:spacing w:after="0" w:line="139" w:lineRule="exact"/>
        <w:rPr>
          <w:sz w:val="20"/>
          <w:szCs w:val="20"/>
          <w:color w:val="auto"/>
        </w:rPr>
      </w:pPr>
    </w:p>
    <w:p>
      <w:pPr>
        <w:ind w:right="4839"/>
        <w:spacing w:after="0" w:line="237" w:lineRule="auto"/>
        <w:rPr>
          <w:sz w:val="20"/>
          <w:szCs w:val="20"/>
          <w:color w:val="auto"/>
        </w:rPr>
      </w:pPr>
      <w:r>
        <w:rPr>
          <w:rFonts w:ascii="Courier New" w:cs="Courier New" w:eastAsia="Courier New" w:hAnsi="Courier New"/>
          <w:sz w:val="12"/>
          <w:szCs w:val="12"/>
          <w:color w:val="auto"/>
        </w:rPr>
        <w:t>On May 2, 2003 we acquired the 23 percent interest in NN Euroball, ApS ("Euroball") held by SKF. We paid approximately 13.8 million Euros ($15.5 million). Euroball was formed in 2000 by the Company, FAG Kugelfischer George Shaefer AG, which was subsequently acquired by INA - Schaeffler KG (collectively, "INA/FAG"), and AB SKF ("SKF"). Upon consummation of this transaction, we became the sole owner of Euroball.</w:t>
      </w:r>
    </w:p>
    <w:p>
      <w:pPr>
        <w:spacing w:after="0" w:line="140" w:lineRule="exact"/>
        <w:rPr>
          <w:sz w:val="20"/>
          <w:szCs w:val="20"/>
          <w:color w:val="auto"/>
        </w:rPr>
      </w:pPr>
    </w:p>
    <w:p>
      <w:pPr>
        <w:ind w:right="4759"/>
        <w:spacing w:after="0" w:line="263" w:lineRule="auto"/>
        <w:rPr>
          <w:sz w:val="20"/>
          <w:szCs w:val="20"/>
          <w:color w:val="auto"/>
        </w:rPr>
      </w:pPr>
      <w:r>
        <w:rPr>
          <w:rFonts w:ascii="Courier New" w:cs="Courier New" w:eastAsia="Courier New" w:hAnsi="Courier New"/>
          <w:sz w:val="11"/>
          <w:szCs w:val="11"/>
          <w:color w:val="auto"/>
        </w:rPr>
        <w:t>On May 2, 2003 we acquired the tapered roller and metal cage manufacturing operations of SKF in Veenendaal, The Netherlands. We paid consideration of approximately 22.2 million Euros ($25.0 million), for the assets acquired from SKF. The Veenendaal operation manufactures rollers for tapered roller bearings and metal cages for both tapered roller and spherical roller bearings.</w:t>
      </w:r>
    </w:p>
    <w:p>
      <w:pPr>
        <w:spacing w:after="0" w:line="128"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In connection with the acquisition of SKF's operations in Veenendaal, The Netherlands, SKF purchased 700,000 shares of our common stock from us for an aggregate purchase price of approximately $6.2 million, which was applied to the purchase of SKF's Veenendaal, The Netherlands operations.</w:t>
      </w:r>
    </w:p>
    <w:p>
      <w:pPr>
        <w:spacing w:after="0" w:line="141"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(1.31% at April 30, 2003) plus an applicable margin of 1.25 to 2.0, a $30.4 million term loan expiring on May 1, 2008, bearing interest at a floating rate equal to LIBOR</w:t>
      </w:r>
    </w:p>
    <w:p>
      <w:pPr>
        <w:spacing w:after="0" w:line="1" w:lineRule="exact"/>
        <w:rPr>
          <w:sz w:val="20"/>
          <w:szCs w:val="20"/>
          <w:color w:val="auto"/>
        </w:rPr>
      </w:pPr>
    </w:p>
    <w:p>
      <w:pPr>
        <w:ind w:right="4699"/>
        <w:spacing w:after="0" w:line="238" w:lineRule="auto"/>
        <w:rPr>
          <w:sz w:val="20"/>
          <w:szCs w:val="20"/>
          <w:color w:val="auto"/>
        </w:rPr>
      </w:pPr>
      <w:r>
        <w:rPr>
          <w:rFonts w:ascii="Courier New" w:cs="Courier New" w:eastAsia="Courier New" w:hAnsi="Courier New"/>
          <w:sz w:val="12"/>
          <w:szCs w:val="12"/>
          <w:color w:val="auto"/>
        </w:rPr>
        <w:t>(1.31% at April 30, 2003) plus an applicable margin of 1.25 to 2.0 and a 26.3 million ($29.6 million) Euros term loan expiring on May 1, 2008 which bears interest at a floating rate equal to Euro LIBOR (2.57% at April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agreement is uncollateralized except for the pledge of stock of certain foreign subsidiaries.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Liquidity and Capital Resources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On May 1, 2003 in connection with the purchase of SKF's Veenendaal component</w:t>
      </w:r>
    </w:p>
    <w:p>
      <w:pPr>
        <w:sectPr>
          <w:pgSz w:w="11900" w:h="16838" w:orient="portrait"/>
          <w:cols w:equalWidth="0" w:num="1">
            <w:col w:w="10239"/>
          </w:cols>
          <w:pgMar w:left="220" w:top="141" w:right="1440" w:bottom="0" w:gutter="0" w:footer="0" w:header="0"/>
        </w:sectPr>
      </w:pPr>
    </w:p>
    <w:bookmarkStart w:id="8" w:name="page9"/>
    <w:bookmarkEnd w:id="8"/>
    <w:p>
      <w:pPr>
        <w:spacing w:after="0" w:line="76"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manufacturing operations and SKF's 23 percent interest in Euroball, we entered into a new $90 million syndicated credit facility with AmSouth Bank ("AmSouth") as the administrative agent and Suntrust Bank as the euro loan</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99"/>
        <w:spacing w:after="0" w:line="260" w:lineRule="auto"/>
        <w:rPr>
          <w:sz w:val="20"/>
          <w:szCs w:val="20"/>
          <w:color w:val="auto"/>
        </w:rPr>
      </w:pPr>
      <w:r>
        <w:rPr>
          <w:rFonts w:ascii="Courier New" w:cs="Courier New" w:eastAsia="Courier New" w:hAnsi="Courier New"/>
          <w:sz w:val="11"/>
          <w:szCs w:val="11"/>
          <w:color w:val="auto"/>
        </w:rPr>
        <w:t>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(1.31% at April 30, 2003) plus an applicable margin of 1.25 to 2.0, a $30.4 million term loan expiring on May 1, 2008, bearing interest at a floating rate equal to LIBOR (1.31% at April 30, 2003) plus an applicable margin of 1.25 to</w:t>
      </w:r>
    </w:p>
    <w:p>
      <w:pPr>
        <w:spacing w:after="0" w:line="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2.0 and a 26.3 million ($29.6 million) Euros term loan expiring on May 1, 2008 which bears interest at a floating rate equal to Euro LIBOR (2.57% at April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agreement is uncollateralized except for the pledge of stock of certain foreign subsidiaries.</w:t>
      </w:r>
    </w:p>
    <w:p>
      <w:pPr>
        <w:spacing w:after="0" w:line="145"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Since July 20, 2001, we had a syndicated loan agreement with AmSouth as the administrative agent for the lenders, for a senior non-secured revolving credit facility of up to $25.0 million, expiring on July 25, 2003 and a senior non-secured term loan for $35.0 million expiring on July 1, 2006. On July 12, 2002, we amended this credit facility to convert the term loan portion into a reducing revolving credit line providing initial availability equivalent to the balance of the term loan prior to the amendment. Amounts available for borrowing under this facility were to be reduced by $ 7.0 million per annum and the facility was to expire on July 1, 2006. Additionally, on July 31, 2002, we amended the credit facility again to extend the $25 million senior non-secured revolving credit facility to July 25, 2004. Amounts outstanding under the revolving facility and term loan facility bore interest at a floating rate equal to LIBOR (1.23% at March 31, 2003) plus an applicable margin of 0.75% to 2.00% based upon calculated financial ratios. The loan agreement contained customary financial and non-financial covenants. Such covenants specified that we had to maintain certain liquidity measures and limits the amount of capital expenditures we could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Additionally, the terms of our loan agreement restricted the declaration and payment of dividends in excess of $5.5 million in any fiscal year. Our ownership in NN Euroball ApS had been pledged as collateral. We were in compliance with all such covenants as of March 31, 2003.</w:t>
      </w:r>
    </w:p>
    <w:p>
      <w:pPr>
        <w:spacing w:after="0" w:line="200" w:lineRule="exact"/>
        <w:rPr>
          <w:sz w:val="20"/>
          <w:szCs w:val="20"/>
          <w:color w:val="auto"/>
        </w:rPr>
      </w:pPr>
    </w:p>
    <w:p>
      <w:pPr>
        <w:spacing w:after="0" w:line="208"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In connection with the Euroball transaction we and NN Euroball ApS, entered into a Facility Agreement with a bank to provide up to Euro 36.0 million in Term Loans and Euro 5.0 million in revolving credit loans. We borrowed Euro 30.5 million ($28.8 million) under the term loan facility and Euro 1,000 ($943) under the revolving credit facility. Amounts outstanding under the Facility Agreement were secured by inventory and accounts receivable and bore interest at EURIBOR (2.52% at March 31, 2003) plus an applicable margin between 0.8% and 2.25% based upon financial ratios. The shareholders of NN Euroball ApS provided guarantees for the Facility Agreement. The Facility Agreement contained restrictive covenants, which specified, among other things, restrictions on the incurrence of indebtedness and the maintenance of certain financial ratios. Euroball was in compliance with all such covenants at March 31, 2003. Amounts outstanding under the Facility Agreement were secured by the stock in certain subsidiaries, inventory and accounts receivable of NN Euroball ApS.</w:t>
      </w:r>
    </w:p>
    <w:p>
      <w:pPr>
        <w:spacing w:after="0" w:line="265"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Our arrangements with our domestic customers typically provide that payments are due within 30 days following the date of shipment of goods by us, while arrangements with foreign customers (other than foreign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many foreign customers ceasing production during the month of August.</w:t>
      </w:r>
    </w:p>
    <w:p>
      <w:pPr>
        <w:spacing w:after="0" w:line="142"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bill and receive payment from some of our foreign customers in Euro as well as other currencies. To date, we have not been materially adversely affected by currency fluctuations or foreign exchange restrictions. Nonetheless, as a result of these sales, our foreign exchange transaction and translation risk has increased. Various strategies to manage this risk are available to management including producing and selling in local currencies and hedging programs. As of March 31, 2003, no currency hedges were in place.</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2"/>
          <w:szCs w:val="12"/>
          <w:color w:val="auto"/>
        </w:rPr>
        <w:t>In addition, a strengthening of the U.S. dollar and/or Euro against foreign currencies could impair our ability to compete with international competitors for foreign as well as domestic sales.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Working capital, which consists principally of accounts receivable and inventories, was $24.9 million at March 31, 2003 as compared to $21.2 million at December 31, 2002. The ratio of current assets to current liabilities increased from 1.53:1 at December 31, 2002 to 1.51:1 at March 31, 2003. Cash flow from operations decreased to ($2.8) million during the first quarter of 2003 from $1.1 million during the first quarter of 2002.</w:t>
      </w:r>
    </w:p>
    <w:p>
      <w:pPr>
        <w:spacing w:after="0" w:line="14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During 2003, we plan to spend approximately $9.4 million on capital expenditures (of which approximately $2.1 million has been spent through March 31, 2003) including the purchase of additional machinery and equipment for all of our domestic facilities as well as four European facilities.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2003.</w:t>
      </w:r>
    </w:p>
    <w:p>
      <w:pPr>
        <w:spacing w:after="0" w:line="27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The Euro</w:t>
      </w:r>
    </w:p>
    <w:p>
      <w:pPr>
        <w:spacing w:after="0" w:line="139" w:lineRule="exact"/>
        <w:rPr>
          <w:sz w:val="20"/>
          <w:szCs w:val="20"/>
          <w:color w:val="auto"/>
        </w:rPr>
      </w:pPr>
    </w:p>
    <w:p>
      <w:pPr>
        <w:ind w:right="4619"/>
        <w:spacing w:after="0" w:line="266" w:lineRule="auto"/>
        <w:rPr>
          <w:sz w:val="20"/>
          <w:szCs w:val="20"/>
          <w:color w:val="auto"/>
        </w:rPr>
      </w:pPr>
      <w:r>
        <w:rPr>
          <w:rFonts w:ascii="Courier New" w:cs="Courier New" w:eastAsia="Courier New" w:hAnsi="Courier New"/>
          <w:sz w:val="11"/>
          <w:szCs w:val="11"/>
          <w:color w:val="auto"/>
        </w:rPr>
        <w:t>The Company currently has operations in Italy, Germany and Ireland, all of which are Euro participating countries, and sells product to customers in many of the participating countries. The Euro has been adopted as the functional currency at</w:t>
      </w:r>
    </w:p>
    <w:p>
      <w:pPr>
        <w:sectPr>
          <w:pgSz w:w="11900" w:h="16914" w:orient="portrait"/>
          <w:cols w:equalWidth="0" w:num="1">
            <w:col w:w="10239"/>
          </w:cols>
          <w:pgMar w:left="220" w:top="141"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2"/>
          <w:szCs w:val="12"/>
          <w:color w:val="auto"/>
        </w:rPr>
        <w:t>these locations.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Seasonality and Fluctuation in Quarterly Results</w:t>
      </w:r>
    </w:p>
    <w:p>
      <w:pPr>
        <w:spacing w:after="0" w:line="139" w:lineRule="exact"/>
        <w:rPr>
          <w:sz w:val="20"/>
          <w:szCs w:val="20"/>
          <w:color w:val="auto"/>
        </w:rPr>
      </w:pPr>
    </w:p>
    <w:p>
      <w:pPr>
        <w:jc w:val="both"/>
        <w:ind w:right="4899"/>
        <w:spacing w:after="0" w:line="236" w:lineRule="auto"/>
        <w:rPr>
          <w:sz w:val="20"/>
          <w:szCs w:val="20"/>
          <w:color w:val="auto"/>
        </w:rPr>
      </w:pPr>
      <w:r>
        <w:rPr>
          <w:rFonts w:ascii="Courier New" w:cs="Courier New" w:eastAsia="Courier New" w:hAnsi="Courier New"/>
          <w:sz w:val="12"/>
          <w:szCs w:val="12"/>
          <w:color w:val="auto"/>
        </w:rPr>
        <w:t>The Company's net sales historically have been of a seasonal nature due to a significant portion of the Company's sales being to European customers that cease or significantly slow production during the month of August.</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Inflation and Changes in Prices</w:t>
      </w:r>
    </w:p>
    <w:p>
      <w:pPr>
        <w:spacing w:after="0" w:line="139"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While the Company's operations have not been materially affected by inflation during recent years, prices for 52100 Steel, engineered resins and other raw materials purchased by the Company are subject to material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the Company's U.S. operations our typical pricing arrangements with steel suppliers are subject to adjustment once every six months. The Company's Euroball 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Certain sales agreements are in effect with SKF and INA/FAG, which provide for minimum purchase quantities and specified, annual sales price adjustments that may be modified up or down for changes in material costs. These agreements expire during 2006.</w:t>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Critical Accounting Policies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Our significant accounting policies, including the assumptions and judgment underlying them, are disclosed in the December 31, 2002 Form 10-K including those policies as discussed in Note 1.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45"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b w:val="1"/>
          <w:bCs w:val="1"/>
          <w:color w:val="auto"/>
        </w:rPr>
        <w:t xml:space="preserve">Accounts Receivable. </w:t>
      </w:r>
      <w:r>
        <w:rPr>
          <w:rFonts w:ascii="Courier New" w:cs="Courier New" w:eastAsia="Courier New" w:hAnsi="Courier New"/>
          <w:sz w:val="12"/>
          <w:szCs w:val="12"/>
          <w:color w:val="auto"/>
        </w:rPr>
        <w:t>Substantially all of the Company's accounts receivable are</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due primarily from the served markets: bearing manufacturers, automotive industry, electronics, industrial, agricultural and aerospace. In establishing allowances for doubtful accounts,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While management believes that adequate allowances for doubtful accounts have been provided in the Consolidated Financial Statements, it is possible that the Company could experience additional unexpected credit losses.</w:t>
      </w:r>
    </w:p>
    <w:p>
      <w:pPr>
        <w:spacing w:after="0" w:line="145"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b w:val="1"/>
          <w:bCs w:val="1"/>
          <w:color w:val="auto"/>
        </w:rPr>
        <w:t xml:space="preserve">Inventories. </w:t>
      </w:r>
      <w:r>
        <w:rPr>
          <w:rFonts w:ascii="Courier New" w:cs="Courier New" w:eastAsia="Courier New" w:hAnsi="Courier New"/>
          <w:sz w:val="11"/>
          <w:szCs w:val="11"/>
          <w:color w:val="auto"/>
        </w:rPr>
        <w:t>Inventories are stated at the lower of cost or market. Cost is</w:t>
      </w:r>
      <w:r>
        <w:rPr>
          <w:rFonts w:ascii="Courier New" w:cs="Courier New" w:eastAsia="Courier New" w:hAnsi="Courier New"/>
          <w:sz w:val="11"/>
          <w:szCs w:val="11"/>
          <w:b w:val="1"/>
          <w:bCs w:val="1"/>
          <w:color w:val="auto"/>
        </w:rPr>
        <w:t xml:space="preserve"> </w:t>
      </w:r>
      <w:r>
        <w:rPr>
          <w:rFonts w:ascii="Courier New" w:cs="Courier New" w:eastAsia="Courier New" w:hAnsi="Courier New"/>
          <w:sz w:val="11"/>
          <w:szCs w:val="11"/>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39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b w:val="1"/>
          <w:bCs w:val="1"/>
          <w:color w:val="auto"/>
        </w:rPr>
        <w:t xml:space="preserve">Acquisitions and Acquired Intangibles. </w:t>
      </w:r>
      <w:r>
        <w:rPr>
          <w:rFonts w:ascii="Courier New" w:cs="Courier New" w:eastAsia="Courier New" w:hAnsi="Courier New"/>
          <w:sz w:val="12"/>
          <w:szCs w:val="12"/>
          <w:color w:val="auto"/>
        </w:rPr>
        <w:t>For new acquisitions, the Company uses</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45"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b w:val="1"/>
          <w:bCs w:val="1"/>
          <w:color w:val="auto"/>
        </w:rPr>
        <w:t xml:space="preserve">Impairment of Long-Lived Assets. </w:t>
      </w:r>
      <w:r>
        <w:rPr>
          <w:rFonts w:ascii="Courier New" w:cs="Courier New" w:eastAsia="Courier New" w:hAnsi="Courier New"/>
          <w:sz w:val="12"/>
          <w:szCs w:val="12"/>
          <w:color w:val="auto"/>
        </w:rPr>
        <w:t>The Company's long-lived assets include</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144"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b w:val="1"/>
          <w:bCs w:val="1"/>
          <w:color w:val="auto"/>
        </w:rPr>
        <w:t xml:space="preserve">Pension and Post-Retirement Obligations. </w:t>
      </w:r>
      <w:r>
        <w:rPr>
          <w:rFonts w:ascii="Courier New" w:cs="Courier New" w:eastAsia="Courier New" w:hAnsi="Courier New"/>
          <w:sz w:val="12"/>
          <w:szCs w:val="12"/>
          <w:color w:val="auto"/>
        </w:rPr>
        <w:t>The Company uses several assumptions in</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27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119"/>
        <w:spacing w:after="0" w:line="235" w:lineRule="auto"/>
        <w:rPr>
          <w:sz w:val="20"/>
          <w:szCs w:val="20"/>
          <w:color w:val="auto"/>
        </w:rPr>
      </w:pPr>
      <w:r>
        <w:rPr>
          <w:rFonts w:ascii="Courier New" w:cs="Courier New" w:eastAsia="Courier New" w:hAnsi="Courier New"/>
          <w:sz w:val="12"/>
          <w:szCs w:val="12"/>
          <w:b w:val="1"/>
          <w:bCs w:val="1"/>
          <w:color w:val="auto"/>
        </w:rPr>
        <w:t>Cautionary Statements for Purposes of the "Safe Harbor" Provisions of the Private Securities Litigation Reform Act of 1995</w:t>
      </w:r>
    </w:p>
    <w:p>
      <w:pPr>
        <w:spacing w:after="0" w:line="139"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w:t>
      </w:r>
    </w:p>
    <w:p>
      <w:pPr>
        <w:sectPr>
          <w:pgSz w:w="11900" w:h="16838" w:orient="portrait"/>
          <w:cols w:equalWidth="0" w:num="1">
            <w:col w:w="10239"/>
          </w:cols>
          <w:pgMar w:left="220" w:top="137" w:right="1440" w:bottom="0" w:gutter="0" w:footer="0" w:header="0"/>
        </w:sectPr>
      </w:pPr>
    </w:p>
    <w:bookmarkStart w:id="10" w:name="page11"/>
    <w:bookmarkEnd w:id="10"/>
    <w:p>
      <w:pPr>
        <w:ind w:right="4619"/>
        <w:spacing w:after="0" w:line="236" w:lineRule="auto"/>
        <w:rPr>
          <w:sz w:val="20"/>
          <w:szCs w:val="20"/>
          <w:color w:val="auto"/>
        </w:rPr>
      </w:pPr>
      <w:r>
        <w:rPr>
          <w:rFonts w:ascii="Courier New" w:cs="Courier New" w:eastAsia="Courier New" w:hAnsi="Courier New"/>
          <w:sz w:val="12"/>
          <w:szCs w:val="12"/>
          <w:color w:val="auto"/>
        </w:rPr>
        <w:t>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41"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i w:val="1"/>
          <w:iCs w:val="1"/>
          <w:color w:val="auto"/>
        </w:rPr>
        <w:t>You should carefully consider the following risks and uncertainties, and all other information contained in or incorporated by reference in this annual report or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30" w:lineRule="exact"/>
        <w:rPr>
          <w:sz w:val="20"/>
          <w:szCs w:val="20"/>
          <w:color w:val="auto"/>
        </w:rPr>
      </w:pPr>
    </w:p>
    <w:p>
      <w:pPr>
        <w:ind w:right="5119"/>
        <w:spacing w:after="0" w:line="235" w:lineRule="auto"/>
        <w:rPr>
          <w:sz w:val="20"/>
          <w:szCs w:val="20"/>
          <w:color w:val="auto"/>
        </w:rPr>
      </w:pPr>
      <w:r>
        <w:rPr>
          <w:rFonts w:ascii="Courier New" w:cs="Courier New" w:eastAsia="Courier New" w:hAnsi="Courier New"/>
          <w:sz w:val="12"/>
          <w:szCs w:val="12"/>
          <w:b w:val="1"/>
          <w:bCs w:val="1"/>
          <w:i w:val="1"/>
          <w:iCs w:val="1"/>
          <w:color w:val="auto"/>
        </w:rPr>
        <w:t>The demand for our products is cyclical, which could adversely impact our revenues.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41" w:lineRule="exact"/>
        <w:rPr>
          <w:sz w:val="20"/>
          <w:szCs w:val="20"/>
          <w:color w:val="auto"/>
        </w:rPr>
      </w:pPr>
    </w:p>
    <w:p>
      <w:pPr>
        <w:ind w:right="5119"/>
        <w:spacing w:after="0" w:line="273" w:lineRule="auto"/>
        <w:rPr>
          <w:sz w:val="20"/>
          <w:szCs w:val="20"/>
          <w:color w:val="auto"/>
        </w:rPr>
      </w:pPr>
      <w:r>
        <w:rPr>
          <w:rFonts w:ascii="Courier New" w:cs="Courier New" w:eastAsia="Courier New" w:hAnsi="Courier New"/>
          <w:sz w:val="11"/>
          <w:szCs w:val="11"/>
          <w:b w:val="1"/>
          <w:bCs w:val="1"/>
          <w:i w:val="1"/>
          <w:iCs w:val="1"/>
          <w:color w:val="auto"/>
        </w:rPr>
        <w:t>We depend on a very limited number of foreign sources for our primary raw material and are subject to risks of shortages and price fluctuation.</w:t>
      </w:r>
    </w:p>
    <w:p>
      <w:pPr>
        <w:spacing w:after="0" w:line="122"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30"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i w:val="1"/>
          <w:iCs w:val="1"/>
          <w:color w:val="auto"/>
        </w:rPr>
        <w:t>We operate in and sell products to customers outside the U.S. and are subject to several related risks.</w:t>
      </w:r>
    </w:p>
    <w:p>
      <w:pPr>
        <w:spacing w:after="0" w:line="139" w:lineRule="exact"/>
        <w:rPr>
          <w:sz w:val="20"/>
          <w:szCs w:val="20"/>
          <w:color w:val="auto"/>
        </w:rPr>
      </w:pPr>
    </w:p>
    <w:p>
      <w:pPr>
        <w:ind w:right="4699"/>
        <w:spacing w:after="0" w:line="266" w:lineRule="auto"/>
        <w:rPr>
          <w:sz w:val="20"/>
          <w:szCs w:val="20"/>
          <w:color w:val="auto"/>
        </w:rPr>
      </w:pPr>
      <w:r>
        <w:rPr>
          <w:rFonts w:ascii="Courier New" w:cs="Courier New" w:eastAsia="Courier New" w:hAnsi="Courier New"/>
          <w:sz w:val="11"/>
          <w:szCs w:val="11"/>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257"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adverse foreign currency fluctuations;</w:t>
      </w:r>
    </w:p>
    <w:p>
      <w:pPr>
        <w:spacing w:after="0" w:line="138" w:lineRule="exact"/>
        <w:rPr>
          <w:rFonts w:ascii="Courier New" w:cs="Courier New" w:eastAsia="Courier New" w:hAnsi="Courier New"/>
          <w:sz w:val="12"/>
          <w:szCs w:val="12"/>
          <w:color w:val="auto"/>
        </w:rPr>
      </w:pPr>
    </w:p>
    <w:p>
      <w:pPr>
        <w:ind w:left="700" w:right="4699" w:hanging="357"/>
        <w:spacing w:after="0" w:line="236"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trade, monetary and fiscal policies, laws and regulations, and other activities of governments, agencies and similar organizations;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imposition of trade restrictions or prohibitions;</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high tax rates that discourage the repatriation of funds to the U.S.;</w:t>
      </w:r>
    </w:p>
    <w:p>
      <w:pPr>
        <w:spacing w:after="0" w:line="141"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imposition of import or other duties or taxes; and</w:t>
      </w:r>
    </w:p>
    <w:p>
      <w:pPr>
        <w:spacing w:after="0" w:line="138" w:lineRule="exact"/>
        <w:rPr>
          <w:rFonts w:ascii="Courier New" w:cs="Courier New" w:eastAsia="Courier New" w:hAnsi="Courier New"/>
          <w:sz w:val="12"/>
          <w:szCs w:val="12"/>
          <w:color w:val="auto"/>
        </w:rPr>
      </w:pPr>
    </w:p>
    <w:p>
      <w:pPr>
        <w:jc w:val="both"/>
        <w:ind w:left="700" w:right="5119" w:hanging="357"/>
        <w:spacing w:after="0" w:line="273" w:lineRule="auto"/>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unstable governments or legal systems in countries in which our suppliers, manufacturing operations, and customers are located.</w:t>
      </w:r>
    </w:p>
    <w:p>
      <w:pPr>
        <w:spacing w:after="0" w:line="122"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In the first quarter of 2003, approximately 50% at the $10.4 million increase in revenues was attributable to favorable currency fluctuations. Also, a decline in the value of the Euro relative to the U.S. dollar will negatively impact our consolidated financial results, which are denominated in U.S. dollars.</w:t>
      </w:r>
    </w:p>
    <w:p>
      <w:pPr>
        <w:spacing w:after="0" w:line="143" w:lineRule="exact"/>
        <w:rPr>
          <w:sz w:val="20"/>
          <w:szCs w:val="20"/>
          <w:color w:val="auto"/>
        </w:rPr>
      </w:pPr>
    </w:p>
    <w:p>
      <w:pPr>
        <w:ind w:right="4619"/>
        <w:spacing w:after="0" w:line="266" w:lineRule="auto"/>
        <w:rPr>
          <w:sz w:val="20"/>
          <w:szCs w:val="20"/>
          <w:color w:val="auto"/>
        </w:rPr>
      </w:pPr>
      <w:r>
        <w:rPr>
          <w:rFonts w:ascii="Courier New" w:cs="Courier New" w:eastAsia="Courier New" w:hAnsi="Courier New"/>
          <w:sz w:val="11"/>
          <w:szCs w:val="11"/>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26"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b w:val="1"/>
          <w:bCs w:val="1"/>
          <w:i w:val="1"/>
          <w:iCs w:val="1"/>
          <w:color w:val="auto"/>
        </w:rPr>
        <w:t>We depend heavily on a relatively limited number of customers, and the loss of any major customer would have a material adverse effect on our business.</w:t>
      </w:r>
    </w:p>
    <w:p>
      <w:pPr>
        <w:spacing w:after="0" w:line="139"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Our recent acquisition at SKF's tapered roller and metal cage production facility, along with the related long-term supply agreement with SKF, will increase our dependence on SKF in the future. During 2002, our ten largest customers accounted for approximately 73% of our consolidated net sales. None of our other customers individually accounted for more than 5% of our consolidated net sales for 2002. Recent consolidation of certain of our bearing customers, including the acquisition at the Torrington Company by Timken, will increase our dependence on a smaller number of customers. The loss of all or a substantial portion of sales to these customers would cause us to lose a substantial portion of our revenue and would lower our profit margin and cash flows from operations.</w:t>
      </w:r>
    </w:p>
    <w:p>
      <w:pPr>
        <w:spacing w:after="0" w:line="139" w:lineRule="exact"/>
        <w:rPr>
          <w:sz w:val="20"/>
          <w:szCs w:val="20"/>
          <w:color w:val="auto"/>
        </w:rPr>
      </w:pPr>
    </w:p>
    <w:p>
      <w:pPr>
        <w:ind w:right="4899"/>
        <w:spacing w:after="0" w:line="235" w:lineRule="auto"/>
        <w:rPr>
          <w:sz w:val="20"/>
          <w:szCs w:val="20"/>
          <w:color w:val="auto"/>
        </w:rPr>
      </w:pPr>
      <w:r>
        <w:rPr>
          <w:rFonts w:ascii="Courier New" w:cs="Courier New" w:eastAsia="Courier New" w:hAnsi="Courier New"/>
          <w:sz w:val="12"/>
          <w:szCs w:val="12"/>
          <w:b w:val="1"/>
          <w:bCs w:val="1"/>
          <w:i w:val="1"/>
          <w:iCs w:val="1"/>
          <w:color w:val="auto"/>
        </w:rPr>
        <w:t>The costs and difficulties of integrating acquired business could impede our future growth.</w:t>
      </w:r>
    </w:p>
    <w:p>
      <w:pPr>
        <w:spacing w:after="0" w:line="139" w:lineRule="exact"/>
        <w:rPr>
          <w:sz w:val="20"/>
          <w:szCs w:val="20"/>
          <w:color w:val="auto"/>
        </w:rPr>
      </w:pPr>
    </w:p>
    <w:p>
      <w:pPr>
        <w:ind w:right="4759"/>
        <w:spacing w:after="0" w:line="262" w:lineRule="auto"/>
        <w:rPr>
          <w:sz w:val="20"/>
          <w:szCs w:val="20"/>
          <w:color w:val="auto"/>
        </w:rPr>
      </w:pPr>
      <w:r>
        <w:rPr>
          <w:rFonts w:ascii="Courier New" w:cs="Courier New" w:eastAsia="Courier New" w:hAnsi="Courier New"/>
          <w:sz w:val="11"/>
          <w:szCs w:val="11"/>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28" w:lineRule="exact"/>
        <w:rPr>
          <w:sz w:val="20"/>
          <w:szCs w:val="20"/>
          <w:color w:val="auto"/>
        </w:rPr>
      </w:pPr>
    </w:p>
    <w:p>
      <w:pPr>
        <w:ind w:right="4979"/>
        <w:spacing w:after="0" w:line="235" w:lineRule="auto"/>
        <w:rPr>
          <w:sz w:val="20"/>
          <w:szCs w:val="20"/>
          <w:color w:val="auto"/>
        </w:rPr>
      </w:pPr>
      <w:r>
        <w:rPr>
          <w:rFonts w:ascii="Courier New" w:cs="Courier New" w:eastAsia="Courier New" w:hAnsi="Courier New"/>
          <w:sz w:val="12"/>
          <w:szCs w:val="12"/>
          <w:b w:val="1"/>
          <w:bCs w:val="1"/>
          <w:i w:val="1"/>
          <w:iCs w:val="1"/>
          <w:color w:val="auto"/>
        </w:rPr>
        <w:t>We may not be able to continue to make the acquisitions necessary for us to realize our growth strategy.</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w:t>
      </w:r>
    </w:p>
    <w:p>
      <w:pPr>
        <w:sectPr>
          <w:pgSz w:w="11900" w:h="16838" w:orient="portrait"/>
          <w:cols w:equalWidth="0" w:num="1">
            <w:col w:w="10239"/>
          </w:cols>
          <w:pgMar w:left="220" w:top="141" w:right="1440" w:bottom="0" w:gutter="0" w:footer="0" w:header="0"/>
        </w:sectPr>
      </w:pPr>
    </w:p>
    <w:bookmarkStart w:id="11" w:name="page12"/>
    <w:bookmarkEnd w:id="11"/>
    <w:p>
      <w:pPr>
        <w:ind w:left="2740"/>
        <w:spacing w:after="0"/>
        <w:rPr>
          <w:sz w:val="20"/>
          <w:szCs w:val="20"/>
          <w:color w:val="auto"/>
        </w:rPr>
      </w:pPr>
      <w:r>
        <w:rPr>
          <w:rFonts w:ascii="Courier New" w:cs="Courier New" w:eastAsia="Courier New" w:hAnsi="Courier New"/>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2001. During 2002, we purchased INA/FAG's minority interest in Euroball and on May 2, 2003, we acquired SKF's minority interest in Euroball, to become the sole owner at Euroball. On May 2, 2003 we acquired SKF's tapered roller and metal cage manufacturing operations in Veenendaal, The Netherlands.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44"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11"/>
          <w:szCs w:val="11"/>
          <w:b w:val="1"/>
          <w:bCs w:val="1"/>
          <w:i w:val="1"/>
          <w:iCs w:val="1"/>
          <w:color w:val="auto"/>
        </w:rPr>
        <w:t>Our growth strategy depends on outsourcing, and if the industry trend toward outsourcing does not continue, our business could be adversely affected.</w:t>
      </w:r>
    </w:p>
    <w:p>
      <w:pPr>
        <w:spacing w:after="0" w:line="122"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41"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2"/>
          <w:szCs w:val="12"/>
          <w:b w:val="1"/>
          <w:bCs w:val="1"/>
          <w:i w:val="1"/>
          <w:iCs w:val="1"/>
          <w:color w:val="auto"/>
        </w:rPr>
        <w:t>Our market is highly competitive and many of our competitors have significant advantages that could adversely affect our business.</w:t>
      </w:r>
    </w:p>
    <w:p>
      <w:pPr>
        <w:spacing w:after="0" w:line="139"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31" w:lineRule="exact"/>
        <w:rPr>
          <w:sz w:val="20"/>
          <w:szCs w:val="20"/>
          <w:color w:val="auto"/>
        </w:rPr>
      </w:pPr>
    </w:p>
    <w:p>
      <w:pPr>
        <w:jc w:val="both"/>
        <w:ind w:right="4759"/>
        <w:spacing w:after="0" w:line="236" w:lineRule="auto"/>
        <w:rPr>
          <w:sz w:val="20"/>
          <w:szCs w:val="20"/>
          <w:color w:val="auto"/>
        </w:rPr>
      </w:pPr>
      <w:r>
        <w:rPr>
          <w:rFonts w:ascii="Courier New" w:cs="Courier New" w:eastAsia="Courier New" w:hAnsi="Courier New"/>
          <w:sz w:val="12"/>
          <w:szCs w:val="12"/>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color w:val="auto"/>
        </w:rPr>
        <w:t>The price of our common stock may be volatile.</w:t>
      </w:r>
    </w:p>
    <w:p>
      <w:pPr>
        <w:spacing w:after="0" w:line="139" w:lineRule="exact"/>
        <w:rPr>
          <w:sz w:val="20"/>
          <w:szCs w:val="20"/>
          <w:color w:val="auto"/>
        </w:rPr>
      </w:pPr>
    </w:p>
    <w:p>
      <w:pPr>
        <w:ind w:right="4979"/>
        <w:spacing w:after="0" w:line="236" w:lineRule="auto"/>
        <w:rPr>
          <w:sz w:val="20"/>
          <w:szCs w:val="20"/>
          <w:color w:val="auto"/>
        </w:rPr>
      </w:pPr>
      <w:r>
        <w:rPr>
          <w:rFonts w:ascii="Courier New" w:cs="Courier New" w:eastAsia="Courier New" w:hAnsi="Courier New"/>
          <w:sz w:val="12"/>
          <w:szCs w:val="12"/>
          <w:color w:val="auto"/>
        </w:rPr>
        <w:t>The market price of our common stock could be subject to significant fluctuations and may decline. Among the factors that could affect our stock price are:</w:t>
      </w:r>
    </w:p>
    <w:p>
      <w:pPr>
        <w:spacing w:after="0" w:line="135" w:lineRule="exact"/>
        <w:rPr>
          <w:sz w:val="20"/>
          <w:szCs w:val="20"/>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operating and financial performance and prospects;</w:t>
      </w:r>
    </w:p>
    <w:p>
      <w:pPr>
        <w:spacing w:after="0" w:line="138" w:lineRule="exact"/>
        <w:rPr>
          <w:rFonts w:ascii="Courier New" w:cs="Courier New" w:eastAsia="Courier New" w:hAnsi="Courier New"/>
          <w:sz w:val="12"/>
          <w:szCs w:val="12"/>
          <w:color w:val="auto"/>
        </w:rPr>
      </w:pPr>
    </w:p>
    <w:p>
      <w:pPr>
        <w:ind w:left="700" w:right="5039" w:hanging="357"/>
        <w:spacing w:after="0" w:line="273" w:lineRule="auto"/>
        <w:tabs>
          <w:tab w:leader="none" w:pos="700"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quarterly variations in the rate of growth of our financial indicators, such as earnings per share, net income and revenues;</w:t>
      </w:r>
    </w:p>
    <w:p>
      <w:pPr>
        <w:spacing w:after="0" w:line="121" w:lineRule="exact"/>
        <w:rPr>
          <w:rFonts w:ascii="Courier New" w:cs="Courier New" w:eastAsia="Courier New" w:hAnsi="Courier New"/>
          <w:sz w:val="11"/>
          <w:szCs w:val="11"/>
          <w:color w:val="auto"/>
        </w:rPr>
      </w:pPr>
    </w:p>
    <w:p>
      <w:pPr>
        <w:ind w:left="700" w:right="483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revenue or earnings estimates or publication of research reports by analysts;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of any member of our senior management team;</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speculation in the press or investment community;</w:t>
      </w:r>
    </w:p>
    <w:p>
      <w:pPr>
        <w:spacing w:after="0" w:line="138" w:lineRule="exact"/>
        <w:rPr>
          <w:rFonts w:ascii="Courier New" w:cs="Courier New" w:eastAsia="Courier New" w:hAnsi="Courier New"/>
          <w:sz w:val="12"/>
          <w:szCs w:val="12"/>
          <w:color w:val="auto"/>
        </w:rPr>
      </w:pPr>
    </w:p>
    <w:p>
      <w:pPr>
        <w:ind w:left="700" w:right="483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strategic actions by us or our competitors, such as acquisitions or restructurings;</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sales of our common stock by stockholders;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market conditions; and</w:t>
      </w:r>
    </w:p>
    <w:p>
      <w:pPr>
        <w:spacing w:after="0" w:line="138"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domestic and international economic, legal and regulatory factors unrelated to our performance.</w:t>
      </w:r>
    </w:p>
    <w:p>
      <w:pPr>
        <w:spacing w:after="0" w:line="139" w:lineRule="exact"/>
        <w:rPr>
          <w:sz w:val="20"/>
          <w:szCs w:val="20"/>
          <w:color w:val="auto"/>
        </w:rPr>
      </w:pPr>
    </w:p>
    <w:p>
      <w:pPr>
        <w:ind w:right="4619"/>
        <w:spacing w:after="0" w:line="266" w:lineRule="auto"/>
        <w:rPr>
          <w:sz w:val="20"/>
          <w:szCs w:val="20"/>
          <w:color w:val="auto"/>
        </w:rPr>
      </w:pPr>
      <w:r>
        <w:rPr>
          <w:rFonts w:ascii="Courier New" w:cs="Courier New" w:eastAsia="Courier New" w:hAnsi="Courier New"/>
          <w:sz w:val="11"/>
          <w:szCs w:val="11"/>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26" w:lineRule="exact"/>
        <w:rPr>
          <w:sz w:val="20"/>
          <w:szCs w:val="20"/>
          <w:color w:val="auto"/>
        </w:rPr>
      </w:pPr>
    </w:p>
    <w:p>
      <w:pPr>
        <w:ind w:right="4899"/>
        <w:spacing w:after="0" w:line="235" w:lineRule="auto"/>
        <w:rPr>
          <w:sz w:val="20"/>
          <w:szCs w:val="20"/>
          <w:color w:val="auto"/>
        </w:rPr>
      </w:pPr>
      <w:r>
        <w:rPr>
          <w:rFonts w:ascii="Courier New" w:cs="Courier New" w:eastAsia="Courier New" w:hAnsi="Courier New"/>
          <w:sz w:val="12"/>
          <w:szCs w:val="12"/>
          <w:b w:val="1"/>
          <w:bCs w:val="1"/>
          <w:i w:val="1"/>
          <w:iCs w:val="1"/>
          <w:color w:val="auto"/>
        </w:rPr>
        <w:t>Provisions in our charter documents and Delaware law may inhibit a takeover, which could adversely affect the value of our common stock.</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42"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26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3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2"/>
          <w:szCs w:val="12"/>
          <w:b w:val="1"/>
          <w:bCs w:val="1"/>
          <w:color w:val="auto"/>
        </w:rPr>
        <w:t>Item 3.</w:t>
      </w:r>
      <w:r>
        <w:rPr>
          <w:sz w:val="20"/>
          <w:szCs w:val="20"/>
          <w:color w:val="auto"/>
        </w:rPr>
        <w:tab/>
      </w:r>
      <w:r>
        <w:rPr>
          <w:rFonts w:ascii="Courier New" w:cs="Courier New" w:eastAsia="Courier New" w:hAnsi="Courier New"/>
          <w:sz w:val="11"/>
          <w:szCs w:val="11"/>
          <w:b w:val="1"/>
          <w:bCs w:val="1"/>
          <w:color w:val="auto"/>
        </w:rPr>
        <w:t>Quantitative and Qualitative Disclosures About Market Risk</w:t>
      </w:r>
    </w:p>
    <w:p>
      <w:pPr>
        <w:sectPr>
          <w:pgSz w:w="11900" w:h="16838" w:orient="portrait"/>
          <w:cols w:equalWidth="0" w:num="1">
            <w:col w:w="10239"/>
          </w:cols>
          <w:pgMar w:left="220" w:top="272" w:right="1440" w:bottom="0" w:gutter="0" w:footer="0" w:header="0"/>
        </w:sectPr>
      </w:pPr>
    </w:p>
    <w:bookmarkStart w:id="12" w:name="page13"/>
    <w:bookmarkEnd w:id="12"/>
    <w:p>
      <w:pPr>
        <w:spacing w:after="0" w:line="64"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Domestically, at March 31, 2003, these borrowings included a $25 million senior, non-secured floating rate revolving credit facility which was used to maintain liquidity and fund our business operations. In Europe, at March 31, 2003, Euroball had a 5.0 million Euro floating rate credit facility, and a 6.0 million Euro floating rate secured term loan. At March 31, 2003, we had $48.9 million outstanding under the domestic revolving credit facility and Euroball had 4.0 million Euro ($4.3 million) outstanding under the Euroball credit facility. At March 31, 2003 a one-percent increase in the interest rate charged on our outstanding borrowings under both credit facilities would result in interest expense increasing annually by approximately $0.5 million. In connection with a variable EURIBOR rate debt financing in July 2000 our majority owned subsidiary, NN Euroball ApS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On May 1, 2003 we entered into a new $90 million syndicated credit facility. This new financing arrangement replaces our prior credit facility with AmSouth and Euroball's credit facility with Hypo Vereinsbank</w:t>
      </w:r>
    </w:p>
    <w:p>
      <w:pPr>
        <w:spacing w:after="0" w:line="200" w:lineRule="exact"/>
        <w:rPr>
          <w:sz w:val="20"/>
          <w:szCs w:val="20"/>
          <w:color w:val="auto"/>
        </w:rPr>
      </w:pPr>
    </w:p>
    <w:p>
      <w:pPr>
        <w:spacing w:after="0" w:line="33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Luxembourg, S.A., see "Management's Discussion and Analysis of Financial Condition and Results of Operations - Recent Developments", herein. A one-percent increase in the interest rate charged on our new credit facility would result in interest expense increasing annually by approximately $0.9 million. The nature and amount of our borrowings may vary as a result of future business requirements, market conditions and other factors.</w:t>
      </w:r>
    </w:p>
    <w:p>
      <w:pPr>
        <w:spacing w:after="0" w:line="14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Translation of our operating cash flows denominated in foreign currencies is impacted by changes in foreign exchange rates. We, primarily in our Euroball Segment, bill and receive payment from some of its foreign customers in their own currency. To date, we have not been materially adversely affected by currency fluctuations of foreign exchange restrictions. However, to help reduce exposure to foreign currency fluctuation, management has incurred debt in Euros and periodically used foreign currency hedges. These currency hedging programs allow management to hedge currency exposures when these exposures meet certain discretionary levels. We did not hold a position in any foreign currency hedging instruments as of March 31, 2003.</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4. Controls and Procedures</w:t>
      </w:r>
    </w:p>
    <w:p>
      <w:pPr>
        <w:spacing w:after="0" w:line="139" w:lineRule="exact"/>
        <w:rPr>
          <w:sz w:val="20"/>
          <w:szCs w:val="20"/>
          <w:color w:val="auto"/>
        </w:rPr>
      </w:pPr>
    </w:p>
    <w:p>
      <w:pPr>
        <w:ind w:left="700" w:right="4619" w:hanging="357"/>
        <w:spacing w:after="0" w:line="238"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Within the 90-day period prior to the date of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39" w:lineRule="exact"/>
        <w:rPr>
          <w:rFonts w:ascii="Courier New" w:cs="Courier New" w:eastAsia="Courier New" w:hAnsi="Courier New"/>
          <w:sz w:val="12"/>
          <w:szCs w:val="12"/>
          <w:color w:val="auto"/>
        </w:rPr>
      </w:pPr>
    </w:p>
    <w:p>
      <w:pPr>
        <w:ind w:left="700" w:right="4619" w:hanging="357"/>
        <w:spacing w:after="0" w:line="236"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There have been no significant changes in the Company's internal controls or in other factors which could significantly affect internal controls subsequent to the date the Company carried out its evaluation.</w:t>
      </w: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Part II. Other Information</w:t>
      </w:r>
    </w:p>
    <w:p>
      <w:pPr>
        <w:spacing w:after="0" w:line="26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b w:val="1"/>
          <w:bCs w:val="1"/>
          <w:color w:val="auto"/>
        </w:rPr>
        <w:t>Item 1.</w:t>
      </w:r>
      <w:r>
        <w:rPr>
          <w:sz w:val="20"/>
          <w:szCs w:val="20"/>
          <w:color w:val="auto"/>
        </w:rPr>
        <w:tab/>
      </w:r>
      <w:r>
        <w:rPr>
          <w:rFonts w:ascii="Courier New" w:cs="Courier New" w:eastAsia="Courier New" w:hAnsi="Courier New"/>
          <w:sz w:val="11"/>
          <w:szCs w:val="11"/>
          <w:b w:val="1"/>
          <w:bCs w:val="1"/>
          <w:color w:val="auto"/>
        </w:rPr>
        <w:t>Legal Proceedings</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27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b w:val="1"/>
          <w:bCs w:val="1"/>
          <w:color w:val="auto"/>
        </w:rPr>
        <w:t>Item 2.</w:t>
      </w:r>
      <w:r>
        <w:rPr>
          <w:sz w:val="20"/>
          <w:szCs w:val="20"/>
          <w:color w:val="auto"/>
        </w:rPr>
        <w:tab/>
      </w:r>
      <w:r>
        <w:rPr>
          <w:rFonts w:ascii="Courier New" w:cs="Courier New" w:eastAsia="Courier New" w:hAnsi="Courier New"/>
          <w:sz w:val="11"/>
          <w:szCs w:val="11"/>
          <w:b w:val="1"/>
          <w:bCs w:val="1"/>
          <w:color w:val="auto"/>
        </w:rPr>
        <w:t>Exhibits and Reports on Form 8-K.</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Exhibits Required by Item 601 of Regulation S-K</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99.1 Certification of Chief Executive Officer pursuant to Section 906 of</w:t>
      </w:r>
    </w:p>
    <w:p>
      <w:pPr>
        <w:ind w:left="700"/>
        <w:spacing w:after="0"/>
        <w:rPr>
          <w:sz w:val="20"/>
          <w:szCs w:val="20"/>
          <w:color w:val="auto"/>
        </w:rPr>
      </w:pPr>
      <w:r>
        <w:rPr>
          <w:rFonts w:ascii="Courier New" w:cs="Courier New" w:eastAsia="Courier New" w:hAnsi="Courier New"/>
          <w:sz w:val="12"/>
          <w:szCs w:val="12"/>
          <w:color w:val="auto"/>
        </w:rPr>
        <w:t>Sarbanes-Oxley Act.</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99.2 Certification of Chief Financial Officer pursuant to Section 906 of</w:t>
      </w:r>
    </w:p>
    <w:p>
      <w:pPr>
        <w:ind w:left="700"/>
        <w:spacing w:after="0"/>
        <w:rPr>
          <w:sz w:val="20"/>
          <w:szCs w:val="20"/>
          <w:color w:val="auto"/>
        </w:rPr>
      </w:pPr>
      <w:r>
        <w:rPr>
          <w:rFonts w:ascii="Courier New" w:cs="Courier New" w:eastAsia="Courier New" w:hAnsi="Courier New"/>
          <w:sz w:val="12"/>
          <w:szCs w:val="12"/>
          <w:color w:val="auto"/>
        </w:rPr>
        <w:t>Sarbanes-Oxley Act.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 Reports on Form 8-K</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Company filed a Form 8-K on February 25, 2003 announcing its fourth</w:t>
      </w:r>
    </w:p>
    <w:p>
      <w:pPr>
        <w:ind w:left="340"/>
        <w:spacing w:after="0"/>
        <w:rPr>
          <w:sz w:val="20"/>
          <w:szCs w:val="20"/>
          <w:color w:val="auto"/>
        </w:rPr>
      </w:pPr>
      <w:r>
        <w:rPr>
          <w:rFonts w:ascii="Courier New" w:cs="Courier New" w:eastAsia="Courier New" w:hAnsi="Courier New"/>
          <w:sz w:val="12"/>
          <w:szCs w:val="12"/>
          <w:color w:val="auto"/>
        </w:rPr>
        <w:t>quarter and fiscal year ended December 31, 2002 financial results.</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Company filed a Form 8-K on March 11, 2003 announcing payment of a</w:t>
      </w:r>
    </w:p>
    <w:p>
      <w:pPr>
        <w:ind w:left="340"/>
        <w:spacing w:after="0"/>
        <w:rPr>
          <w:sz w:val="20"/>
          <w:szCs w:val="20"/>
          <w:color w:val="auto"/>
        </w:rPr>
      </w:pPr>
      <w:r>
        <w:rPr>
          <w:rFonts w:ascii="Courier New" w:cs="Courier New" w:eastAsia="Courier New" w:hAnsi="Courier New"/>
          <w:sz w:val="12"/>
          <w:szCs w:val="12"/>
          <w:color w:val="auto"/>
        </w:rPr>
        <w:t>regular quarterly cash dividend.</w:t>
      </w:r>
    </w:p>
    <w:p>
      <w:pPr>
        <w:spacing w:after="0" w:line="200" w:lineRule="exact"/>
        <w:rPr>
          <w:sz w:val="20"/>
          <w:szCs w:val="20"/>
          <w:color w:val="auto"/>
        </w:rPr>
      </w:pPr>
    </w:p>
    <w:p>
      <w:pPr>
        <w:spacing w:after="0" w:line="33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460"/>
        <w:spacing w:after="0"/>
        <w:rPr>
          <w:sz w:val="20"/>
          <w:szCs w:val="20"/>
          <w:color w:val="auto"/>
        </w:rPr>
      </w:pPr>
      <w:r>
        <w:rPr>
          <w:rFonts w:ascii="Courier New" w:cs="Courier New" w:eastAsia="Courier New" w:hAnsi="Courier New"/>
          <w:sz w:val="12"/>
          <w:szCs w:val="12"/>
          <w:b w:val="1"/>
          <w:bCs w:val="1"/>
          <w:color w:val="auto"/>
        </w:rPr>
        <w:t>SIGNATURES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Pursuant to the requirements of the Securities Exchange Act of 1934, the</w:t>
      </w:r>
    </w:p>
    <w:p>
      <w:pPr>
        <w:spacing w:after="0"/>
        <w:rPr>
          <w:sz w:val="20"/>
          <w:szCs w:val="20"/>
          <w:color w:val="auto"/>
        </w:rPr>
      </w:pPr>
      <w:r>
        <w:rPr>
          <w:rFonts w:ascii="Courier New" w:cs="Courier New" w:eastAsia="Courier New" w:hAnsi="Courier New"/>
          <w:sz w:val="12"/>
          <w:szCs w:val="12"/>
          <w:color w:val="auto"/>
        </w:rPr>
        <w:t>registrant has duly caused this report to be signed on its behalf by the</w:t>
      </w:r>
    </w:p>
    <w:p>
      <w:pPr>
        <w:sectPr>
          <w:pgSz w:w="11900" w:h="16903" w:orient="portrait"/>
          <w:cols w:equalWidth="0" w:num="1">
            <w:col w:w="10239"/>
          </w:cols>
          <w:pgMar w:left="220" w:top="276" w:right="1440" w:bottom="0" w:gutter="0" w:footer="0" w:header="0"/>
        </w:sectPr>
      </w:pPr>
    </w:p>
    <w:bookmarkStart w:id="13" w:name="page14"/>
    <w:bookmarkEnd w:id="13"/>
    <w:tbl>
      <w:tblPr>
        <w:tblLayout w:type="fixed"/>
        <w:tblInd w:w="8" w:type="dxa"/>
        <w:tblCellMar>
          <w:top w:w="0" w:type="dxa"/>
          <w:left w:w="0" w:type="dxa"/>
          <w:bottom w:w="0" w:type="dxa"/>
          <w:right w:w="0" w:type="dxa"/>
        </w:tblCellMar>
      </w:tblPr>
      <w:tr>
        <w:trPr>
          <w:trHeight w:val="136"/>
        </w:trPr>
        <w:tc>
          <w:tcPr>
            <w:tcW w:w="5620" w:type="dxa"/>
            <w:vAlign w:val="bottom"/>
            <w:gridSpan w:val="3"/>
          </w:tcPr>
          <w:p>
            <w:pPr>
              <w:spacing w:after="0"/>
              <w:rPr>
                <w:sz w:val="20"/>
                <w:szCs w:val="20"/>
                <w:color w:val="auto"/>
              </w:rPr>
            </w:pPr>
            <w:r>
              <w:rPr>
                <w:rFonts w:ascii="Courier New" w:cs="Courier New" w:eastAsia="Courier New" w:hAnsi="Courier New"/>
                <w:sz w:val="12"/>
                <w:szCs w:val="12"/>
                <w:color w:val="auto"/>
              </w:rPr>
              <w:t>undersigned thereunto duly authorized.</w:t>
            </w:r>
          </w:p>
        </w:tc>
      </w:tr>
      <w:tr>
        <w:trPr>
          <w:trHeight w:val="540"/>
        </w:trPr>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0" w:type="dxa"/>
            <w:vAlign w:val="bottom"/>
          </w:tcPr>
          <w:p>
            <w:pPr>
              <w:ind w:left="1140"/>
              <w:spacing w:after="0"/>
              <w:rPr>
                <w:sz w:val="20"/>
                <w:szCs w:val="20"/>
                <w:color w:val="auto"/>
              </w:rPr>
            </w:pPr>
            <w:r>
              <w:rPr>
                <w:rFonts w:ascii="Courier New" w:cs="Courier New" w:eastAsia="Courier New" w:hAnsi="Courier New"/>
                <w:sz w:val="12"/>
                <w:szCs w:val="12"/>
                <w:color w:val="auto"/>
              </w:rPr>
              <w:t>NN, Inc.</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580"/>
              <w:spacing w:after="0"/>
              <w:rPr>
                <w:sz w:val="20"/>
                <w:szCs w:val="20"/>
                <w:color w:val="auto"/>
              </w:rPr>
            </w:pPr>
            <w:r>
              <w:rPr>
                <w:rFonts w:ascii="Courier New" w:cs="Courier New" w:eastAsia="Courier New" w:hAnsi="Courier New"/>
                <w:sz w:val="12"/>
                <w:szCs w:val="12"/>
                <w:color w:val="auto"/>
              </w:rPr>
              <w:t>------------------------------</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1140"/>
              <w:spacing w:after="0"/>
              <w:rPr>
                <w:sz w:val="20"/>
                <w:szCs w:val="20"/>
                <w:color w:val="auto"/>
              </w:rPr>
            </w:pPr>
            <w:r>
              <w:rPr>
                <w:rFonts w:ascii="Courier New" w:cs="Courier New" w:eastAsia="Courier New" w:hAnsi="Courier New"/>
                <w:sz w:val="12"/>
                <w:szCs w:val="12"/>
                <w:color w:val="auto"/>
              </w:rPr>
              <w:t>(Registrant)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2"/>
                <w:szCs w:val="12"/>
                <w:color w:val="auto"/>
              </w:rPr>
              <w:t>Date:</w:t>
            </w:r>
          </w:p>
        </w:tc>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May 15, 2003</w:t>
            </w:r>
          </w:p>
        </w:tc>
        <w:tc>
          <w:tcPr>
            <w:tcW w:w="3600" w:type="dxa"/>
            <w:vAlign w:val="bottom"/>
          </w:tcPr>
          <w:p>
            <w:pPr>
              <w:ind w:left="580"/>
              <w:spacing w:after="0"/>
              <w:rPr>
                <w:sz w:val="20"/>
                <w:szCs w:val="20"/>
                <w:color w:val="auto"/>
              </w:rPr>
            </w:pPr>
            <w:r>
              <w:rPr>
                <w:rFonts w:ascii="Courier New" w:cs="Courier New" w:eastAsia="Courier New" w:hAnsi="Courier New"/>
                <w:sz w:val="12"/>
                <w:szCs w:val="12"/>
                <w:color w:val="auto"/>
              </w:rPr>
              <w:t>/s/ Roderick R. Baty</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580"/>
              <w:spacing w:after="0"/>
              <w:rPr>
                <w:sz w:val="20"/>
                <w:szCs w:val="20"/>
                <w:color w:val="auto"/>
              </w:rPr>
            </w:pPr>
            <w:r>
              <w:rPr>
                <w:rFonts w:ascii="Courier New" w:cs="Courier New" w:eastAsia="Courier New" w:hAnsi="Courier New"/>
                <w:sz w:val="12"/>
                <w:szCs w:val="12"/>
                <w:color w:val="auto"/>
              </w:rPr>
              <w:t>------------------------------</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860"/>
              <w:spacing w:after="0"/>
              <w:rPr>
                <w:sz w:val="20"/>
                <w:szCs w:val="20"/>
                <w:color w:val="auto"/>
              </w:rPr>
            </w:pPr>
            <w:r>
              <w:rPr>
                <w:rFonts w:ascii="Courier New" w:cs="Courier New" w:eastAsia="Courier New" w:hAnsi="Courier New"/>
                <w:sz w:val="12"/>
                <w:szCs w:val="12"/>
                <w:color w:val="auto"/>
              </w:rPr>
              <w:t>Roderick R. Baty,</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860"/>
              <w:spacing w:after="0"/>
              <w:rPr>
                <w:sz w:val="20"/>
                <w:szCs w:val="20"/>
                <w:color w:val="auto"/>
              </w:rPr>
            </w:pPr>
            <w:r>
              <w:rPr>
                <w:rFonts w:ascii="Courier New" w:cs="Courier New" w:eastAsia="Courier New" w:hAnsi="Courier New"/>
                <w:sz w:val="12"/>
                <w:szCs w:val="12"/>
                <w:color w:val="auto"/>
              </w:rPr>
              <w:t>Chairman, President and</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860"/>
              <w:spacing w:after="0"/>
              <w:rPr>
                <w:sz w:val="20"/>
                <w:szCs w:val="20"/>
                <w:color w:val="auto"/>
              </w:rPr>
            </w:pPr>
            <w:r>
              <w:rPr>
                <w:rFonts w:ascii="Courier New" w:cs="Courier New" w:eastAsia="Courier New" w:hAnsi="Courier New"/>
                <w:sz w:val="12"/>
                <w:szCs w:val="12"/>
                <w:color w:val="auto"/>
              </w:rPr>
              <w:t>Chief Executive Officer</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860"/>
              <w:spacing w:after="0"/>
              <w:rPr>
                <w:sz w:val="20"/>
                <w:szCs w:val="20"/>
                <w:color w:val="auto"/>
              </w:rPr>
            </w:pPr>
            <w:r>
              <w:rPr>
                <w:rFonts w:ascii="Courier New" w:cs="Courier New" w:eastAsia="Courier New" w:hAnsi="Courier New"/>
                <w:sz w:val="12"/>
                <w:szCs w:val="12"/>
                <w:color w:val="auto"/>
              </w:rPr>
              <w:t>(Duly Authorized Officer)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2"/>
                <w:szCs w:val="12"/>
                <w:color w:val="auto"/>
              </w:rPr>
              <w:t>Date:</w:t>
            </w:r>
          </w:p>
        </w:tc>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May 15, 2003</w:t>
            </w:r>
          </w:p>
        </w:tc>
        <w:tc>
          <w:tcPr>
            <w:tcW w:w="3600" w:type="dxa"/>
            <w:vAlign w:val="bottom"/>
          </w:tcPr>
          <w:p>
            <w:pPr>
              <w:ind w:left="580"/>
              <w:spacing w:after="0"/>
              <w:rPr>
                <w:sz w:val="20"/>
                <w:szCs w:val="20"/>
                <w:color w:val="auto"/>
              </w:rPr>
            </w:pPr>
            <w:r>
              <w:rPr>
                <w:rFonts w:ascii="Courier New" w:cs="Courier New" w:eastAsia="Courier New" w:hAnsi="Courier New"/>
                <w:sz w:val="12"/>
                <w:szCs w:val="12"/>
                <w:color w:val="auto"/>
              </w:rPr>
              <w:t>/s/ David L. Dyckman</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580"/>
              <w:spacing w:after="0"/>
              <w:rPr>
                <w:sz w:val="20"/>
                <w:szCs w:val="20"/>
                <w:color w:val="auto"/>
              </w:rPr>
            </w:pPr>
            <w:r>
              <w:rPr>
                <w:rFonts w:ascii="Courier New" w:cs="Courier New" w:eastAsia="Courier New" w:hAnsi="Courier New"/>
                <w:sz w:val="12"/>
                <w:szCs w:val="12"/>
                <w:color w:val="auto"/>
              </w:rPr>
              <w:t>------------------------------</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2"/>
                <w:szCs w:val="12"/>
                <w:color w:val="auto"/>
              </w:rPr>
              <w:t>David L. Dyckman</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2"/>
                <w:szCs w:val="12"/>
                <w:color w:val="auto"/>
                <w:w w:val="97"/>
              </w:rPr>
              <w:t>Vice President - Corporate Development</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2"/>
                <w:szCs w:val="12"/>
                <w:color w:val="auto"/>
              </w:rPr>
              <w:t>Chief Financial Officer</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2"/>
                <w:szCs w:val="12"/>
                <w:color w:val="auto"/>
              </w:rPr>
              <w:t>(Principal Financial Officer)</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2"/>
                <w:szCs w:val="12"/>
                <w:color w:val="auto"/>
              </w:rPr>
              <w:t>(Duly Authorized Officer)</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2"/>
                <w:szCs w:val="12"/>
                <w:color w:val="auto"/>
              </w:rPr>
              <w:t>Date:</w:t>
            </w:r>
          </w:p>
        </w:tc>
        <w:tc>
          <w:tcPr>
            <w:tcW w:w="1540" w:type="dxa"/>
            <w:vAlign w:val="bottom"/>
          </w:tcPr>
          <w:p>
            <w:pPr>
              <w:ind w:left="140"/>
              <w:spacing w:after="0"/>
              <w:rPr>
                <w:sz w:val="20"/>
                <w:szCs w:val="20"/>
                <w:color w:val="auto"/>
              </w:rPr>
            </w:pPr>
            <w:r>
              <w:rPr>
                <w:rFonts w:ascii="Courier New" w:cs="Courier New" w:eastAsia="Courier New" w:hAnsi="Courier New"/>
                <w:sz w:val="12"/>
                <w:szCs w:val="12"/>
                <w:color w:val="auto"/>
              </w:rPr>
              <w:t>May 15, 2003</w:t>
            </w:r>
          </w:p>
        </w:tc>
        <w:tc>
          <w:tcPr>
            <w:tcW w:w="3600" w:type="dxa"/>
            <w:vAlign w:val="bottom"/>
          </w:tcPr>
          <w:p>
            <w:pPr>
              <w:ind w:left="640"/>
              <w:spacing w:after="0"/>
              <w:rPr>
                <w:sz w:val="20"/>
                <w:szCs w:val="20"/>
                <w:color w:val="auto"/>
              </w:rPr>
            </w:pPr>
            <w:r>
              <w:rPr>
                <w:rFonts w:ascii="Courier New" w:cs="Courier New" w:eastAsia="Courier New" w:hAnsi="Courier New"/>
                <w:sz w:val="12"/>
                <w:szCs w:val="12"/>
                <w:color w:val="auto"/>
              </w:rPr>
              <w:t>/s/ William C. Kelly, Jr.</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580"/>
              <w:spacing w:after="0"/>
              <w:rPr>
                <w:sz w:val="20"/>
                <w:szCs w:val="20"/>
                <w:color w:val="auto"/>
              </w:rPr>
            </w:pPr>
            <w:r>
              <w:rPr>
                <w:rFonts w:ascii="Courier New" w:cs="Courier New" w:eastAsia="Courier New" w:hAnsi="Courier New"/>
                <w:sz w:val="12"/>
                <w:szCs w:val="12"/>
                <w:color w:val="auto"/>
              </w:rPr>
              <w:t>------------------------------</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2"/>
                <w:szCs w:val="12"/>
                <w:color w:val="auto"/>
              </w:rPr>
              <w:t>William C. Kelly, Jr.,</w:t>
            </w:r>
          </w:p>
        </w:tc>
      </w:tr>
      <w:tr>
        <w:trPr>
          <w:trHeight w:val="135"/>
        </w:trPr>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0" w:type="dxa"/>
            <w:vAlign w:val="bottom"/>
          </w:tcPr>
          <w:p>
            <w:pPr>
              <w:ind w:left="920"/>
              <w:spacing w:after="0"/>
              <w:rPr>
                <w:sz w:val="20"/>
                <w:szCs w:val="20"/>
                <w:color w:val="auto"/>
              </w:rPr>
            </w:pPr>
            <w:r>
              <w:rPr>
                <w:rFonts w:ascii="Courier New" w:cs="Courier New" w:eastAsia="Courier New" w:hAnsi="Courier New"/>
                <w:sz w:val="12"/>
                <w:szCs w:val="12"/>
                <w:color w:val="auto"/>
              </w:rPr>
              <w:t>Treasurer, Secretary and</w:t>
            </w:r>
          </w:p>
        </w:tc>
      </w:tr>
    </w:tbl>
    <w:p>
      <w:pPr>
        <w:ind w:left="2948"/>
        <w:spacing w:after="0"/>
        <w:rPr>
          <w:sz w:val="20"/>
          <w:szCs w:val="20"/>
          <w:color w:val="auto"/>
        </w:rPr>
      </w:pPr>
      <w:r>
        <w:rPr>
          <w:rFonts w:ascii="Courier New" w:cs="Courier New" w:eastAsia="Courier New" w:hAnsi="Courier New"/>
          <w:sz w:val="12"/>
          <w:szCs w:val="12"/>
          <w:color w:val="auto"/>
        </w:rPr>
        <w:t>Chief Administrative Officer</w:t>
      </w:r>
    </w:p>
    <w:p>
      <w:pPr>
        <w:ind w:left="2948"/>
        <w:spacing w:after="0" w:line="237" w:lineRule="auto"/>
        <w:rPr>
          <w:sz w:val="20"/>
          <w:szCs w:val="20"/>
          <w:color w:val="auto"/>
        </w:rPr>
      </w:pPr>
      <w:r>
        <w:rPr>
          <w:rFonts w:ascii="Courier New" w:cs="Courier New" w:eastAsia="Courier New" w:hAnsi="Courier New"/>
          <w:sz w:val="12"/>
          <w:szCs w:val="12"/>
          <w:color w:val="auto"/>
        </w:rPr>
        <w:t>(Duly Authorized Officer)</w:t>
      </w:r>
    </w:p>
    <w:p>
      <w:pPr>
        <w:spacing w:after="0" w:line="200" w:lineRule="exact"/>
        <w:rPr>
          <w:sz w:val="20"/>
          <w:szCs w:val="20"/>
          <w:color w:val="auto"/>
        </w:rPr>
      </w:pPr>
    </w:p>
    <w:p>
      <w:pPr>
        <w:spacing w:after="0" w:line="205"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b w:val="1"/>
          <w:bCs w:val="1"/>
          <w:color w:val="auto"/>
        </w:rPr>
        <w:t>CERTIFICATIONS</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 Roderick R. Baty, certify that:</w:t>
      </w:r>
    </w:p>
    <w:p>
      <w:pPr>
        <w:spacing w:after="0" w:line="134" w:lineRule="exact"/>
        <w:rPr>
          <w:sz w:val="20"/>
          <w:szCs w:val="20"/>
          <w:color w:val="auto"/>
        </w:rPr>
      </w:pPr>
    </w:p>
    <w:p>
      <w:pPr>
        <w:ind w:left="208" w:hanging="208"/>
        <w:spacing w:after="0"/>
        <w:tabs>
          <w:tab w:leader="none" w:pos="20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 have reviewed this quarterly report on Form 10-Q of NN, Inc.;</w:t>
      </w:r>
    </w:p>
    <w:p>
      <w:pPr>
        <w:spacing w:after="0" w:line="138" w:lineRule="exact"/>
        <w:rPr>
          <w:rFonts w:ascii="Courier New" w:cs="Courier New" w:eastAsia="Courier New" w:hAnsi="Courier New"/>
          <w:sz w:val="12"/>
          <w:szCs w:val="12"/>
          <w:color w:val="auto"/>
        </w:rPr>
      </w:pPr>
    </w:p>
    <w:p>
      <w:pPr>
        <w:ind w:left="8" w:right="4699" w:hanging="8"/>
        <w:spacing w:after="0" w:line="237" w:lineRule="auto"/>
        <w:tabs>
          <w:tab w:leader="none" w:pos="219"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9" w:lineRule="exact"/>
        <w:rPr>
          <w:rFonts w:ascii="Courier New" w:cs="Courier New" w:eastAsia="Courier New" w:hAnsi="Courier New"/>
          <w:sz w:val="12"/>
          <w:szCs w:val="12"/>
          <w:color w:val="auto"/>
        </w:rPr>
      </w:pPr>
    </w:p>
    <w:p>
      <w:pPr>
        <w:ind w:left="8" w:right="4839" w:hanging="8"/>
        <w:spacing w:after="0" w:line="264" w:lineRule="auto"/>
        <w:tabs>
          <w:tab w:leader="none" w:pos="219"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7" w:lineRule="exact"/>
        <w:rPr>
          <w:rFonts w:ascii="Courier New" w:cs="Courier New" w:eastAsia="Courier New" w:hAnsi="Courier New"/>
          <w:sz w:val="11"/>
          <w:szCs w:val="11"/>
          <w:color w:val="auto"/>
        </w:rPr>
      </w:pPr>
    </w:p>
    <w:p>
      <w:pPr>
        <w:ind w:left="8" w:right="4759" w:hanging="8"/>
        <w:spacing w:after="0" w:line="236" w:lineRule="auto"/>
        <w:tabs>
          <w:tab w:leader="none" w:pos="219"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13a-14 and 15d-14) for the registrant and we have:</w:t>
      </w:r>
    </w:p>
    <w:p>
      <w:pPr>
        <w:spacing w:after="0" w:line="139" w:lineRule="exact"/>
        <w:rPr>
          <w:rFonts w:ascii="Courier New" w:cs="Courier New" w:eastAsia="Courier New" w:hAnsi="Courier New"/>
          <w:sz w:val="12"/>
          <w:szCs w:val="12"/>
          <w:color w:val="auto"/>
        </w:rPr>
      </w:pPr>
    </w:p>
    <w:p>
      <w:pPr>
        <w:ind w:left="628" w:right="4619" w:firstLine="4"/>
        <w:spacing w:after="0" w:line="237" w:lineRule="auto"/>
        <w:tabs>
          <w:tab w:leader="none" w:pos="839"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Courier New" w:cs="Courier New" w:eastAsia="Courier New" w:hAnsi="Courier New"/>
          <w:sz w:val="12"/>
          <w:szCs w:val="12"/>
          <w:color w:val="auto"/>
        </w:rPr>
      </w:pPr>
    </w:p>
    <w:p>
      <w:pPr>
        <w:jc w:val="both"/>
        <w:ind w:left="628" w:right="4699" w:firstLine="4"/>
        <w:spacing w:after="0" w:line="236" w:lineRule="auto"/>
        <w:tabs>
          <w:tab w:leader="none" w:pos="839"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as of a date within 90 days prior to the filing date of this quarterly report (the "Evaluation Date"); and</w:t>
      </w:r>
    </w:p>
    <w:p>
      <w:pPr>
        <w:spacing w:after="0" w:line="139" w:lineRule="exact"/>
        <w:rPr>
          <w:rFonts w:ascii="Courier New" w:cs="Courier New" w:eastAsia="Courier New" w:hAnsi="Courier New"/>
          <w:sz w:val="12"/>
          <w:szCs w:val="12"/>
          <w:color w:val="auto"/>
        </w:rPr>
      </w:pPr>
    </w:p>
    <w:p>
      <w:pPr>
        <w:ind w:left="628" w:right="4759" w:firstLine="4"/>
        <w:spacing w:after="0" w:line="236" w:lineRule="auto"/>
        <w:tabs>
          <w:tab w:leader="none" w:pos="839"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presented in this quarterly report our conclusions about the effectiveness of this disclosure controls and procedures based on our evaluation as of the Evaluation Date;</w:t>
      </w:r>
    </w:p>
    <w:p>
      <w:pPr>
        <w:spacing w:after="0" w:line="139" w:lineRule="exact"/>
        <w:rPr>
          <w:rFonts w:ascii="Courier New" w:cs="Courier New" w:eastAsia="Courier New" w:hAnsi="Courier New"/>
          <w:sz w:val="12"/>
          <w:szCs w:val="12"/>
          <w:color w:val="auto"/>
        </w:rPr>
      </w:pPr>
    </w:p>
    <w:p>
      <w:pPr>
        <w:ind w:left="8" w:right="4619" w:hanging="8"/>
        <w:spacing w:after="0" w:line="266" w:lineRule="auto"/>
        <w:tabs>
          <w:tab w:leader="none" w:pos="219"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26" w:lineRule="exact"/>
        <w:rPr>
          <w:rFonts w:ascii="Courier New" w:cs="Courier New" w:eastAsia="Courier New" w:hAnsi="Courier New"/>
          <w:sz w:val="11"/>
          <w:szCs w:val="11"/>
          <w:color w:val="auto"/>
        </w:rPr>
      </w:pPr>
    </w:p>
    <w:p>
      <w:pPr>
        <w:ind w:left="628" w:right="4699" w:firstLine="4"/>
        <w:spacing w:after="0" w:line="237" w:lineRule="auto"/>
        <w:tabs>
          <w:tab w:leader="none" w:pos="839"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Courier New" w:cs="Courier New" w:eastAsia="Courier New" w:hAnsi="Courier New"/>
          <w:sz w:val="12"/>
          <w:szCs w:val="12"/>
          <w:color w:val="auto"/>
        </w:rPr>
      </w:pPr>
    </w:p>
    <w:p>
      <w:pPr>
        <w:ind w:left="628" w:right="4979" w:firstLine="4"/>
        <w:spacing w:after="0" w:line="236" w:lineRule="auto"/>
        <w:tabs>
          <w:tab w:leader="none" w:pos="839"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controls; and</w:t>
      </w:r>
    </w:p>
    <w:p>
      <w:pPr>
        <w:spacing w:after="0" w:line="139" w:lineRule="exact"/>
        <w:rPr>
          <w:rFonts w:ascii="Courier New" w:cs="Courier New" w:eastAsia="Courier New" w:hAnsi="Courier New"/>
          <w:sz w:val="12"/>
          <w:szCs w:val="12"/>
          <w:color w:val="auto"/>
        </w:rPr>
      </w:pPr>
    </w:p>
    <w:p>
      <w:pPr>
        <w:jc w:val="both"/>
        <w:ind w:left="8" w:right="4759" w:hanging="8"/>
        <w:spacing w:after="0" w:line="263" w:lineRule="auto"/>
        <w:tabs>
          <w:tab w:leader="none" w:pos="219"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3"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12"/>
          <w:szCs w:val="12"/>
          <w:color w:val="auto"/>
        </w:rPr>
        <w:t>Date:</w:t>
      </w:r>
      <w:r>
        <w:rPr>
          <w:sz w:val="20"/>
          <w:szCs w:val="20"/>
          <w:color w:val="auto"/>
        </w:rPr>
        <w:tab/>
      </w:r>
      <w:r>
        <w:rPr>
          <w:rFonts w:ascii="Courier New" w:cs="Courier New" w:eastAsia="Courier New" w:hAnsi="Courier New"/>
          <w:sz w:val="11"/>
          <w:szCs w:val="11"/>
          <w:color w:val="auto"/>
        </w:rPr>
        <w:t>May 15, 2003</w:t>
      </w:r>
    </w:p>
    <w:p>
      <w:pPr>
        <w:spacing w:after="0" w:line="134" w:lineRule="exact"/>
        <w:rPr>
          <w:sz w:val="20"/>
          <w:szCs w:val="20"/>
          <w:color w:val="auto"/>
        </w:rPr>
      </w:pPr>
    </w:p>
    <w:p>
      <w:pPr>
        <w:ind w:left="628"/>
        <w:spacing w:after="0"/>
        <w:rPr>
          <w:sz w:val="20"/>
          <w:szCs w:val="20"/>
          <w:color w:val="auto"/>
        </w:rPr>
      </w:pPr>
      <w:r>
        <w:rPr>
          <w:rFonts w:ascii="Courier New" w:cs="Courier New" w:eastAsia="Courier New" w:hAnsi="Courier New"/>
          <w:sz w:val="12"/>
          <w:szCs w:val="12"/>
          <w:color w:val="auto"/>
        </w:rPr>
        <w:t>/s/ Roderick R. Baty</w:t>
      </w:r>
    </w:p>
    <w:p>
      <w:pPr>
        <w:ind w:left="628"/>
        <w:spacing w:after="0"/>
        <w:rPr>
          <w:sz w:val="20"/>
          <w:szCs w:val="20"/>
          <w:color w:val="auto"/>
        </w:rPr>
      </w:pPr>
      <w:r>
        <w:rPr>
          <w:rFonts w:ascii="Courier New" w:cs="Courier New" w:eastAsia="Courier New" w:hAnsi="Courier New"/>
          <w:sz w:val="12"/>
          <w:szCs w:val="12"/>
          <w:color w:val="auto"/>
        </w:rPr>
        <w:t>-----------------------------------------------</w:t>
      </w:r>
    </w:p>
    <w:p>
      <w:pPr>
        <w:ind w:left="628"/>
        <w:spacing w:after="0" w:line="237" w:lineRule="auto"/>
        <w:rPr>
          <w:sz w:val="20"/>
          <w:szCs w:val="20"/>
          <w:color w:val="auto"/>
        </w:rPr>
      </w:pPr>
      <w:r>
        <w:rPr>
          <w:rFonts w:ascii="Courier New" w:cs="Courier New" w:eastAsia="Courier New" w:hAnsi="Courier New"/>
          <w:sz w:val="12"/>
          <w:szCs w:val="12"/>
          <w:color w:val="auto"/>
        </w:rPr>
        <w:t>Roderick R. Baty</w:t>
      </w:r>
    </w:p>
    <w:p>
      <w:pPr>
        <w:ind w:left="628"/>
        <w:spacing w:after="0"/>
        <w:rPr>
          <w:sz w:val="20"/>
          <w:szCs w:val="20"/>
          <w:color w:val="auto"/>
        </w:rPr>
      </w:pPr>
      <w:r>
        <w:rPr>
          <w:rFonts w:ascii="Courier New" w:cs="Courier New" w:eastAsia="Courier New" w:hAnsi="Courier New"/>
          <w:sz w:val="12"/>
          <w:szCs w:val="12"/>
          <w:color w:val="auto"/>
        </w:rPr>
        <w:t>Chairman, President and Chief Executive Officer</w:t>
      </w:r>
    </w:p>
    <w:p>
      <w:pPr>
        <w:spacing w:after="0" w:line="200" w:lineRule="exact"/>
        <w:rPr>
          <w:sz w:val="20"/>
          <w:szCs w:val="20"/>
          <w:color w:val="auto"/>
        </w:rPr>
      </w:pPr>
    </w:p>
    <w:p>
      <w:pPr>
        <w:spacing w:after="0" w:line="20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 David L. Dyckman, certify that:</w:t>
      </w:r>
    </w:p>
    <w:p>
      <w:pPr>
        <w:spacing w:after="0" w:line="134" w:lineRule="exact"/>
        <w:rPr>
          <w:sz w:val="20"/>
          <w:szCs w:val="20"/>
          <w:color w:val="auto"/>
        </w:rPr>
      </w:pPr>
    </w:p>
    <w:p>
      <w:pPr>
        <w:ind w:left="208" w:hanging="208"/>
        <w:spacing w:after="0"/>
        <w:tabs>
          <w:tab w:leader="none" w:pos="20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 have reviewed this quarterly report on Form 10-Q of NN, Inc.;</w:t>
      </w:r>
    </w:p>
    <w:p>
      <w:pPr>
        <w:spacing w:after="0" w:line="138" w:lineRule="exact"/>
        <w:rPr>
          <w:rFonts w:ascii="Courier New" w:cs="Courier New" w:eastAsia="Courier New" w:hAnsi="Courier New"/>
          <w:sz w:val="12"/>
          <w:szCs w:val="12"/>
          <w:color w:val="auto"/>
        </w:rPr>
      </w:pPr>
    </w:p>
    <w:p>
      <w:pPr>
        <w:ind w:left="8" w:right="4699" w:hanging="8"/>
        <w:spacing w:after="0" w:line="266" w:lineRule="auto"/>
        <w:tabs>
          <w:tab w:leader="none" w:pos="219"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this quarterly report does not contain any untrue statement of a material fact or omit to state a material fact necessary to make the statements made, in light of the circumstances under which such statements</w:t>
      </w:r>
    </w:p>
    <w:p>
      <w:pPr>
        <w:sectPr>
          <w:pgSz w:w="11900" w:h="16838" w:orient="portrait"/>
          <w:cols w:equalWidth="0" w:num="1">
            <w:col w:w="10247"/>
          </w:cols>
          <w:pgMar w:left="212" w:top="137" w:right="1440" w:bottom="0" w:gutter="0" w:footer="0" w:header="0"/>
        </w:sectPr>
      </w:pPr>
    </w:p>
    <w:bookmarkStart w:id="14" w:name="page15"/>
    <w:bookmarkEnd w:id="14"/>
    <w:p>
      <w:pPr>
        <w:ind w:left="8" w:right="4759"/>
        <w:spacing w:after="0" w:line="235" w:lineRule="auto"/>
        <w:rPr>
          <w:sz w:val="20"/>
          <w:szCs w:val="20"/>
          <w:color w:val="auto"/>
        </w:rPr>
      </w:pPr>
      <w:r>
        <w:rPr>
          <w:rFonts w:ascii="Courier New" w:cs="Courier New" w:eastAsia="Courier New" w:hAnsi="Courier New"/>
          <w:sz w:val="12"/>
          <w:szCs w:val="12"/>
          <w:color w:val="auto"/>
        </w:rPr>
        <w:t>were made, not misleading with respect to the period covered by this quarterly report;</w:t>
      </w:r>
    </w:p>
    <w:p>
      <w:pPr>
        <w:spacing w:after="0" w:line="139" w:lineRule="exact"/>
        <w:rPr>
          <w:sz w:val="20"/>
          <w:szCs w:val="20"/>
          <w:color w:val="auto"/>
        </w:rPr>
      </w:pPr>
    </w:p>
    <w:p>
      <w:pPr>
        <w:ind w:left="8" w:right="4839" w:hanging="8"/>
        <w:spacing w:after="0" w:line="264" w:lineRule="auto"/>
        <w:tabs>
          <w:tab w:leader="none" w:pos="219"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7" w:lineRule="exact"/>
        <w:rPr>
          <w:rFonts w:ascii="Courier New" w:cs="Courier New" w:eastAsia="Courier New" w:hAnsi="Courier New"/>
          <w:sz w:val="11"/>
          <w:szCs w:val="11"/>
          <w:color w:val="auto"/>
        </w:rPr>
      </w:pPr>
    </w:p>
    <w:p>
      <w:pPr>
        <w:ind w:left="8" w:right="4759" w:hanging="8"/>
        <w:spacing w:after="0" w:line="236" w:lineRule="auto"/>
        <w:tabs>
          <w:tab w:leader="none" w:pos="219"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13a-14 and 15d-14) for the registrant and we have:</w:t>
      </w:r>
    </w:p>
    <w:p>
      <w:pPr>
        <w:spacing w:after="0" w:line="139" w:lineRule="exact"/>
        <w:rPr>
          <w:rFonts w:ascii="Courier New" w:cs="Courier New" w:eastAsia="Courier New" w:hAnsi="Courier New"/>
          <w:sz w:val="12"/>
          <w:szCs w:val="12"/>
          <w:color w:val="auto"/>
        </w:rPr>
      </w:pPr>
    </w:p>
    <w:p>
      <w:pPr>
        <w:ind w:left="628" w:right="4619" w:firstLine="4"/>
        <w:spacing w:after="0" w:line="237" w:lineRule="auto"/>
        <w:tabs>
          <w:tab w:leader="none" w:pos="839" w:val="left"/>
        </w:tabs>
        <w:numPr>
          <w:ilvl w:val="1"/>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Courier New" w:cs="Courier New" w:eastAsia="Courier New" w:hAnsi="Courier New"/>
          <w:sz w:val="12"/>
          <w:szCs w:val="12"/>
          <w:color w:val="auto"/>
        </w:rPr>
      </w:pPr>
    </w:p>
    <w:p>
      <w:pPr>
        <w:jc w:val="both"/>
        <w:ind w:left="628" w:right="4699" w:firstLine="4"/>
        <w:spacing w:after="0" w:line="236" w:lineRule="auto"/>
        <w:tabs>
          <w:tab w:leader="none" w:pos="839" w:val="left"/>
        </w:tabs>
        <w:numPr>
          <w:ilvl w:val="1"/>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as of a date within 90 days prior to the filing date of this quarterly report (the "Evaluation Date"); and</w:t>
      </w:r>
    </w:p>
    <w:p>
      <w:pPr>
        <w:spacing w:after="0" w:line="139" w:lineRule="exact"/>
        <w:rPr>
          <w:rFonts w:ascii="Courier New" w:cs="Courier New" w:eastAsia="Courier New" w:hAnsi="Courier New"/>
          <w:sz w:val="12"/>
          <w:szCs w:val="12"/>
          <w:color w:val="auto"/>
        </w:rPr>
      </w:pPr>
    </w:p>
    <w:p>
      <w:pPr>
        <w:ind w:left="628" w:right="4759" w:firstLine="4"/>
        <w:spacing w:after="0" w:line="236" w:lineRule="auto"/>
        <w:tabs>
          <w:tab w:leader="none" w:pos="839" w:val="left"/>
        </w:tabs>
        <w:numPr>
          <w:ilvl w:val="1"/>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presented in this quarterly report our conclusions about the effectiveness of this disclosure controls and procedures based on our evaluation as of the Evaluation Date;</w:t>
      </w:r>
    </w:p>
    <w:p>
      <w:pPr>
        <w:spacing w:after="0" w:line="139" w:lineRule="exact"/>
        <w:rPr>
          <w:rFonts w:ascii="Courier New" w:cs="Courier New" w:eastAsia="Courier New" w:hAnsi="Courier New"/>
          <w:sz w:val="12"/>
          <w:szCs w:val="12"/>
          <w:color w:val="auto"/>
        </w:rPr>
      </w:pPr>
    </w:p>
    <w:p>
      <w:pPr>
        <w:ind w:left="8" w:right="4619" w:hanging="8"/>
        <w:spacing w:after="0" w:line="266" w:lineRule="auto"/>
        <w:tabs>
          <w:tab w:leader="none" w:pos="219"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26" w:lineRule="exact"/>
        <w:rPr>
          <w:rFonts w:ascii="Courier New" w:cs="Courier New" w:eastAsia="Courier New" w:hAnsi="Courier New"/>
          <w:sz w:val="11"/>
          <w:szCs w:val="11"/>
          <w:color w:val="auto"/>
        </w:rPr>
      </w:pPr>
    </w:p>
    <w:p>
      <w:pPr>
        <w:ind w:left="628" w:right="4699" w:firstLine="4"/>
        <w:spacing w:after="0" w:line="237" w:lineRule="auto"/>
        <w:tabs>
          <w:tab w:leader="none" w:pos="839" w:val="left"/>
        </w:tabs>
        <w:numPr>
          <w:ilvl w:val="1"/>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Courier New" w:cs="Courier New" w:eastAsia="Courier New" w:hAnsi="Courier New"/>
          <w:sz w:val="12"/>
          <w:szCs w:val="12"/>
          <w:color w:val="auto"/>
        </w:rPr>
      </w:pPr>
    </w:p>
    <w:p>
      <w:pPr>
        <w:ind w:left="628" w:right="4979" w:firstLine="4"/>
        <w:spacing w:after="0" w:line="236" w:lineRule="auto"/>
        <w:tabs>
          <w:tab w:leader="none" w:pos="839" w:val="left"/>
        </w:tabs>
        <w:numPr>
          <w:ilvl w:val="1"/>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controls; and</w:t>
      </w:r>
    </w:p>
    <w:p>
      <w:pPr>
        <w:spacing w:after="0" w:line="139" w:lineRule="exact"/>
        <w:rPr>
          <w:rFonts w:ascii="Courier New" w:cs="Courier New" w:eastAsia="Courier New" w:hAnsi="Courier New"/>
          <w:sz w:val="12"/>
          <w:szCs w:val="12"/>
          <w:color w:val="auto"/>
        </w:rPr>
      </w:pPr>
    </w:p>
    <w:p>
      <w:pPr>
        <w:jc w:val="both"/>
        <w:ind w:left="8" w:right="4759" w:hanging="8"/>
        <w:spacing w:after="0" w:line="263" w:lineRule="auto"/>
        <w:tabs>
          <w:tab w:leader="none" w:pos="219"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3"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12"/>
          <w:szCs w:val="12"/>
          <w:color w:val="auto"/>
        </w:rPr>
        <w:t>Date:</w:t>
      </w:r>
      <w:r>
        <w:rPr>
          <w:sz w:val="20"/>
          <w:szCs w:val="20"/>
          <w:color w:val="auto"/>
        </w:rPr>
        <w:tab/>
      </w:r>
      <w:r>
        <w:rPr>
          <w:rFonts w:ascii="Courier New" w:cs="Courier New" w:eastAsia="Courier New" w:hAnsi="Courier New"/>
          <w:sz w:val="11"/>
          <w:szCs w:val="11"/>
          <w:color w:val="auto"/>
        </w:rPr>
        <w:t>May 15, 2003</w:t>
      </w:r>
    </w:p>
    <w:p>
      <w:pPr>
        <w:spacing w:after="0" w:line="134" w:lineRule="exact"/>
        <w:rPr>
          <w:sz w:val="20"/>
          <w:szCs w:val="20"/>
          <w:color w:val="auto"/>
        </w:rPr>
      </w:pPr>
    </w:p>
    <w:p>
      <w:pPr>
        <w:ind w:left="628"/>
        <w:spacing w:after="0"/>
        <w:rPr>
          <w:sz w:val="20"/>
          <w:szCs w:val="20"/>
          <w:color w:val="auto"/>
        </w:rPr>
      </w:pPr>
      <w:r>
        <w:rPr>
          <w:rFonts w:ascii="Courier New" w:cs="Courier New" w:eastAsia="Courier New" w:hAnsi="Courier New"/>
          <w:sz w:val="12"/>
          <w:szCs w:val="12"/>
          <w:color w:val="auto"/>
        </w:rPr>
        <w:t>/s/ David L. Dyckman</w:t>
      </w:r>
    </w:p>
    <w:p>
      <w:pPr>
        <w:ind w:left="628"/>
        <w:spacing w:after="0"/>
        <w:rPr>
          <w:sz w:val="20"/>
          <w:szCs w:val="20"/>
          <w:color w:val="auto"/>
        </w:rPr>
      </w:pPr>
      <w:r>
        <w:rPr>
          <w:rFonts w:ascii="Courier New" w:cs="Courier New" w:eastAsia="Courier New" w:hAnsi="Courier New"/>
          <w:sz w:val="12"/>
          <w:szCs w:val="12"/>
          <w:color w:val="auto"/>
        </w:rPr>
        <w:t>----------------------------------------</w:t>
      </w:r>
    </w:p>
    <w:p>
      <w:pPr>
        <w:ind w:left="628"/>
        <w:spacing w:after="0" w:line="237" w:lineRule="auto"/>
        <w:rPr>
          <w:sz w:val="20"/>
          <w:szCs w:val="20"/>
          <w:color w:val="auto"/>
        </w:rPr>
      </w:pPr>
      <w:r>
        <w:rPr>
          <w:rFonts w:ascii="Courier New" w:cs="Courier New" w:eastAsia="Courier New" w:hAnsi="Courier New"/>
          <w:sz w:val="12"/>
          <w:szCs w:val="12"/>
          <w:color w:val="auto"/>
        </w:rPr>
        <w:t>David L. Dyckman</w:t>
      </w:r>
    </w:p>
    <w:p>
      <w:pPr>
        <w:ind w:left="628"/>
        <w:spacing w:after="0"/>
        <w:rPr>
          <w:sz w:val="20"/>
          <w:szCs w:val="20"/>
          <w:color w:val="auto"/>
        </w:rPr>
      </w:pPr>
      <w:r>
        <w:rPr>
          <w:rFonts w:ascii="Courier New" w:cs="Courier New" w:eastAsia="Courier New" w:hAnsi="Courier New"/>
          <w:sz w:val="12"/>
          <w:szCs w:val="12"/>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27</w:t>
      </w:r>
    </w:p>
    <w:p>
      <w:pPr>
        <w:sectPr>
          <w:pgSz w:w="11900" w:h="16838" w:orient="portrait"/>
          <w:cols w:equalWidth="0" w:num="1">
            <w:col w:w="10247"/>
          </w:cols>
          <w:pgMar w:left="212" w:top="141" w:right="1440" w:bottom="1440" w:gutter="0" w:footer="0" w:header="0"/>
        </w:sectPr>
      </w:pPr>
    </w:p>
    <w:bookmarkStart w:id="15" w:name="page16"/>
    <w:bookmarkEnd w:id="15"/>
    <w:p>
      <w:pPr>
        <w:jc w:val="center"/>
        <w:spacing w:after="0"/>
        <w:rPr>
          <w:sz w:val="20"/>
          <w:szCs w:val="20"/>
          <w:color w:val="auto"/>
        </w:rPr>
      </w:pPr>
      <w:r>
        <w:rPr>
          <w:rFonts w:ascii="Courier New" w:cs="Courier New" w:eastAsia="Courier New" w:hAnsi="Courier New"/>
          <w:sz w:val="12"/>
          <w:szCs w:val="12"/>
          <w:color w:val="auto"/>
        </w:rPr>
        <w:t>Exhibit 99.1</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CERTIFICATION OF CHIEF EXECUTIVE OFFICER PURSUANT</w:t>
      </w:r>
    </w:p>
    <w:p>
      <w:pPr>
        <w:ind w:left="1120"/>
        <w:spacing w:after="0"/>
        <w:rPr>
          <w:sz w:val="20"/>
          <w:szCs w:val="20"/>
          <w:color w:val="auto"/>
        </w:rPr>
      </w:pPr>
      <w:r>
        <w:rPr>
          <w:rFonts w:ascii="Courier New" w:cs="Courier New" w:eastAsia="Courier New" w:hAnsi="Courier New"/>
          <w:sz w:val="12"/>
          <w:szCs w:val="12"/>
          <w:color w:val="auto"/>
        </w:rPr>
        <w:t>TO SECTION 906 OF THE SARBANES-OXLEY ACT OF 2002</w:t>
      </w:r>
    </w:p>
    <w:p>
      <w:pPr>
        <w:spacing w:after="0" w:line="13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connection with the Quarterly Report of NN, Inc. (the "Company") on Form 10-Q for the interim period ended March 31,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542" w:right="1440" w:bottom="1440" w:gutter="0" w:footer="0" w:header="0"/>
        </w:sect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May 15, 2003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Roderick R. Baty</w:t>
      </w:r>
    </w:p>
    <w:p>
      <w:pPr>
        <w:spacing w:after="0"/>
        <w:rPr>
          <w:sz w:val="20"/>
          <w:szCs w:val="20"/>
          <w:color w:val="auto"/>
        </w:rPr>
      </w:pP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2"/>
          <w:szCs w:val="12"/>
          <w:color w:val="auto"/>
        </w:rPr>
        <w:t>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Chairman, President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Executive Officer</w:t>
      </w:r>
    </w:p>
    <w:p>
      <w:pPr>
        <w:spacing w:after="0" w:line="200" w:lineRule="exact"/>
        <w:rPr>
          <w:sz w:val="20"/>
          <w:szCs w:val="20"/>
          <w:color w:val="auto"/>
        </w:rPr>
      </w:pPr>
    </w:p>
    <w:p>
      <w:pPr>
        <w:sectPr>
          <w:pgSz w:w="11900" w:h="16838" w:orient="portrait"/>
          <w:cols w:equalWidth="0" w:num="3">
            <w:col w:w="340" w:space="140"/>
            <w:col w:w="2300" w:space="720"/>
            <w:col w:w="6739"/>
          </w:cols>
          <w:pgMar w:left="220" w:top="542" w:right="1440" w:bottom="1440" w:gutter="0" w:footer="0" w:header="0"/>
          <w:type w:val="continuous"/>
        </w:sectPr>
      </w:pPr>
    </w:p>
    <w:p>
      <w:pPr>
        <w:spacing w:after="0" w:line="74"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542" w:right="1440" w:bottom="1440" w:gutter="0" w:footer="0" w:header="0"/>
          <w:type w:val="continuous"/>
        </w:sectPr>
      </w:pPr>
    </w:p>
    <w:bookmarkStart w:id="16" w:name="page17"/>
    <w:bookmarkEnd w:id="16"/>
    <w:p>
      <w:pPr>
        <w:jc w:val="center"/>
        <w:ind w:right="139"/>
        <w:spacing w:after="0"/>
        <w:rPr>
          <w:sz w:val="20"/>
          <w:szCs w:val="20"/>
          <w:color w:val="auto"/>
        </w:rPr>
      </w:pPr>
      <w:r>
        <w:rPr>
          <w:rFonts w:ascii="Courier New" w:cs="Courier New" w:eastAsia="Courier New" w:hAnsi="Courier New"/>
          <w:sz w:val="12"/>
          <w:szCs w:val="12"/>
          <w:color w:val="auto"/>
        </w:rPr>
        <w:t>Exhibit 99.2</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CERTIFICATION OF CHIEF FINANCIAL OFFICER PURSUANT</w:t>
      </w:r>
    </w:p>
    <w:p>
      <w:pPr>
        <w:ind w:left="1120"/>
        <w:spacing w:after="0"/>
        <w:rPr>
          <w:sz w:val="20"/>
          <w:szCs w:val="20"/>
          <w:color w:val="auto"/>
        </w:rPr>
      </w:pPr>
      <w:r>
        <w:rPr>
          <w:rFonts w:ascii="Courier New" w:cs="Courier New" w:eastAsia="Courier New" w:hAnsi="Courier New"/>
          <w:sz w:val="12"/>
          <w:szCs w:val="12"/>
          <w:color w:val="auto"/>
        </w:rPr>
        <w:t>TO SECTION 906 OF THE SARBANES-OXLEY ACT OF 2002</w:t>
      </w:r>
    </w:p>
    <w:p>
      <w:pPr>
        <w:spacing w:after="0" w:line="13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connection with the Quarterly Report of NN, Inc. (the "Company") on Form 10-Q for the interim period ended March 31,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137" w:right="1440" w:bottom="1440" w:gutter="0" w:footer="0" w:header="0"/>
        </w:sect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May 15, 2003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David L. Dyckman</w:t>
      </w:r>
    </w:p>
    <w:p>
      <w:pPr>
        <w:spacing w:after="0"/>
        <w:rPr>
          <w:sz w:val="20"/>
          <w:szCs w:val="20"/>
          <w:color w:val="auto"/>
        </w:rPr>
      </w:pP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2"/>
          <w:szCs w:val="12"/>
          <w:color w:val="auto"/>
        </w:rPr>
        <w:t>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Chief Financial Officer</w:t>
      </w:r>
    </w:p>
    <w:p>
      <w:pPr>
        <w:spacing w:after="0" w:line="146" w:lineRule="exact"/>
        <w:rPr>
          <w:sz w:val="20"/>
          <w:szCs w:val="20"/>
          <w:color w:val="auto"/>
        </w:rPr>
      </w:pPr>
    </w:p>
    <w:p>
      <w:pPr>
        <w:sectPr>
          <w:pgSz w:w="11900" w:h="16838" w:orient="portrait"/>
          <w:cols w:equalWidth="0" w:num="3">
            <w:col w:w="340" w:space="140"/>
            <w:col w:w="2100" w:space="720"/>
            <w:col w:w="6939"/>
          </w:cols>
          <w:pgMar w:left="220" w:top="137" w:right="1440" w:bottom="1440" w:gutter="0" w:footer="0" w:header="0"/>
          <w:type w:val="continuous"/>
        </w:sectPr>
      </w:pPr>
    </w:p>
    <w:p>
      <w:pPr>
        <w:ind w:right="4839"/>
        <w:spacing w:after="0" w:line="236"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13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2019-12-12T11:34:39Z</dcterms:created>
  <dcterms:modified xsi:type="dcterms:W3CDTF">2019-12-12T11:34:39Z</dcterms:modified>
</cp:coreProperties>
</file>