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166370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208915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227330</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27"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8-K/A</w:t>
      </w:r>
    </w:p>
    <w:p>
      <w:pPr>
        <w:spacing w:after="0" w:line="3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Amendment No. 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224155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35"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PURSUANT TO SECTION 13 OR 15(d)</w:t>
      </w:r>
    </w:p>
    <w:p>
      <w:pPr>
        <w:jc w:val="center"/>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82"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Date of Report (Date of earliest event reported): June 4, 2018 (May 7, 2018)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234315</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drawing>
          <wp:anchor simplePos="0" relativeHeight="251657728" behindDoc="1" locked="0" layoutInCell="0" allowOverlap="1">
            <wp:simplePos x="0" y="0"/>
            <wp:positionH relativeFrom="column">
              <wp:posOffset>3221355</wp:posOffset>
            </wp:positionH>
            <wp:positionV relativeFrom="paragraph">
              <wp:posOffset>422910</wp:posOffset>
            </wp:positionV>
            <wp:extent cx="823595" cy="82359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823595" cy="82359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15"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NN, INC.</w:t>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227965</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tbl>
      <w:tblPr>
        <w:tblLayout w:type="fixed"/>
        <w:tblInd w:w="1100" w:type="dxa"/>
        <w:tblCellMar>
          <w:top w:w="0" w:type="dxa"/>
          <w:left w:w="0" w:type="dxa"/>
          <w:bottom w:w="0" w:type="dxa"/>
          <w:right w:w="0" w:type="dxa"/>
        </w:tblCellMar>
      </w:tblPr>
      <w:tr>
        <w:trPr>
          <w:trHeight w:val="212"/>
        </w:trPr>
        <w:tc>
          <w:tcPr>
            <w:tcW w:w="4120" w:type="dxa"/>
            <w:vAlign w:val="bottom"/>
          </w:tcPr>
          <w:p>
            <w:pPr>
              <w:jc w:val="center"/>
              <w:ind w:right="2359"/>
              <w:spacing w:after="0"/>
              <w:rPr>
                <w:sz w:val="20"/>
                <w:szCs w:val="20"/>
                <w:color w:val="auto"/>
              </w:rPr>
            </w:pPr>
            <w:r>
              <w:rPr>
                <w:rFonts w:ascii="Arial" w:cs="Arial" w:eastAsia="Arial" w:hAnsi="Arial"/>
                <w:sz w:val="18"/>
                <w:szCs w:val="18"/>
                <w:b w:val="1"/>
                <w:bCs w:val="1"/>
                <w:color w:val="auto"/>
                <w:w w:val="91"/>
              </w:rPr>
              <w:t>Delaware</w:t>
            </w:r>
          </w:p>
        </w:tc>
        <w:tc>
          <w:tcPr>
            <w:tcW w:w="2420" w:type="dxa"/>
            <w:vAlign w:val="bottom"/>
          </w:tcPr>
          <w:p>
            <w:pPr>
              <w:ind w:left="240"/>
              <w:spacing w:after="0"/>
              <w:rPr>
                <w:sz w:val="20"/>
                <w:szCs w:val="20"/>
                <w:color w:val="auto"/>
              </w:rPr>
            </w:pPr>
            <w:r>
              <w:rPr>
                <w:rFonts w:ascii="Arial" w:cs="Arial" w:eastAsia="Arial" w:hAnsi="Arial"/>
                <w:sz w:val="18"/>
                <w:szCs w:val="18"/>
                <w:b w:val="1"/>
                <w:bCs w:val="1"/>
                <w:color w:val="auto"/>
              </w:rPr>
              <w:t>000-23486</w:t>
            </w:r>
          </w:p>
        </w:tc>
        <w:tc>
          <w:tcPr>
            <w:tcW w:w="2520" w:type="dxa"/>
            <w:vAlign w:val="bottom"/>
          </w:tcPr>
          <w:p>
            <w:pPr>
              <w:jc w:val="right"/>
              <w:ind w:right="41"/>
              <w:spacing w:after="0"/>
              <w:rPr>
                <w:sz w:val="20"/>
                <w:szCs w:val="20"/>
                <w:color w:val="auto"/>
              </w:rPr>
            </w:pPr>
            <w:r>
              <w:rPr>
                <w:rFonts w:ascii="Arial" w:cs="Arial" w:eastAsia="Arial" w:hAnsi="Arial"/>
                <w:sz w:val="18"/>
                <w:szCs w:val="18"/>
                <w:b w:val="1"/>
                <w:bCs w:val="1"/>
                <w:color w:val="auto"/>
              </w:rPr>
              <w:t>62-1096725</w:t>
            </w:r>
          </w:p>
        </w:tc>
      </w:tr>
      <w:tr>
        <w:trPr>
          <w:trHeight w:val="149"/>
        </w:trPr>
        <w:tc>
          <w:tcPr>
            <w:tcW w:w="4120" w:type="dxa"/>
            <w:vAlign w:val="bottom"/>
          </w:tcPr>
          <w:p>
            <w:pPr>
              <w:jc w:val="center"/>
              <w:ind w:right="2339"/>
              <w:spacing w:after="0" w:line="149" w:lineRule="exact"/>
              <w:rPr>
                <w:sz w:val="20"/>
                <w:szCs w:val="20"/>
                <w:color w:val="auto"/>
              </w:rPr>
            </w:pPr>
            <w:r>
              <w:rPr>
                <w:rFonts w:ascii="Arial" w:cs="Arial" w:eastAsia="Arial" w:hAnsi="Arial"/>
                <w:sz w:val="14"/>
                <w:szCs w:val="14"/>
                <w:b w:val="1"/>
                <w:bCs w:val="1"/>
                <w:color w:val="auto"/>
                <w:w w:val="93"/>
              </w:rPr>
              <w:t>(State or Other Jurisdiction</w:t>
            </w:r>
          </w:p>
        </w:tc>
        <w:tc>
          <w:tcPr>
            <w:tcW w:w="2420" w:type="dxa"/>
            <w:vAlign w:val="bottom"/>
          </w:tcPr>
          <w:p>
            <w:pPr>
              <w:ind w:left="220"/>
              <w:spacing w:after="0" w:line="149" w:lineRule="exact"/>
              <w:rPr>
                <w:sz w:val="20"/>
                <w:szCs w:val="20"/>
                <w:color w:val="auto"/>
              </w:rPr>
            </w:pPr>
            <w:r>
              <w:rPr>
                <w:rFonts w:ascii="Arial" w:cs="Arial" w:eastAsia="Arial" w:hAnsi="Arial"/>
                <w:sz w:val="14"/>
                <w:szCs w:val="14"/>
                <w:b w:val="1"/>
                <w:bCs w:val="1"/>
                <w:color w:val="auto"/>
              </w:rPr>
              <w:t>(Commission</w:t>
            </w:r>
          </w:p>
        </w:tc>
        <w:tc>
          <w:tcPr>
            <w:tcW w:w="2520" w:type="dxa"/>
            <w:vAlign w:val="bottom"/>
          </w:tcPr>
          <w:p>
            <w:pPr>
              <w:jc w:val="center"/>
              <w:ind w:left="1321"/>
              <w:spacing w:after="0" w:line="149" w:lineRule="exact"/>
              <w:rPr>
                <w:sz w:val="20"/>
                <w:szCs w:val="20"/>
                <w:color w:val="auto"/>
              </w:rPr>
            </w:pPr>
            <w:r>
              <w:rPr>
                <w:rFonts w:ascii="Arial" w:cs="Arial" w:eastAsia="Arial" w:hAnsi="Arial"/>
                <w:sz w:val="14"/>
                <w:szCs w:val="14"/>
                <w:b w:val="1"/>
                <w:bCs w:val="1"/>
                <w:color w:val="auto"/>
                <w:w w:val="96"/>
              </w:rPr>
              <w:t>(I.R.S. Employer</w:t>
            </w:r>
          </w:p>
        </w:tc>
      </w:tr>
      <w:tr>
        <w:trPr>
          <w:trHeight w:val="186"/>
        </w:trPr>
        <w:tc>
          <w:tcPr>
            <w:tcW w:w="4120" w:type="dxa"/>
            <w:vAlign w:val="bottom"/>
          </w:tcPr>
          <w:p>
            <w:pPr>
              <w:jc w:val="center"/>
              <w:ind w:right="2339"/>
              <w:spacing w:after="0"/>
              <w:rPr>
                <w:sz w:val="20"/>
                <w:szCs w:val="20"/>
                <w:color w:val="auto"/>
              </w:rPr>
            </w:pPr>
            <w:r>
              <w:rPr>
                <w:rFonts w:ascii="Arial" w:cs="Arial" w:eastAsia="Arial" w:hAnsi="Arial"/>
                <w:sz w:val="14"/>
                <w:szCs w:val="14"/>
                <w:b w:val="1"/>
                <w:bCs w:val="1"/>
                <w:color w:val="auto"/>
                <w:w w:val="94"/>
              </w:rPr>
              <w:t>of Incorporation)</w:t>
            </w:r>
          </w:p>
        </w:tc>
        <w:tc>
          <w:tcPr>
            <w:tcW w:w="2420" w:type="dxa"/>
            <w:vAlign w:val="bottom"/>
          </w:tcPr>
          <w:p>
            <w:pPr>
              <w:ind w:left="200"/>
              <w:spacing w:after="0"/>
              <w:rPr>
                <w:sz w:val="20"/>
                <w:szCs w:val="20"/>
                <w:color w:val="auto"/>
              </w:rPr>
            </w:pPr>
            <w:r>
              <w:rPr>
                <w:rFonts w:ascii="Arial" w:cs="Arial" w:eastAsia="Arial" w:hAnsi="Arial"/>
                <w:sz w:val="14"/>
                <w:szCs w:val="14"/>
                <w:b w:val="1"/>
                <w:bCs w:val="1"/>
                <w:color w:val="auto"/>
              </w:rPr>
              <w:t>File Number)</w:t>
            </w:r>
          </w:p>
        </w:tc>
        <w:tc>
          <w:tcPr>
            <w:tcW w:w="2520" w:type="dxa"/>
            <w:vAlign w:val="bottom"/>
          </w:tcPr>
          <w:p>
            <w:pPr>
              <w:jc w:val="center"/>
              <w:ind w:left="1321"/>
              <w:spacing w:after="0"/>
              <w:rPr>
                <w:sz w:val="20"/>
                <w:szCs w:val="20"/>
                <w:color w:val="auto"/>
              </w:rPr>
            </w:pPr>
            <w:r>
              <w:rPr>
                <w:rFonts w:ascii="Arial" w:cs="Arial" w:eastAsia="Arial" w:hAnsi="Arial"/>
                <w:sz w:val="14"/>
                <w:szCs w:val="14"/>
                <w:b w:val="1"/>
                <w:bCs w:val="1"/>
                <w:color w:val="auto"/>
                <w:w w:val="94"/>
              </w:rPr>
              <w:t>Identification No.)</w:t>
            </w:r>
          </w:p>
        </w:tc>
      </w:tr>
      <w:tr>
        <w:trPr>
          <w:trHeight w:val="412"/>
        </w:trPr>
        <w:tc>
          <w:tcPr>
            <w:tcW w:w="4120" w:type="dxa"/>
            <w:vAlign w:val="bottom"/>
          </w:tcPr>
          <w:p>
            <w:pPr>
              <w:jc w:val="center"/>
              <w:ind w:left="1259"/>
              <w:spacing w:after="0"/>
              <w:rPr>
                <w:sz w:val="20"/>
                <w:szCs w:val="20"/>
                <w:color w:val="auto"/>
              </w:rPr>
            </w:pPr>
            <w:r>
              <w:rPr>
                <w:rFonts w:ascii="Arial" w:cs="Arial" w:eastAsia="Arial" w:hAnsi="Arial"/>
                <w:sz w:val="18"/>
                <w:szCs w:val="18"/>
                <w:b w:val="1"/>
                <w:bCs w:val="1"/>
                <w:color w:val="auto"/>
                <w:w w:val="93"/>
              </w:rPr>
              <w:t>6210 Ardrey Kell Road</w:t>
            </w:r>
          </w:p>
        </w:tc>
        <w:tc>
          <w:tcPr>
            <w:tcW w:w="2420" w:type="dxa"/>
            <w:vAlign w:val="bottom"/>
          </w:tcPr>
          <w:p>
            <w:pPr>
              <w:spacing w:after="0"/>
              <w:rPr>
                <w:sz w:val="24"/>
                <w:szCs w:val="24"/>
                <w:color w:val="auto"/>
              </w:rPr>
            </w:pPr>
          </w:p>
        </w:tc>
        <w:tc>
          <w:tcPr>
            <w:tcW w:w="2520" w:type="dxa"/>
            <w:vAlign w:val="bottom"/>
          </w:tcPr>
          <w:p>
            <w:pPr>
              <w:spacing w:after="0"/>
              <w:rPr>
                <w:sz w:val="24"/>
                <w:szCs w:val="24"/>
                <w:color w:val="auto"/>
              </w:rPr>
            </w:pPr>
          </w:p>
        </w:tc>
      </w:tr>
      <w:tr>
        <w:trPr>
          <w:trHeight w:val="225"/>
        </w:trPr>
        <w:tc>
          <w:tcPr>
            <w:tcW w:w="4120" w:type="dxa"/>
            <w:vAlign w:val="bottom"/>
          </w:tcPr>
          <w:p>
            <w:pPr>
              <w:jc w:val="center"/>
              <w:ind w:left="1279"/>
              <w:spacing w:after="0"/>
              <w:rPr>
                <w:sz w:val="20"/>
                <w:szCs w:val="20"/>
                <w:color w:val="auto"/>
              </w:rPr>
            </w:pPr>
            <w:r>
              <w:rPr>
                <w:rFonts w:ascii="Arial" w:cs="Arial" w:eastAsia="Arial" w:hAnsi="Arial"/>
                <w:sz w:val="18"/>
                <w:szCs w:val="18"/>
                <w:b w:val="1"/>
                <w:bCs w:val="1"/>
                <w:color w:val="auto"/>
                <w:w w:val="93"/>
              </w:rPr>
              <w:t>Charlotte, North Carolina</w:t>
            </w:r>
          </w:p>
        </w:tc>
        <w:tc>
          <w:tcPr>
            <w:tcW w:w="2420" w:type="dxa"/>
            <w:vAlign w:val="bottom"/>
          </w:tcPr>
          <w:p>
            <w:pPr>
              <w:spacing w:after="0"/>
              <w:rPr>
                <w:sz w:val="19"/>
                <w:szCs w:val="19"/>
                <w:color w:val="auto"/>
              </w:rPr>
            </w:pPr>
          </w:p>
        </w:tc>
        <w:tc>
          <w:tcPr>
            <w:tcW w:w="2520" w:type="dxa"/>
            <w:vAlign w:val="bottom"/>
          </w:tcPr>
          <w:p>
            <w:pPr>
              <w:jc w:val="right"/>
              <w:ind w:right="261"/>
              <w:spacing w:after="0"/>
              <w:rPr>
                <w:sz w:val="20"/>
                <w:szCs w:val="20"/>
                <w:color w:val="auto"/>
              </w:rPr>
            </w:pPr>
            <w:r>
              <w:rPr>
                <w:rFonts w:ascii="Arial" w:cs="Arial" w:eastAsia="Arial" w:hAnsi="Arial"/>
                <w:sz w:val="18"/>
                <w:szCs w:val="18"/>
                <w:b w:val="1"/>
                <w:bCs w:val="1"/>
                <w:color w:val="auto"/>
              </w:rPr>
              <w:t>28277</w:t>
            </w:r>
          </w:p>
        </w:tc>
      </w:tr>
      <w:tr>
        <w:trPr>
          <w:trHeight w:val="186"/>
        </w:trPr>
        <w:tc>
          <w:tcPr>
            <w:tcW w:w="4120" w:type="dxa"/>
            <w:vAlign w:val="bottom"/>
          </w:tcPr>
          <w:p>
            <w:pPr>
              <w:jc w:val="center"/>
              <w:ind w:left="1259"/>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2420" w:type="dxa"/>
            <w:vAlign w:val="bottom"/>
          </w:tcPr>
          <w:p>
            <w:pPr>
              <w:spacing w:after="0"/>
              <w:rPr>
                <w:sz w:val="16"/>
                <w:szCs w:val="16"/>
                <w:color w:val="auto"/>
              </w:rPr>
            </w:pPr>
          </w:p>
        </w:tc>
        <w:tc>
          <w:tcPr>
            <w:tcW w:w="2520" w:type="dxa"/>
            <w:vAlign w:val="bottom"/>
          </w:tcPr>
          <w:p>
            <w:pPr>
              <w:jc w:val="center"/>
              <w:ind w:left="1321"/>
              <w:spacing w:after="0"/>
              <w:rPr>
                <w:sz w:val="20"/>
                <w:szCs w:val="20"/>
                <w:color w:val="auto"/>
              </w:rPr>
            </w:pPr>
            <w:r>
              <w:rPr>
                <w:rFonts w:ascii="Arial" w:cs="Arial" w:eastAsia="Arial" w:hAnsi="Arial"/>
                <w:sz w:val="14"/>
                <w:szCs w:val="14"/>
                <w:b w:val="1"/>
                <w:bCs w:val="1"/>
                <w:color w:val="auto"/>
                <w:w w:val="98"/>
              </w:rPr>
              <w:t>(Zip Code)</w:t>
            </w:r>
          </w:p>
        </w:tc>
      </w:tr>
    </w:tbl>
    <w:p>
      <w:pPr>
        <w:spacing w:after="0" w:line="18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(980) 264-4300</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(Registrant’s telephone number, including area code)</w:t>
      </w:r>
    </w:p>
    <w:p>
      <w:pPr>
        <w:spacing w:after="0" w:line="19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207 Mockingbird Lane</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Johnson City, Tennessee, 37604</w:t>
      </w:r>
    </w:p>
    <w:p>
      <w:pPr>
        <w:spacing w:after="0" w:line="2"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219075</wp:posOffset>
            </wp:positionV>
            <wp:extent cx="151765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41" w:lineRule="exact"/>
        <w:rPr>
          <w:sz w:val="24"/>
          <w:szCs w:val="24"/>
          <w:color w:val="auto"/>
        </w:rPr>
      </w:pPr>
    </w:p>
    <w:p>
      <w:pPr>
        <w:ind w:right="600"/>
        <w:spacing w:after="0" w:line="277" w:lineRule="auto"/>
        <w:rPr>
          <w:sz w:val="20"/>
          <w:szCs w:val="20"/>
          <w:color w:val="auto"/>
        </w:rPr>
      </w:pPr>
      <w:r>
        <w:rPr>
          <w:rFonts w:ascii="Arial" w:cs="Arial" w:eastAsia="Arial" w:hAnsi="Arial"/>
          <w:sz w:val="18"/>
          <w:szCs w:val="18"/>
          <w:color w:val="auto"/>
        </w:rPr>
        <w:t>Check the appropriate box if the Form 8-K filing is intended to simultaneously satisfy the filing obligation of the registrant under any of the following provisions (see General Instruction A.2. below):</w:t>
      </w:r>
    </w:p>
    <w:p>
      <w:pPr>
        <w:spacing w:after="0" w:line="76"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240.14d- 2(b))</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240.13e- 4(c))</w:t>
      </w:r>
    </w:p>
    <w:p>
      <w:pPr>
        <w:spacing w:after="0" w:line="225" w:lineRule="exact"/>
        <w:rPr>
          <w:sz w:val="24"/>
          <w:szCs w:val="24"/>
          <w:color w:val="auto"/>
        </w:rPr>
      </w:pPr>
    </w:p>
    <w:p>
      <w:pPr>
        <w:ind w:right="6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8" w:lineRule="exact"/>
        <w:rPr>
          <w:sz w:val="24"/>
          <w:szCs w:val="24"/>
          <w:color w:val="auto"/>
        </w:rPr>
      </w:pPr>
    </w:p>
    <w:p>
      <w:pPr>
        <w:ind w:left="9160"/>
        <w:spacing w:after="0" w:line="184" w:lineRule="exact"/>
        <w:rPr>
          <w:sz w:val="20"/>
          <w:szCs w:val="20"/>
          <w:color w:val="auto"/>
        </w:rPr>
      </w:pPr>
      <w:r>
        <w:rPr>
          <w:rFonts w:ascii="Arial" w:cs="Arial" w:eastAsia="Arial" w:hAnsi="Arial"/>
          <w:sz w:val="16"/>
          <w:szCs w:val="16"/>
          <w:color w:val="auto"/>
        </w:rPr>
        <w:t xml:space="preserve">Emerging growth company. </w:t>
      </w:r>
      <w:r>
        <w:rPr>
          <w:rFonts w:ascii="MS PGothic" w:cs="MS PGothic" w:eastAsia="MS PGothic" w:hAnsi="MS PGothic"/>
          <w:sz w:val="16"/>
          <w:szCs w:val="16"/>
          <w:color w:val="auto"/>
        </w:rPr>
        <w:t>☐</w:t>
      </w:r>
    </w:p>
    <w:p>
      <w:pPr>
        <w:spacing w:after="0" w:line="281" w:lineRule="exact"/>
        <w:rPr>
          <w:sz w:val="24"/>
          <w:szCs w:val="24"/>
          <w:color w:val="auto"/>
        </w:rPr>
      </w:pPr>
    </w:p>
    <w:p>
      <w:pPr>
        <w:ind w:right="14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133350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176530</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sectPr>
      </w:pPr>
    </w:p>
    <w:bookmarkStart w:id="1" w:name="page2"/>
    <w:bookmarkEnd w:id="1"/>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EXPLANATORY NOTE</w:t>
      </w:r>
    </w:p>
    <w:p>
      <w:pPr>
        <w:spacing w:after="0" w:line="229" w:lineRule="exact"/>
        <w:rPr>
          <w:sz w:val="20"/>
          <w:szCs w:val="20"/>
          <w:color w:val="auto"/>
        </w:rPr>
      </w:pPr>
    </w:p>
    <w:p>
      <w:pPr>
        <w:ind w:right="40" w:firstLine="456"/>
        <w:spacing w:after="0" w:line="257" w:lineRule="auto"/>
        <w:rPr>
          <w:sz w:val="20"/>
          <w:szCs w:val="20"/>
          <w:color w:val="auto"/>
        </w:rPr>
      </w:pPr>
      <w:r>
        <w:rPr>
          <w:rFonts w:ascii="Arial" w:cs="Arial" w:eastAsia="Arial" w:hAnsi="Arial"/>
          <w:sz w:val="18"/>
          <w:szCs w:val="18"/>
          <w:color w:val="auto"/>
        </w:rPr>
        <w:t>This Amendment No. 1 (this “Amendment”) is being filed by NN, Inc. (“NN”), to provide the financial statements and pro forma financial information that was not included in the Current Report on Form 8-K filed by NN on May 7, 2018 (the “Original Report”), relating to the acquisition of all of the outstanding capital stock of PMG Intermediate Holding Corporation, a Delaware corporation (“PMG”), pursuant to the Stock Purchase Agreement, dated April 2, 2018, by and among Precision Engineered Products LLC, a Delaware limited liability company, PMG, Paragon Equity LLC, a Delaware limited liability company and, solely for the purposes of Article V and Article XI therein, NN.</w:t>
      </w:r>
    </w:p>
    <w:p>
      <w:pPr>
        <w:spacing w:after="0" w:line="188" w:lineRule="exact"/>
        <w:rPr>
          <w:sz w:val="20"/>
          <w:szCs w:val="20"/>
          <w:color w:val="auto"/>
        </w:rPr>
      </w:pPr>
    </w:p>
    <w:p>
      <w:pPr>
        <w:ind w:right="160" w:firstLine="456"/>
        <w:spacing w:after="0" w:line="277" w:lineRule="auto"/>
        <w:rPr>
          <w:sz w:val="20"/>
          <w:szCs w:val="20"/>
          <w:color w:val="auto"/>
        </w:rPr>
      </w:pPr>
      <w:r>
        <w:rPr>
          <w:rFonts w:ascii="Arial" w:cs="Arial" w:eastAsia="Arial" w:hAnsi="Arial"/>
          <w:sz w:val="18"/>
          <w:szCs w:val="18"/>
          <w:color w:val="auto"/>
        </w:rPr>
        <w:t>The sole purpose of this Amendment is to provide the financial statements and pro forma information required by Item 9.01, which were not included in the Original Report.</w:t>
      </w:r>
    </w:p>
    <w:p>
      <w:pPr>
        <w:spacing w:after="0" w:line="315" w:lineRule="exact"/>
        <w:rPr>
          <w:sz w:val="20"/>
          <w:szCs w:val="20"/>
          <w:color w:val="auto"/>
        </w:rPr>
      </w:pPr>
    </w:p>
    <w:p>
      <w:pPr>
        <w:spacing w:after="0"/>
        <w:tabs>
          <w:tab w:leader="none" w:pos="136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135" w:lineRule="exact"/>
        <w:rPr>
          <w:sz w:val="20"/>
          <w:szCs w:val="20"/>
          <w:color w:val="auto"/>
        </w:rPr>
      </w:pPr>
    </w:p>
    <w:p>
      <w:pPr>
        <w:ind w:left="460" w:hanging="452"/>
        <w:spacing w:after="0"/>
        <w:tabs>
          <w:tab w:leader="none" w:pos="460" w:val="left"/>
        </w:tabs>
        <w:numPr>
          <w:ilvl w:val="0"/>
          <w:numId w:val="2"/>
        </w:numPr>
        <w:rPr>
          <w:rFonts w:ascii="Arial" w:cs="Arial" w:eastAsia="Arial" w:hAnsi="Arial"/>
          <w:sz w:val="18"/>
          <w:szCs w:val="18"/>
          <w:color w:val="auto"/>
        </w:rPr>
      </w:pPr>
      <w:r>
        <w:rPr>
          <w:rFonts w:ascii="Arial" w:cs="Arial" w:eastAsia="Arial" w:hAnsi="Arial"/>
          <w:sz w:val="18"/>
          <w:szCs w:val="18"/>
          <w:u w:val="single" w:color="auto"/>
          <w:color w:val="auto"/>
        </w:rPr>
        <w:t>Financial Statements of Business Acquired</w:t>
      </w:r>
    </w:p>
    <w:p>
      <w:pPr>
        <w:spacing w:after="0" w:line="117"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The audited financial statements of PMG as of and for the year ended December 31, 2017, together with the notes thereto and the independent auditors’ report thereon, are filed as Exhibit 99.1 and are hereby incorporated in this Amendment by reference.</w:t>
      </w:r>
    </w:p>
    <w:p>
      <w:pPr>
        <w:spacing w:after="0" w:line="170"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The condensed unaudited consolidated financial statements of PMG as of and for the three months ended March 31, 2018, and the notes related thereto, are filed as Exhibit 99.2 and are incorporated in this Amendment by reference.</w:t>
      </w:r>
    </w:p>
    <w:p>
      <w:pPr>
        <w:spacing w:after="0" w:line="319" w:lineRule="exact"/>
        <w:rPr>
          <w:sz w:val="20"/>
          <w:szCs w:val="20"/>
          <w:color w:val="auto"/>
        </w:rPr>
      </w:pPr>
    </w:p>
    <w:p>
      <w:pPr>
        <w:ind w:left="460" w:hanging="452"/>
        <w:spacing w:after="0"/>
        <w:tabs>
          <w:tab w:leader="none" w:pos="460" w:val="left"/>
        </w:tabs>
        <w:numPr>
          <w:ilvl w:val="0"/>
          <w:numId w:val="3"/>
        </w:numPr>
        <w:rPr>
          <w:rFonts w:ascii="Arial" w:cs="Arial" w:eastAsia="Arial" w:hAnsi="Arial"/>
          <w:sz w:val="18"/>
          <w:szCs w:val="18"/>
          <w:color w:val="auto"/>
        </w:rPr>
      </w:pPr>
      <w:r>
        <w:rPr>
          <w:rFonts w:ascii="Arial" w:cs="Arial" w:eastAsia="Arial" w:hAnsi="Arial"/>
          <w:sz w:val="18"/>
          <w:szCs w:val="18"/>
          <w:u w:val="single" w:color="auto"/>
          <w:color w:val="auto"/>
        </w:rPr>
        <w:t>Pro Forma Financial Information</w:t>
      </w:r>
    </w:p>
    <w:p>
      <w:pPr>
        <w:spacing w:after="0" w:line="117" w:lineRule="exact"/>
        <w:rPr>
          <w:sz w:val="20"/>
          <w:szCs w:val="20"/>
          <w:color w:val="auto"/>
        </w:rPr>
      </w:pPr>
    </w:p>
    <w:p>
      <w:pPr>
        <w:ind w:right="40" w:firstLine="456"/>
        <w:spacing w:after="0" w:line="264" w:lineRule="auto"/>
        <w:rPr>
          <w:sz w:val="20"/>
          <w:szCs w:val="20"/>
          <w:color w:val="auto"/>
        </w:rPr>
      </w:pPr>
      <w:r>
        <w:rPr>
          <w:rFonts w:ascii="Arial" w:cs="Arial" w:eastAsia="Arial" w:hAnsi="Arial"/>
          <w:sz w:val="18"/>
          <w:szCs w:val="18"/>
          <w:color w:val="auto"/>
        </w:rPr>
        <w:t>NN’s and PMG’s unaudited pro forma condensed combined balance sheet as of March 31, 2018, and the unaudited pro forma condensed combined statements of operations for the year ended December 31, 2017 and the three months ended March 31, 2018, and the notes related thereto, are filed as Exhibit 99.3 and are hereby incorporated in this Amendment by reference.</w:t>
      </w:r>
    </w:p>
    <w:p>
      <w:pPr>
        <w:sectPr>
          <w:pgSz w:w="11900" w:h="16838" w:orient="portrait"/>
          <w:cols w:equalWidth="0" w:num="1">
            <w:col w:w="11400"/>
          </w:cols>
          <w:pgMar w:left="240" w:top="270" w:right="259" w:bottom="1440" w:gutter="0" w:footer="0" w:header="0"/>
        </w:sectPr>
      </w:pPr>
    </w:p>
    <w:bookmarkStart w:id="2" w:name="page3"/>
    <w:bookmarkEnd w:id="2"/>
    <w:p>
      <w:pPr>
        <w:ind w:left="460" w:hanging="452"/>
        <w:spacing w:after="0"/>
        <w:tabs>
          <w:tab w:leader="none" w:pos="460" w:val="left"/>
        </w:tabs>
        <w:numPr>
          <w:ilvl w:val="0"/>
          <w:numId w:val="4"/>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Exhibits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40" w:type="dxa"/>
            <w:vAlign w:val="bottom"/>
          </w:tcPr>
          <w:p>
            <w:pPr>
              <w:ind w:left="20"/>
              <w:spacing w:after="0"/>
              <w:rPr>
                <w:sz w:val="20"/>
                <w:szCs w:val="20"/>
                <w:color w:val="auto"/>
              </w:rPr>
            </w:pPr>
            <w:r>
              <w:rPr>
                <w:rFonts w:ascii="Arial" w:cs="Arial" w:eastAsia="Arial" w:hAnsi="Arial"/>
                <w:sz w:val="14"/>
                <w:szCs w:val="14"/>
                <w:color w:val="auto"/>
                <w:w w:val="95"/>
              </w:rPr>
              <w:t>Exhibit</w:t>
            </w:r>
          </w:p>
        </w:tc>
        <w:tc>
          <w:tcPr>
            <w:tcW w:w="560" w:type="dxa"/>
            <w:vAlign w:val="bottom"/>
          </w:tcPr>
          <w:p>
            <w:pPr>
              <w:spacing w:after="0"/>
              <w:rPr>
                <w:sz w:val="14"/>
                <w:szCs w:val="14"/>
                <w:color w:val="auto"/>
              </w:rPr>
            </w:pPr>
          </w:p>
        </w:tc>
        <w:tc>
          <w:tcPr>
            <w:tcW w:w="3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67"/>
        </w:trPr>
        <w:tc>
          <w:tcPr>
            <w:tcW w:w="440" w:type="dxa"/>
            <w:vAlign w:val="bottom"/>
          </w:tcPr>
          <w:p>
            <w:pPr>
              <w:ind w:left="120"/>
              <w:spacing w:after="0"/>
              <w:rPr>
                <w:sz w:val="20"/>
                <w:szCs w:val="20"/>
                <w:color w:val="auto"/>
              </w:rPr>
            </w:pPr>
            <w:r>
              <w:rPr>
                <w:rFonts w:ascii="Arial" w:cs="Arial" w:eastAsia="Arial" w:hAnsi="Arial"/>
                <w:sz w:val="14"/>
                <w:szCs w:val="14"/>
                <w:color w:val="auto"/>
              </w:rPr>
              <w:t>No.</w:t>
            </w:r>
          </w:p>
        </w:tc>
        <w:tc>
          <w:tcPr>
            <w:tcW w:w="560" w:type="dxa"/>
            <w:vAlign w:val="bottom"/>
          </w:tcPr>
          <w:p>
            <w:pPr>
              <w:spacing w:after="0"/>
              <w:rPr>
                <w:sz w:val="14"/>
                <w:szCs w:val="14"/>
                <w:color w:val="auto"/>
              </w:rPr>
            </w:pPr>
          </w:p>
        </w:tc>
        <w:tc>
          <w:tcPr>
            <w:tcW w:w="3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300" w:type="dxa"/>
            <w:vAlign w:val="bottom"/>
            <w:gridSpan w:val="5"/>
          </w:tcPr>
          <w:p>
            <w:pPr>
              <w:ind w:left="20"/>
              <w:spacing w:after="0"/>
              <w:rPr>
                <w:sz w:val="20"/>
                <w:szCs w:val="20"/>
                <w:color w:val="auto"/>
              </w:rPr>
            </w:pPr>
            <w:r>
              <w:rPr>
                <w:rFonts w:ascii="Arial" w:cs="Arial" w:eastAsia="Arial" w:hAnsi="Arial"/>
                <w:sz w:val="14"/>
                <w:szCs w:val="14"/>
                <w:color w:val="auto"/>
              </w:rPr>
              <w:t>Description</w:t>
            </w:r>
          </w:p>
        </w:tc>
      </w:tr>
      <w:tr>
        <w:trPr>
          <w:trHeight w:val="264"/>
        </w:trPr>
        <w:tc>
          <w:tcPr>
            <w:tcW w:w="4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23.1</w:t>
            </w:r>
          </w:p>
        </w:tc>
        <w:tc>
          <w:tcPr>
            <w:tcW w:w="560" w:type="dxa"/>
            <w:vAlign w:val="bottom"/>
          </w:tcPr>
          <w:p>
            <w:pPr>
              <w:spacing w:after="0"/>
              <w:rPr>
                <w:sz w:val="22"/>
                <w:szCs w:val="22"/>
                <w:color w:val="auto"/>
              </w:rPr>
            </w:pPr>
          </w:p>
        </w:tc>
        <w:tc>
          <w:tcPr>
            <w:tcW w:w="4860" w:type="dxa"/>
            <w:vAlign w:val="bottom"/>
            <w:gridSpan w:val="4"/>
          </w:tcPr>
          <w:p>
            <w:pPr>
              <w:spacing w:after="0"/>
              <w:rPr>
                <w:rFonts w:ascii="Arial" w:cs="Arial" w:eastAsia="Arial" w:hAnsi="Arial"/>
                <w:sz w:val="18"/>
                <w:szCs w:val="18"/>
                <w:color w:val="0000EE"/>
              </w:rPr>
            </w:pPr>
            <w:hyperlink w:anchor="page5">
              <w:r>
                <w:rPr>
                  <w:rFonts w:ascii="Arial" w:cs="Arial" w:eastAsia="Arial" w:hAnsi="Arial"/>
                  <w:sz w:val="18"/>
                  <w:szCs w:val="18"/>
                  <w:color w:val="0000EE"/>
                </w:rPr>
                <w:t>Consent of RSM US LLP, independent auditors.</w:t>
              </w:r>
            </w:hyperlink>
          </w:p>
        </w:tc>
        <w:tc>
          <w:tcPr>
            <w:tcW w:w="680" w:type="dxa"/>
            <w:vAlign w:val="bottom"/>
            <w:tcBorders>
              <w:top w:val="single" w:sz="8" w:color="auto"/>
            </w:tcBorders>
          </w:tcPr>
          <w:p>
            <w:pPr>
              <w:spacing w:after="0"/>
              <w:rPr>
                <w:sz w:val="22"/>
                <w:szCs w:val="22"/>
                <w:color w:val="auto"/>
              </w:rPr>
            </w:pPr>
          </w:p>
        </w:tc>
        <w:tc>
          <w:tcPr>
            <w:tcW w:w="4620" w:type="dxa"/>
            <w:vAlign w:val="bottom"/>
            <w:gridSpan w:val="4"/>
          </w:tcPr>
          <w:p>
            <w:pPr>
              <w:spacing w:after="0"/>
              <w:rPr>
                <w:sz w:val="22"/>
                <w:szCs w:val="22"/>
                <w:color w:val="auto"/>
              </w:rPr>
            </w:pPr>
          </w:p>
        </w:tc>
      </w:tr>
      <w:tr>
        <w:trPr>
          <w:trHeight w:val="20"/>
        </w:trPr>
        <w:tc>
          <w:tcPr>
            <w:tcW w:w="4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3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558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304"/>
        </w:trPr>
        <w:tc>
          <w:tcPr>
            <w:tcW w:w="440" w:type="dxa"/>
            <w:vAlign w:val="bottom"/>
          </w:tcPr>
          <w:p>
            <w:pPr>
              <w:spacing w:after="0"/>
              <w:rPr>
                <w:sz w:val="20"/>
                <w:szCs w:val="20"/>
                <w:color w:val="auto"/>
              </w:rPr>
            </w:pPr>
            <w:r>
              <w:rPr>
                <w:rFonts w:ascii="Arial" w:cs="Arial" w:eastAsia="Arial" w:hAnsi="Arial"/>
                <w:sz w:val="18"/>
                <w:szCs w:val="18"/>
                <w:color w:val="auto"/>
              </w:rPr>
              <w:t>99.1</w:t>
            </w:r>
          </w:p>
        </w:tc>
        <w:tc>
          <w:tcPr>
            <w:tcW w:w="560" w:type="dxa"/>
            <w:vAlign w:val="bottom"/>
          </w:tcPr>
          <w:p>
            <w:pPr>
              <w:spacing w:after="0"/>
              <w:rPr>
                <w:sz w:val="24"/>
                <w:szCs w:val="24"/>
                <w:color w:val="auto"/>
              </w:rPr>
            </w:pPr>
          </w:p>
        </w:tc>
        <w:tc>
          <w:tcPr>
            <w:tcW w:w="10160" w:type="dxa"/>
            <w:vAlign w:val="bottom"/>
            <w:gridSpan w:val="9"/>
          </w:tcPr>
          <w:p>
            <w:pPr>
              <w:spacing w:after="0"/>
              <w:rPr>
                <w:rFonts w:ascii="Arial" w:cs="Arial" w:eastAsia="Arial" w:hAnsi="Arial"/>
                <w:sz w:val="18"/>
                <w:szCs w:val="18"/>
                <w:color w:val="0000EE"/>
                <w:w w:val="92"/>
              </w:rPr>
            </w:pPr>
            <w:hyperlink w:anchor="page6">
              <w:r>
                <w:rPr>
                  <w:rFonts w:ascii="Arial" w:cs="Arial" w:eastAsia="Arial" w:hAnsi="Arial"/>
                  <w:sz w:val="18"/>
                  <w:szCs w:val="18"/>
                  <w:color w:val="0000EE"/>
                  <w:w w:val="92"/>
                </w:rPr>
                <w:t>Audited financial statements of PMG Intermediate Holding Corporation as of and for the year ended December 31, 2017, together with the</w:t>
              </w:r>
            </w:hyperlink>
          </w:p>
        </w:tc>
      </w:tr>
      <w:tr>
        <w:trPr>
          <w:trHeight w:val="196"/>
        </w:trPr>
        <w:tc>
          <w:tcPr>
            <w:tcW w:w="4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40" w:type="dxa"/>
            <w:vAlign w:val="bottom"/>
            <w:tcBorders>
              <w:top w:val="single" w:sz="8" w:color="0000EE"/>
            </w:tcBorders>
            <w:gridSpan w:val="8"/>
          </w:tcPr>
          <w:p>
            <w:pPr>
              <w:spacing w:after="0" w:line="196" w:lineRule="exact"/>
              <w:rPr>
                <w:rFonts w:ascii="Arial" w:cs="Arial" w:eastAsia="Arial" w:hAnsi="Arial"/>
                <w:sz w:val="18"/>
                <w:szCs w:val="18"/>
                <w:color w:val="0000EE"/>
              </w:rPr>
            </w:pPr>
            <w:hyperlink w:anchor="page6">
              <w:r>
                <w:rPr>
                  <w:rFonts w:ascii="Arial" w:cs="Arial" w:eastAsia="Arial" w:hAnsi="Arial"/>
                  <w:sz w:val="18"/>
                  <w:szCs w:val="18"/>
                  <w:color w:val="0000EE"/>
                </w:rPr>
                <w:t>notes thereto and the independent auditors’ report thereon.</w:t>
              </w:r>
            </w:hyperlink>
          </w:p>
        </w:tc>
        <w:tc>
          <w:tcPr>
            <w:tcW w:w="120" w:type="dxa"/>
            <w:vAlign w:val="bottom"/>
          </w:tcPr>
          <w:p>
            <w:pPr>
              <w:spacing w:after="0"/>
              <w:rPr>
                <w:sz w:val="17"/>
                <w:szCs w:val="17"/>
                <w:color w:val="auto"/>
              </w:rPr>
            </w:pPr>
          </w:p>
        </w:tc>
      </w:tr>
      <w:tr>
        <w:trPr>
          <w:trHeight w:val="20"/>
        </w:trPr>
        <w:tc>
          <w:tcPr>
            <w:tcW w:w="4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300" w:type="dxa"/>
            <w:vAlign w:val="bottom"/>
            <w:shd w:val="clear" w:color="auto" w:fill="0000EE"/>
          </w:tcPr>
          <w:p>
            <w:pPr>
              <w:spacing w:after="0" w:line="20" w:lineRule="exact"/>
              <w:rPr>
                <w:sz w:val="1"/>
                <w:szCs w:val="1"/>
                <w:color w:val="auto"/>
              </w:rPr>
            </w:pPr>
          </w:p>
        </w:tc>
        <w:tc>
          <w:tcPr>
            <w:tcW w:w="900" w:type="dxa"/>
            <w:vAlign w:val="bottom"/>
            <w:gridSpan w:val="2"/>
            <w:shd w:val="clear" w:color="auto" w:fill="0000EE"/>
          </w:tcPr>
          <w:p>
            <w:pPr>
              <w:spacing w:after="0" w:line="20" w:lineRule="exact"/>
              <w:rPr>
                <w:sz w:val="1"/>
                <w:szCs w:val="1"/>
                <w:color w:val="auto"/>
              </w:rPr>
            </w:pPr>
          </w:p>
        </w:tc>
        <w:tc>
          <w:tcPr>
            <w:tcW w:w="558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r>
      <w:tr>
        <w:trPr>
          <w:trHeight w:val="304"/>
        </w:trPr>
        <w:tc>
          <w:tcPr>
            <w:tcW w:w="440" w:type="dxa"/>
            <w:vAlign w:val="bottom"/>
          </w:tcPr>
          <w:p>
            <w:pPr>
              <w:spacing w:after="0"/>
              <w:rPr>
                <w:sz w:val="20"/>
                <w:szCs w:val="20"/>
                <w:color w:val="auto"/>
              </w:rPr>
            </w:pPr>
            <w:r>
              <w:rPr>
                <w:rFonts w:ascii="Arial" w:cs="Arial" w:eastAsia="Arial" w:hAnsi="Arial"/>
                <w:sz w:val="18"/>
                <w:szCs w:val="18"/>
                <w:color w:val="auto"/>
              </w:rPr>
              <w:t>99.2</w:t>
            </w:r>
          </w:p>
        </w:tc>
        <w:tc>
          <w:tcPr>
            <w:tcW w:w="560" w:type="dxa"/>
            <w:vAlign w:val="bottom"/>
          </w:tcPr>
          <w:p>
            <w:pPr>
              <w:spacing w:after="0"/>
              <w:rPr>
                <w:sz w:val="24"/>
                <w:szCs w:val="24"/>
                <w:color w:val="auto"/>
              </w:rPr>
            </w:pPr>
          </w:p>
        </w:tc>
        <w:tc>
          <w:tcPr>
            <w:tcW w:w="10160" w:type="dxa"/>
            <w:vAlign w:val="bottom"/>
            <w:gridSpan w:val="9"/>
          </w:tcPr>
          <w:p>
            <w:pPr>
              <w:spacing w:after="0"/>
              <w:rPr>
                <w:rFonts w:ascii="Arial" w:cs="Arial" w:eastAsia="Arial" w:hAnsi="Arial"/>
                <w:sz w:val="18"/>
                <w:szCs w:val="18"/>
                <w:color w:val="0000EE"/>
                <w:w w:val="93"/>
              </w:rPr>
            </w:pPr>
            <w:hyperlink w:anchor="page27">
              <w:r>
                <w:rPr>
                  <w:rFonts w:ascii="Arial" w:cs="Arial" w:eastAsia="Arial" w:hAnsi="Arial"/>
                  <w:sz w:val="18"/>
                  <w:szCs w:val="18"/>
                  <w:color w:val="0000EE"/>
                  <w:w w:val="93"/>
                </w:rPr>
                <w:t>Condensed unaudited consolidated financial statements of PMG Intermediate Holding Corporation as of and for the three months ended</w:t>
              </w:r>
            </w:hyperlink>
          </w:p>
        </w:tc>
      </w:tr>
      <w:tr>
        <w:trPr>
          <w:trHeight w:val="196"/>
        </w:trPr>
        <w:tc>
          <w:tcPr>
            <w:tcW w:w="4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9780" w:type="dxa"/>
            <w:vAlign w:val="bottom"/>
            <w:tcBorders>
              <w:top w:val="single" w:sz="8" w:color="0000EE"/>
            </w:tcBorders>
            <w:gridSpan w:val="6"/>
          </w:tcPr>
          <w:p>
            <w:pPr>
              <w:spacing w:after="0" w:line="196" w:lineRule="exact"/>
              <w:rPr>
                <w:rFonts w:ascii="Arial" w:cs="Arial" w:eastAsia="Arial" w:hAnsi="Arial"/>
                <w:sz w:val="18"/>
                <w:szCs w:val="18"/>
                <w:color w:val="0000EE"/>
              </w:rPr>
            </w:pPr>
            <w:hyperlink w:anchor="page27">
              <w:r>
                <w:rPr>
                  <w:rFonts w:ascii="Arial" w:cs="Arial" w:eastAsia="Arial" w:hAnsi="Arial"/>
                  <w:sz w:val="18"/>
                  <w:szCs w:val="18"/>
                  <w:color w:val="0000EE"/>
                </w:rPr>
                <w:t>March 31, 2018, and the notes related thereto.</w:t>
              </w:r>
            </w:hyperlink>
          </w:p>
        </w:tc>
        <w:tc>
          <w:tcPr>
            <w:tcW w:w="380" w:type="dxa"/>
            <w:vAlign w:val="bottom"/>
            <w:gridSpan w:val="3"/>
          </w:tcPr>
          <w:p>
            <w:pPr>
              <w:spacing w:after="0"/>
              <w:rPr>
                <w:sz w:val="17"/>
                <w:szCs w:val="17"/>
                <w:color w:val="auto"/>
              </w:rPr>
            </w:pPr>
          </w:p>
        </w:tc>
      </w:tr>
      <w:tr>
        <w:trPr>
          <w:trHeight w:val="20"/>
        </w:trPr>
        <w:tc>
          <w:tcPr>
            <w:tcW w:w="4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300" w:type="dxa"/>
            <w:vAlign w:val="bottom"/>
            <w:shd w:val="clear" w:color="auto" w:fill="0000EE"/>
          </w:tcPr>
          <w:p>
            <w:pPr>
              <w:spacing w:after="0" w:line="20" w:lineRule="exact"/>
              <w:rPr>
                <w:sz w:val="1"/>
                <w:szCs w:val="1"/>
                <w:color w:val="auto"/>
              </w:rPr>
            </w:pPr>
          </w:p>
        </w:tc>
        <w:tc>
          <w:tcPr>
            <w:tcW w:w="6620" w:type="dxa"/>
            <w:vAlign w:val="bottom"/>
            <w:gridSpan w:val="6"/>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r>
      <w:tr>
        <w:trPr>
          <w:trHeight w:val="304"/>
        </w:trPr>
        <w:tc>
          <w:tcPr>
            <w:tcW w:w="440" w:type="dxa"/>
            <w:vAlign w:val="bottom"/>
          </w:tcPr>
          <w:p>
            <w:pPr>
              <w:spacing w:after="0"/>
              <w:rPr>
                <w:sz w:val="20"/>
                <w:szCs w:val="20"/>
                <w:color w:val="auto"/>
              </w:rPr>
            </w:pPr>
            <w:r>
              <w:rPr>
                <w:rFonts w:ascii="Arial" w:cs="Arial" w:eastAsia="Arial" w:hAnsi="Arial"/>
                <w:sz w:val="18"/>
                <w:szCs w:val="18"/>
                <w:color w:val="auto"/>
              </w:rPr>
              <w:t>99.3</w:t>
            </w:r>
          </w:p>
        </w:tc>
        <w:tc>
          <w:tcPr>
            <w:tcW w:w="560" w:type="dxa"/>
            <w:vAlign w:val="bottom"/>
          </w:tcPr>
          <w:p>
            <w:pPr>
              <w:spacing w:after="0"/>
              <w:rPr>
                <w:sz w:val="24"/>
                <w:szCs w:val="24"/>
                <w:color w:val="auto"/>
              </w:rPr>
            </w:pPr>
          </w:p>
        </w:tc>
        <w:tc>
          <w:tcPr>
            <w:tcW w:w="10160" w:type="dxa"/>
            <w:vAlign w:val="bottom"/>
            <w:tcBorders>
              <w:bottom w:val="single" w:sz="8" w:color="0000EE"/>
            </w:tcBorders>
            <w:gridSpan w:val="9"/>
          </w:tcPr>
          <w:p>
            <w:pPr>
              <w:spacing w:after="0"/>
              <w:rPr>
                <w:rFonts w:ascii="Arial" w:cs="Arial" w:eastAsia="Arial" w:hAnsi="Arial"/>
                <w:sz w:val="18"/>
                <w:szCs w:val="18"/>
                <w:color w:val="0000EE"/>
                <w:w w:val="91"/>
              </w:rPr>
            </w:pPr>
            <w:hyperlink w:anchor="page39">
              <w:r>
                <w:rPr>
                  <w:rFonts w:ascii="Arial" w:cs="Arial" w:eastAsia="Arial" w:hAnsi="Arial"/>
                  <w:sz w:val="18"/>
                  <w:szCs w:val="18"/>
                  <w:color w:val="0000EE"/>
                  <w:w w:val="91"/>
                </w:rPr>
                <w:t>Unaudited pro forma condensed combined balance sheet of NN, Inc. and PMG Intermediate Holding Corporation as of March 31, 2018, and</w:t>
              </w:r>
            </w:hyperlink>
          </w:p>
        </w:tc>
      </w:tr>
      <w:tr>
        <w:trPr>
          <w:trHeight w:val="196"/>
        </w:trPr>
        <w:tc>
          <w:tcPr>
            <w:tcW w:w="4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9920" w:type="dxa"/>
            <w:vAlign w:val="bottom"/>
            <w:tcBorders>
              <w:bottom w:val="single" w:sz="8" w:color="0000EE"/>
            </w:tcBorders>
            <w:gridSpan w:val="7"/>
          </w:tcPr>
          <w:p>
            <w:pPr>
              <w:spacing w:after="0" w:line="196" w:lineRule="exact"/>
              <w:rPr>
                <w:rFonts w:ascii="Arial" w:cs="Arial" w:eastAsia="Arial" w:hAnsi="Arial"/>
                <w:sz w:val="18"/>
                <w:szCs w:val="18"/>
                <w:color w:val="0000EE"/>
                <w:w w:val="88"/>
              </w:rPr>
            </w:pPr>
            <w:hyperlink w:anchor="page39">
              <w:r>
                <w:rPr>
                  <w:rFonts w:ascii="Arial" w:cs="Arial" w:eastAsia="Arial" w:hAnsi="Arial"/>
                  <w:sz w:val="18"/>
                  <w:szCs w:val="18"/>
                  <w:color w:val="0000EE"/>
                  <w:w w:val="88"/>
                </w:rPr>
                <w:t>the unaudited pro forma condensed combined statements of operations for the year ended December 31, 2017 and the three months ended</w:t>
              </w:r>
            </w:hyperlink>
          </w:p>
        </w:tc>
        <w:tc>
          <w:tcPr>
            <w:tcW w:w="240" w:type="dxa"/>
            <w:vAlign w:val="bottom"/>
            <w:gridSpan w:val="2"/>
          </w:tcPr>
          <w:p>
            <w:pPr>
              <w:spacing w:after="0"/>
              <w:rPr>
                <w:sz w:val="17"/>
                <w:szCs w:val="17"/>
                <w:color w:val="auto"/>
              </w:rPr>
            </w:pPr>
          </w:p>
        </w:tc>
      </w:tr>
      <w:tr>
        <w:trPr>
          <w:trHeight w:val="196"/>
        </w:trPr>
        <w:tc>
          <w:tcPr>
            <w:tcW w:w="4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160" w:type="dxa"/>
            <w:vAlign w:val="bottom"/>
            <w:gridSpan w:val="9"/>
          </w:tcPr>
          <w:p>
            <w:pPr>
              <w:spacing w:after="0" w:line="196" w:lineRule="exact"/>
              <w:rPr>
                <w:rFonts w:ascii="Arial" w:cs="Arial" w:eastAsia="Arial" w:hAnsi="Arial"/>
                <w:sz w:val="18"/>
                <w:szCs w:val="18"/>
                <w:color w:val="0000EE"/>
              </w:rPr>
            </w:pPr>
            <w:hyperlink w:anchor="page39">
              <w:r>
                <w:rPr>
                  <w:rFonts w:ascii="Arial" w:cs="Arial" w:eastAsia="Arial" w:hAnsi="Arial"/>
                  <w:sz w:val="18"/>
                  <w:szCs w:val="18"/>
                  <w:color w:val="0000EE"/>
                </w:rPr>
                <w:t>March 31, 2018, and the notes related thereto.</w:t>
              </w:r>
            </w:hyperlink>
          </w:p>
        </w:tc>
      </w:tr>
      <w:tr>
        <w:trPr>
          <w:trHeight w:val="20"/>
        </w:trPr>
        <w:tc>
          <w:tcPr>
            <w:tcW w:w="4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30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ectPr>
          <w:pgSz w:w="11900" w:h="16838" w:orient="portrait"/>
          <w:cols w:equalWidth="0" w:num="1">
            <w:col w:w="11160"/>
          </w:cols>
          <w:pgMar w:left="240" w:top="274" w:right="499" w:bottom="1440" w:gutter="0" w:footer="0" w:header="0"/>
        </w:sectPr>
      </w:pPr>
    </w:p>
    <w:bookmarkStart w:id="3" w:name="page4"/>
    <w:bookmarkEnd w:id="3"/>
    <w:p>
      <w:pPr>
        <w:jc w:val="center"/>
        <w:ind w:right="-67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SIGNATURES</w:t>
      </w:r>
    </w:p>
    <w:p>
      <w:pPr>
        <w:spacing w:after="0" w:line="229"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93" w:lineRule="exact"/>
        <w:rPr>
          <w:sz w:val="20"/>
          <w:szCs w:val="20"/>
          <w:color w:val="auto"/>
        </w:rPr>
      </w:pPr>
    </w:p>
    <w:p>
      <w:pPr>
        <w:ind w:left="5900"/>
        <w:spacing w:after="0"/>
        <w:rPr>
          <w:sz w:val="20"/>
          <w:szCs w:val="20"/>
          <w:color w:val="auto"/>
        </w:rPr>
      </w:pPr>
      <w:r>
        <w:rPr>
          <w:rFonts w:ascii="Arial" w:cs="Arial" w:eastAsia="Arial" w:hAnsi="Arial"/>
          <w:sz w:val="18"/>
          <w:szCs w:val="18"/>
          <w:b w:val="1"/>
          <w:bCs w:val="1"/>
          <w:color w:val="auto"/>
        </w:rPr>
        <w:t>NN, INC.</w:t>
      </w:r>
    </w:p>
    <w:p>
      <w:pPr>
        <w:spacing w:after="0" w:line="229" w:lineRule="exact"/>
        <w:rPr>
          <w:sz w:val="20"/>
          <w:szCs w:val="20"/>
          <w:color w:val="auto"/>
        </w:rPr>
      </w:pPr>
    </w:p>
    <w:p>
      <w:pPr>
        <w:spacing w:after="0"/>
        <w:tabs>
          <w:tab w:leader="none" w:pos="5880" w:val="left"/>
        </w:tabs>
        <w:rPr>
          <w:sz w:val="20"/>
          <w:szCs w:val="20"/>
          <w:color w:val="auto"/>
        </w:rPr>
      </w:pPr>
      <w:r>
        <w:rPr>
          <w:rFonts w:ascii="Arial" w:cs="Arial" w:eastAsia="Arial" w:hAnsi="Arial"/>
          <w:sz w:val="18"/>
          <w:szCs w:val="18"/>
          <w:color w:val="auto"/>
        </w:rPr>
        <w:t>Date: June 4, 2018</w:t>
      </w:r>
      <w:r>
        <w:rPr>
          <w:sz w:val="20"/>
          <w:szCs w:val="20"/>
          <w:color w:val="auto"/>
        </w:rPr>
        <w:tab/>
      </w:r>
      <w:r>
        <w:rPr>
          <w:rFonts w:ascii="Arial" w:cs="Arial" w:eastAsia="Arial" w:hAnsi="Arial"/>
          <w:sz w:val="17"/>
          <w:szCs w:val="17"/>
          <w:color w:val="auto"/>
        </w:rPr>
        <w:t>By:  /s/ Matthew S. Heiter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14605</wp:posOffset>
            </wp:positionV>
            <wp:extent cx="32588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16"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Matthew S. Heiter</w:t>
      </w:r>
    </w:p>
    <w:p>
      <w:pPr>
        <w:spacing w:after="0" w:line="23"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Senior Vice President, General Counsel</w:t>
      </w:r>
    </w:p>
    <w:p>
      <w:pPr>
        <w:sectPr>
          <w:pgSz w:w="11900" w:h="16838" w:orient="portrait"/>
          <w:cols w:equalWidth="0" w:num="1">
            <w:col w:w="10740"/>
          </w:cols>
          <w:pgMar w:left="240" w:top="270" w:right="919" w:bottom="1440" w:gutter="0" w:footer="0" w:header="0"/>
        </w:sectPr>
      </w:pPr>
    </w:p>
    <w:bookmarkStart w:id="4" w:name="page5"/>
    <w:bookmarkEnd w:id="4"/>
    <w:p>
      <w:pPr>
        <w:jc w:val="right"/>
        <w:spacing w:after="0"/>
        <w:rPr>
          <w:sz w:val="20"/>
          <w:szCs w:val="20"/>
          <w:color w:val="auto"/>
        </w:rPr>
      </w:pPr>
      <w:r>
        <w:rPr>
          <w:rFonts w:ascii="Arial" w:cs="Arial" w:eastAsia="Arial" w:hAnsi="Arial"/>
          <w:sz w:val="18"/>
          <w:szCs w:val="18"/>
          <w:b w:val="1"/>
          <w:bCs w:val="1"/>
          <w:color w:val="auto"/>
        </w:rPr>
        <w:t>Exhibit 23.1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Auditor</w:t>
      </w:r>
    </w:p>
    <w:p>
      <w:pPr>
        <w:spacing w:after="0" w:line="229"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We consent to the incorporation by reference in the Registration Statements (No. 333-216737) on Form S-3 and (Nos. 333-174519, 333-130395, 333-69588, 333-50934, and 333-216739) on Form S-8 of NN, Inc. of our report dated April 4, 2018 relating to the consolidated financial statements of PMG Intermediate Holding Corporation and Subsidiaries, appearing in this Current Report on Form 8-K/A.</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/s/ RSM US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Elkhart, Indiana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June 4, 2018</w:t>
      </w:r>
    </w:p>
    <w:p>
      <w:pPr>
        <w:sectPr>
          <w:pgSz w:w="11900" w:h="16838" w:orient="portrait"/>
          <w:cols w:equalWidth="0" w:num="1">
            <w:col w:w="11420"/>
          </w:cols>
          <w:pgMar w:left="240" w:top="121" w:right="239" w:bottom="1440" w:gutter="0" w:footer="0" w:header="0"/>
        </w:sectPr>
      </w:pPr>
    </w:p>
    <w:bookmarkStart w:id="5" w:name="page6"/>
    <w:bookmarkEnd w:id="5"/>
    <w:p>
      <w:pPr>
        <w:jc w:val="right"/>
        <w:spacing w:after="0"/>
        <w:rPr>
          <w:sz w:val="20"/>
          <w:szCs w:val="20"/>
          <w:color w:val="auto"/>
        </w:rPr>
      </w:pPr>
      <w:r>
        <w:rPr>
          <w:rFonts w:ascii="Arial" w:cs="Arial" w:eastAsia="Arial" w:hAnsi="Arial"/>
          <w:sz w:val="18"/>
          <w:szCs w:val="18"/>
          <w:b w:val="1"/>
          <w:bCs w:val="1"/>
          <w:color w:val="auto"/>
        </w:rPr>
        <w:t>Exhibit 99.1</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PMG Intermediate Holding Corporation</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And Subsidiaries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Consolidated Financial Report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12.31.2017</w:t>
      </w:r>
    </w:p>
    <w:p>
      <w:pPr>
        <w:sectPr>
          <w:pgSz w:w="11900" w:h="16838" w:orient="portrait"/>
          <w:cols w:equalWidth="0" w:num="1">
            <w:col w:w="10960"/>
          </w:cols>
          <w:pgMar w:left="700" w:top="121" w:right="23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234"/>
        </w:trPr>
        <w:tc>
          <w:tcPr>
            <w:tcW w:w="4480" w:type="dxa"/>
            <w:vAlign w:val="bottom"/>
          </w:tcPr>
          <w:p>
            <w:pPr>
              <w:spacing w:after="0"/>
              <w:rPr>
                <w:sz w:val="20"/>
                <w:szCs w:val="20"/>
                <w:color w:val="auto"/>
              </w:rPr>
            </w:pPr>
          </w:p>
        </w:tc>
        <w:tc>
          <w:tcPr>
            <w:tcW w:w="6880" w:type="dxa"/>
            <w:vAlign w:val="bottom"/>
          </w:tcPr>
          <w:p>
            <w:pPr>
              <w:jc w:val="right"/>
              <w:ind w:right="5210"/>
              <w:spacing w:after="0"/>
              <w:rPr>
                <w:sz w:val="20"/>
                <w:szCs w:val="20"/>
                <w:color w:val="auto"/>
              </w:rPr>
            </w:pPr>
            <w:r>
              <w:rPr>
                <w:rFonts w:ascii="Arial" w:cs="Arial" w:eastAsia="Arial" w:hAnsi="Arial"/>
                <w:sz w:val="18"/>
                <w:szCs w:val="18"/>
                <w:b w:val="1"/>
                <w:bCs w:val="1"/>
                <w:color w:val="auto"/>
              </w:rPr>
              <w:t>Contents</w:t>
            </w:r>
          </w:p>
        </w:tc>
      </w:tr>
      <w:tr>
        <w:trPr>
          <w:trHeight w:val="459"/>
        </w:trPr>
        <w:tc>
          <w:tcPr>
            <w:tcW w:w="4480" w:type="dxa"/>
            <w:vAlign w:val="bottom"/>
          </w:tcPr>
          <w:p>
            <w:pPr>
              <w:spacing w:after="0"/>
              <w:rPr>
                <w:sz w:val="20"/>
                <w:szCs w:val="20"/>
                <w:color w:val="auto"/>
              </w:rPr>
            </w:pPr>
            <w:r>
              <w:rPr>
                <w:rFonts w:ascii="Arial" w:cs="Arial" w:eastAsia="Arial" w:hAnsi="Arial"/>
                <w:sz w:val="18"/>
                <w:szCs w:val="18"/>
                <w:color w:val="auto"/>
              </w:rPr>
              <w:t>Independent auditor’s report</w:t>
            </w:r>
          </w:p>
        </w:tc>
        <w:tc>
          <w:tcPr>
            <w:tcW w:w="688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324"/>
        </w:trPr>
        <w:tc>
          <w:tcPr>
            <w:tcW w:w="4480" w:type="dxa"/>
            <w:vAlign w:val="bottom"/>
          </w:tcPr>
          <w:p>
            <w:pPr>
              <w:spacing w:after="0"/>
              <w:rPr>
                <w:sz w:val="20"/>
                <w:szCs w:val="20"/>
                <w:color w:val="auto"/>
              </w:rPr>
            </w:pPr>
            <w:r>
              <w:rPr>
                <w:rFonts w:ascii="Arial" w:cs="Arial" w:eastAsia="Arial" w:hAnsi="Arial"/>
                <w:sz w:val="18"/>
                <w:szCs w:val="18"/>
                <w:color w:val="auto"/>
              </w:rPr>
              <w:t>Financial statements</w:t>
            </w:r>
          </w:p>
        </w:tc>
        <w:tc>
          <w:tcPr>
            <w:tcW w:w="6880" w:type="dxa"/>
            <w:vAlign w:val="bottom"/>
          </w:tcPr>
          <w:p>
            <w:pPr>
              <w:spacing w:after="0"/>
              <w:rPr>
                <w:sz w:val="24"/>
                <w:szCs w:val="24"/>
                <w:color w:val="auto"/>
              </w:rPr>
            </w:pPr>
          </w:p>
        </w:tc>
      </w:tr>
      <w:tr>
        <w:trPr>
          <w:trHeight w:val="310"/>
        </w:trPr>
        <w:tc>
          <w:tcPr>
            <w:tcW w:w="4480" w:type="dxa"/>
            <w:vAlign w:val="bottom"/>
          </w:tcPr>
          <w:p>
            <w:pPr>
              <w:spacing w:after="0"/>
              <w:rPr>
                <w:sz w:val="20"/>
                <w:szCs w:val="20"/>
                <w:color w:val="auto"/>
              </w:rPr>
            </w:pPr>
            <w:r>
              <w:rPr>
                <w:rFonts w:ascii="Arial" w:cs="Arial" w:eastAsia="Arial" w:hAnsi="Arial"/>
                <w:sz w:val="18"/>
                <w:szCs w:val="18"/>
                <w:color w:val="auto"/>
              </w:rPr>
              <w:t>Consolidated balance sheet</w:t>
            </w:r>
          </w:p>
        </w:tc>
        <w:tc>
          <w:tcPr>
            <w:tcW w:w="688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16"/>
        </w:trPr>
        <w:tc>
          <w:tcPr>
            <w:tcW w:w="4480" w:type="dxa"/>
            <w:vAlign w:val="bottom"/>
          </w:tcPr>
          <w:p>
            <w:pPr>
              <w:spacing w:after="0"/>
              <w:rPr>
                <w:sz w:val="20"/>
                <w:szCs w:val="20"/>
                <w:color w:val="auto"/>
              </w:rPr>
            </w:pPr>
            <w:r>
              <w:rPr>
                <w:rFonts w:ascii="Arial" w:cs="Arial" w:eastAsia="Arial" w:hAnsi="Arial"/>
                <w:sz w:val="18"/>
                <w:szCs w:val="18"/>
                <w:color w:val="auto"/>
              </w:rPr>
              <w:t>Consolidated statement of income</w:t>
            </w:r>
          </w:p>
        </w:tc>
        <w:tc>
          <w:tcPr>
            <w:tcW w:w="688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16"/>
        </w:trPr>
        <w:tc>
          <w:tcPr>
            <w:tcW w:w="4480" w:type="dxa"/>
            <w:vAlign w:val="bottom"/>
          </w:tcPr>
          <w:p>
            <w:pPr>
              <w:spacing w:after="0"/>
              <w:rPr>
                <w:sz w:val="20"/>
                <w:szCs w:val="20"/>
                <w:color w:val="auto"/>
              </w:rPr>
            </w:pPr>
            <w:r>
              <w:rPr>
                <w:rFonts w:ascii="Arial" w:cs="Arial" w:eastAsia="Arial" w:hAnsi="Arial"/>
                <w:sz w:val="18"/>
                <w:szCs w:val="18"/>
                <w:color w:val="auto"/>
              </w:rPr>
              <w:t>Consolidated statement of comprehensive income</w:t>
            </w:r>
          </w:p>
        </w:tc>
        <w:tc>
          <w:tcPr>
            <w:tcW w:w="688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16"/>
        </w:trPr>
        <w:tc>
          <w:tcPr>
            <w:tcW w:w="4480" w:type="dxa"/>
            <w:vAlign w:val="bottom"/>
          </w:tcPr>
          <w:p>
            <w:pPr>
              <w:spacing w:after="0"/>
              <w:rPr>
                <w:sz w:val="20"/>
                <w:szCs w:val="20"/>
                <w:color w:val="auto"/>
              </w:rPr>
            </w:pPr>
            <w:r>
              <w:rPr>
                <w:rFonts w:ascii="Arial" w:cs="Arial" w:eastAsia="Arial" w:hAnsi="Arial"/>
                <w:sz w:val="18"/>
                <w:szCs w:val="18"/>
                <w:color w:val="auto"/>
              </w:rPr>
              <w:t>Consolidated statement of stockholder’s equity</w:t>
            </w:r>
          </w:p>
        </w:tc>
        <w:tc>
          <w:tcPr>
            <w:tcW w:w="688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16"/>
        </w:trPr>
        <w:tc>
          <w:tcPr>
            <w:tcW w:w="4480" w:type="dxa"/>
            <w:vAlign w:val="bottom"/>
          </w:tcPr>
          <w:p>
            <w:pPr>
              <w:spacing w:after="0"/>
              <w:rPr>
                <w:sz w:val="20"/>
                <w:szCs w:val="20"/>
                <w:color w:val="auto"/>
              </w:rPr>
            </w:pPr>
            <w:r>
              <w:rPr>
                <w:rFonts w:ascii="Arial" w:cs="Arial" w:eastAsia="Arial" w:hAnsi="Arial"/>
                <w:sz w:val="18"/>
                <w:szCs w:val="18"/>
                <w:color w:val="auto"/>
              </w:rPr>
              <w:t>Consolidated statement of cash flows</w:t>
            </w:r>
          </w:p>
        </w:tc>
        <w:tc>
          <w:tcPr>
            <w:tcW w:w="688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30"/>
        </w:trPr>
        <w:tc>
          <w:tcPr>
            <w:tcW w:w="4480" w:type="dxa"/>
            <w:vAlign w:val="bottom"/>
          </w:tcPr>
          <w:p>
            <w:pPr>
              <w:spacing w:after="0"/>
              <w:rPr>
                <w:sz w:val="20"/>
                <w:szCs w:val="20"/>
                <w:color w:val="auto"/>
              </w:rPr>
            </w:pPr>
            <w:r>
              <w:rPr>
                <w:rFonts w:ascii="Arial" w:cs="Arial" w:eastAsia="Arial" w:hAnsi="Arial"/>
                <w:sz w:val="18"/>
                <w:szCs w:val="18"/>
                <w:color w:val="auto"/>
              </w:rPr>
              <w:t>Notes to consolidated financial statements</w:t>
            </w:r>
          </w:p>
        </w:tc>
        <w:tc>
          <w:tcPr>
            <w:tcW w:w="6880" w:type="dxa"/>
            <w:vAlign w:val="bottom"/>
          </w:tcPr>
          <w:p>
            <w:pPr>
              <w:jc w:val="right"/>
              <w:spacing w:after="0"/>
              <w:rPr>
                <w:sz w:val="20"/>
                <w:szCs w:val="20"/>
                <w:color w:val="auto"/>
              </w:rPr>
            </w:pPr>
            <w:r>
              <w:rPr>
                <w:rFonts w:ascii="Arial" w:cs="Arial" w:eastAsia="Arial" w:hAnsi="Arial"/>
                <w:sz w:val="18"/>
                <w:szCs w:val="18"/>
                <w:color w:val="auto"/>
              </w:rPr>
              <w:t>8-19</w:t>
            </w:r>
          </w:p>
        </w:tc>
      </w:tr>
    </w:tbl>
    <w:p>
      <w:pPr>
        <w:jc w:val="right"/>
        <w:spacing w:after="0"/>
        <w:rPr>
          <w:sz w:val="20"/>
          <w:szCs w:val="20"/>
          <w:color w:val="auto"/>
        </w:rPr>
        <w:sectPr>
          <w:pgSz w:w="11900" w:h="16838" w:orient="portrait"/>
          <w:cols w:equalWidth="0" w:num="1">
            <w:col w:w="11360"/>
          </w:cols>
          <w:pgMar w:left="240" w:top="270" w:right="299" w:bottom="1440" w:gutter="0" w:footer="0" w:header="0"/>
        </w:sect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bookmarkStart w:id="7" w:name="page8"/>
    <w:bookmarkEnd w:id="7"/>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109791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1097915"/>
                    </a:xfrm>
                    <a:prstGeom prst="rect">
                      <a:avLst/>
                    </a:prstGeom>
                    <a:noFill/>
                  </pic:spPr>
                </pic:pic>
              </a:graphicData>
            </a:graphic>
          </wp:anchor>
        </w:drawing>
      </w:r>
    </w:p>
    <w:p>
      <w:pPr>
        <w:spacing w:after="0" w:line="200" w:lineRule="exact"/>
        <w:rPr>
          <w:sz w:val="20"/>
          <w:szCs w:val="20"/>
          <w:color w:val="auto"/>
        </w:rPr>
      </w:pPr>
    </w:p>
    <w:p>
      <w:pPr>
        <w:spacing w:after="0" w:line="22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Independent Auditor’s Report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To the Board of Directors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PMG Intermediate Holding Corporation and Subsidiaries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Pierceton, Indiana</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Report on the Financial Statements</w:t>
      </w:r>
    </w:p>
    <w:p>
      <w:pPr>
        <w:spacing w:after="0" w:line="121" w:lineRule="exact"/>
        <w:rPr>
          <w:sz w:val="20"/>
          <w:szCs w:val="20"/>
          <w:color w:val="auto"/>
        </w:rPr>
      </w:pPr>
    </w:p>
    <w:p>
      <w:pPr>
        <w:jc w:val="both"/>
        <w:ind w:right="180"/>
        <w:spacing w:after="0" w:line="286" w:lineRule="auto"/>
        <w:rPr>
          <w:sz w:val="20"/>
          <w:szCs w:val="20"/>
          <w:color w:val="auto"/>
        </w:rPr>
      </w:pPr>
      <w:r>
        <w:rPr>
          <w:rFonts w:ascii="Arial" w:cs="Arial" w:eastAsia="Arial" w:hAnsi="Arial"/>
          <w:sz w:val="17"/>
          <w:szCs w:val="17"/>
          <w:color w:val="auto"/>
        </w:rPr>
        <w:t>We have audited the accompanying consolidated financial statements of PMG Intermediate Holding Corporation and its Subsidiaries (the Company), which comprise the consolidated balance sheet as of December 31, 2017, and the related consolidated statements of income, comprehensive income, stockholder’s equity and cash flows for the year then ended and the related notes to the consolidated financial statements.</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Responsibility for the Financial Statements</w:t>
      </w:r>
    </w:p>
    <w:p>
      <w:pPr>
        <w:spacing w:after="0" w:line="121"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Management is responsible for the preparation and fair presentation of these financial statements in accordance with accounting principles generally accepted in the United States of America; this includes the design, implementation, and maintenance of internal control relevant to the preparation and fair presentation of financial statements that are free from material misstatement, whether due to fraud or error.</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Auditor’s Responsibility</w:t>
      </w:r>
    </w:p>
    <w:p>
      <w:pPr>
        <w:spacing w:after="0" w:line="12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Our responsibility is to express an opinion on these consolidated financial statements based on our audit. We conducted our audit in accordance with auditing standards generally accepted in the United States of America. Those standards require that we plan and perform the audit to obtain reasonable assurance about whether the consolidated financial statements are free from material misstatement.</w:t>
      </w:r>
    </w:p>
    <w:p>
      <w:pPr>
        <w:spacing w:after="0" w:line="181"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An audit involves performing procedures to obtain audit evidence about the amounts and disclosures in the financial statements. The procedures selected depend on the auditor’s judgment, including the assessment of the risks of material misstatement of the financial statements, whether due to fraud or error. In making those risk assessments, the auditor considers internal control relevant to the entity’s preparation and fair presentation of the consolidated financial statements in order to design audit procedures that are appropriate in the circumstances, but not for the purpose of expressing an opinion on the effectiveness of the entity’s internal control. Accordingly, we express no such opinion. An audit also includes evaluating the appropriateness of accounting policies used and the reasonableness of significant accounting estimates made by management, as well as evaluating the overall presentation of the consolidated financial statements.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We believe that the audit evidence we have obtained is sufficient and appropriate to provide a basis for our audit opinion.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169545</wp:posOffset>
            </wp:positionV>
            <wp:extent cx="6089015" cy="7372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089015" cy="7372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1440" w:right="23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Opinion</w:t>
      </w:r>
    </w:p>
    <w:p>
      <w:pPr>
        <w:spacing w:after="0" w:line="121"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In our opinion, the consolidated financial statements referred to above present fairly, in all material respects, the financial position of PMG Intermediate Holding Corporation and its Subsidiaries as of December 31, 2017, and the results of its operations and its cash flows for the year then ended in accordance with accounting principles generally accepted in the United States of America.</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Emphasis of Matter</w:t>
      </w:r>
    </w:p>
    <w:p>
      <w:pPr>
        <w:spacing w:after="0" w:line="121" w:lineRule="exact"/>
        <w:rPr>
          <w:sz w:val="20"/>
          <w:szCs w:val="20"/>
          <w:color w:val="auto"/>
        </w:rPr>
      </w:pPr>
    </w:p>
    <w:p>
      <w:pPr>
        <w:ind w:right="140"/>
        <w:spacing w:after="0" w:line="342" w:lineRule="auto"/>
        <w:rPr>
          <w:sz w:val="20"/>
          <w:szCs w:val="20"/>
          <w:color w:val="auto"/>
        </w:rPr>
      </w:pPr>
      <w:r>
        <w:rPr>
          <w:rFonts w:ascii="Arial" w:cs="Arial" w:eastAsia="Arial" w:hAnsi="Arial"/>
          <w:sz w:val="16"/>
          <w:szCs w:val="16"/>
          <w:color w:val="auto"/>
        </w:rPr>
        <w:t>As discussed in Note 2 to the consolidated financial statements, the December 31, 2017 consolidated financial statements have been restated to reflect the Company’s revocation of the adoption of the Private Company Council alternatives. Our opinion is not modified with respect to this matter.</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/s/ RSM US 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Elkhart, Indiana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April 4, 2018</w:t>
      </w:r>
    </w:p>
    <w:p>
      <w:pPr>
        <w:spacing w:after="0" w:line="14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220"/>
          </w:cols>
          <w:pgMar w:left="240" w:top="270" w:right="43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PMG Intermediate Holding Corporation and Subsidiaries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Balance Sheet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December 31, 2017</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10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20" w:type="dxa"/>
            <w:vAlign w:val="bottom"/>
            <w:gridSpan w:val="3"/>
          </w:tcPr>
          <w:p>
            <w:pPr>
              <w:jc w:val="right"/>
              <w:ind w:right="260"/>
              <w:spacing w:after="0"/>
              <w:rPr>
                <w:sz w:val="20"/>
                <w:szCs w:val="20"/>
                <w:color w:val="auto"/>
              </w:rPr>
            </w:pPr>
            <w:r>
              <w:rPr>
                <w:rFonts w:ascii="Arial" w:cs="Arial" w:eastAsia="Arial" w:hAnsi="Arial"/>
                <w:sz w:val="14"/>
                <w:szCs w:val="14"/>
                <w:color w:val="auto"/>
                <w:w w:val="96"/>
              </w:rPr>
              <w:t>As Restated</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030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Assets</w:t>
            </w:r>
          </w:p>
        </w:tc>
        <w:tc>
          <w:tcPr>
            <w:tcW w:w="8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300" w:type="dxa"/>
            <w:vAlign w:val="bottom"/>
          </w:tcPr>
          <w:p>
            <w:pPr>
              <w:spacing w:after="0"/>
              <w:rPr>
                <w:sz w:val="20"/>
                <w:szCs w:val="20"/>
                <w:color w:val="auto"/>
              </w:rPr>
            </w:pPr>
            <w:r>
              <w:rPr>
                <w:rFonts w:ascii="Arial" w:cs="Arial" w:eastAsia="Arial" w:hAnsi="Arial"/>
                <w:sz w:val="18"/>
                <w:szCs w:val="18"/>
                <w:color w:val="auto"/>
              </w:rPr>
              <w:t>Current assets:</w:t>
            </w: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3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Cash</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9"/>
              </w:rPr>
              <w:t>15,905,385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300" w:type="dxa"/>
            <w:vAlign w:val="bottom"/>
          </w:tcPr>
          <w:p>
            <w:pPr>
              <w:ind w:left="340"/>
              <w:spacing w:after="0"/>
              <w:rPr>
                <w:sz w:val="20"/>
                <w:szCs w:val="20"/>
                <w:color w:val="auto"/>
              </w:rPr>
            </w:pPr>
            <w:r>
              <w:rPr>
                <w:rFonts w:ascii="Arial" w:cs="Arial" w:eastAsia="Arial" w:hAnsi="Arial"/>
                <w:sz w:val="18"/>
                <w:szCs w:val="18"/>
                <w:color w:val="auto"/>
              </w:rPr>
              <w:t>Trade receivables</w:t>
            </w:r>
          </w:p>
        </w:tc>
        <w:tc>
          <w:tcPr>
            <w:tcW w:w="80" w:type="dxa"/>
            <w:vAlign w:val="bottom"/>
          </w:tcPr>
          <w:p>
            <w:pPr>
              <w:spacing w:after="0"/>
              <w:rPr>
                <w:sz w:val="18"/>
                <w:szCs w:val="18"/>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w w:val="99"/>
              </w:rPr>
              <w:t>19,510,151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3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Inventories</w:t>
            </w: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9"/>
              </w:rPr>
              <w:t>20,376,198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300" w:type="dxa"/>
            <w:vAlign w:val="bottom"/>
          </w:tcPr>
          <w:p>
            <w:pPr>
              <w:ind w:left="340"/>
              <w:spacing w:after="0"/>
              <w:rPr>
                <w:sz w:val="20"/>
                <w:szCs w:val="20"/>
                <w:color w:val="auto"/>
              </w:rPr>
            </w:pPr>
            <w:r>
              <w:rPr>
                <w:rFonts w:ascii="Arial" w:cs="Arial" w:eastAsia="Arial" w:hAnsi="Arial"/>
                <w:sz w:val="18"/>
                <w:szCs w:val="18"/>
                <w:color w:val="auto"/>
              </w:rPr>
              <w:t>Other current assets</w:t>
            </w:r>
          </w:p>
        </w:tc>
        <w:tc>
          <w:tcPr>
            <w:tcW w:w="80" w:type="dxa"/>
            <w:vAlign w:val="bottom"/>
          </w:tcPr>
          <w:p>
            <w:pPr>
              <w:spacing w:after="0"/>
              <w:rPr>
                <w:sz w:val="18"/>
                <w:szCs w:val="18"/>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1,517,794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3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Deferred income taxes</w:t>
            </w: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750,742</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0300" w:type="dxa"/>
            <w:vAlign w:val="bottom"/>
          </w:tcPr>
          <w:p>
            <w:pPr>
              <w:ind w:left="700"/>
              <w:spacing w:after="0"/>
              <w:rPr>
                <w:sz w:val="20"/>
                <w:szCs w:val="20"/>
                <w:color w:val="auto"/>
              </w:rPr>
            </w:pPr>
            <w:r>
              <w:rPr>
                <w:rFonts w:ascii="Arial" w:cs="Arial" w:eastAsia="Arial" w:hAnsi="Arial"/>
                <w:sz w:val="18"/>
                <w:szCs w:val="18"/>
                <w:b w:val="1"/>
                <w:bCs w:val="1"/>
                <w:color w:val="auto"/>
              </w:rPr>
              <w:t>Total current assets</w:t>
            </w:r>
          </w:p>
        </w:tc>
        <w:tc>
          <w:tcPr>
            <w:tcW w:w="8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58,060,270</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7"/>
        </w:trPr>
        <w:tc>
          <w:tcPr>
            <w:tcW w:w="20" w:type="dxa"/>
            <w:vAlign w:val="bottom"/>
            <w:vMerge w:val="restart"/>
          </w:tcPr>
          <w:p>
            <w:pPr>
              <w:spacing w:after="0"/>
              <w:rPr>
                <w:sz w:val="9"/>
                <w:szCs w:val="9"/>
                <w:color w:val="auto"/>
              </w:rPr>
            </w:pPr>
          </w:p>
        </w:tc>
        <w:tc>
          <w:tcPr>
            <w:tcW w:w="10300" w:type="dxa"/>
            <w:vAlign w:val="bottom"/>
          </w:tcPr>
          <w:p>
            <w:pPr>
              <w:spacing w:after="0"/>
              <w:rPr>
                <w:sz w:val="9"/>
                <w:szCs w:val="9"/>
                <w:color w:val="auto"/>
              </w:rPr>
            </w:pPr>
          </w:p>
        </w:tc>
        <w:tc>
          <w:tcPr>
            <w:tcW w:w="80" w:type="dxa"/>
            <w:vAlign w:val="bottom"/>
          </w:tcPr>
          <w:p>
            <w:pPr>
              <w:spacing w:after="0"/>
              <w:rPr>
                <w:sz w:val="9"/>
                <w:szCs w:val="9"/>
                <w:color w:val="auto"/>
              </w:rPr>
            </w:pPr>
          </w:p>
        </w:tc>
        <w:tc>
          <w:tcPr>
            <w:tcW w:w="92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300" w:type="dxa"/>
            <w:vAlign w:val="bottom"/>
            <w:shd w:val="clear" w:color="auto" w:fill="CCEEFF"/>
          </w:tcPr>
          <w:p>
            <w:pPr>
              <w:spacing w:after="0"/>
              <w:rPr>
                <w:sz w:val="20"/>
                <w:szCs w:val="20"/>
                <w:color w:val="auto"/>
              </w:rPr>
            </w:pPr>
            <w:r>
              <w:rPr>
                <w:rFonts w:ascii="Arial" w:cs="Arial" w:eastAsia="Arial" w:hAnsi="Arial"/>
                <w:sz w:val="18"/>
                <w:szCs w:val="18"/>
                <w:color w:val="auto"/>
              </w:rPr>
              <w:t>Property, equipment and leasehold improvements, net</w:t>
            </w: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9"/>
              </w:rPr>
              <w:t>32,893,254</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4"/>
        </w:trPr>
        <w:tc>
          <w:tcPr>
            <w:tcW w:w="10320" w:type="dxa"/>
            <w:vAlign w:val="bottom"/>
            <w:gridSpan w:val="2"/>
          </w:tcPr>
          <w:p>
            <w:pPr>
              <w:spacing w:after="0"/>
              <w:rPr>
                <w:sz w:val="20"/>
                <w:szCs w:val="20"/>
                <w:color w:val="auto"/>
              </w:rPr>
            </w:pPr>
            <w:r>
              <w:rPr>
                <w:rFonts w:ascii="Arial" w:cs="Arial" w:eastAsia="Arial" w:hAnsi="Arial"/>
                <w:sz w:val="18"/>
                <w:szCs w:val="18"/>
                <w:color w:val="auto"/>
              </w:rPr>
              <w:t>Goodwill</w:t>
            </w:r>
          </w:p>
        </w:tc>
        <w:tc>
          <w:tcPr>
            <w:tcW w:w="80" w:type="dxa"/>
            <w:vAlign w:val="bottom"/>
          </w:tcPr>
          <w:p>
            <w:pPr>
              <w:spacing w:after="0"/>
              <w:rPr>
                <w:sz w:val="24"/>
                <w:szCs w:val="24"/>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w w:val="99"/>
              </w:rPr>
              <w:t>49,946,257</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8"/>
        </w:trPr>
        <w:tc>
          <w:tcPr>
            <w:tcW w:w="20" w:type="dxa"/>
            <w:vAlign w:val="bottom"/>
            <w:vMerge w:val="restart"/>
          </w:tcPr>
          <w:p>
            <w:pPr>
              <w:spacing w:after="0"/>
              <w:rPr>
                <w:sz w:val="9"/>
                <w:szCs w:val="9"/>
                <w:color w:val="auto"/>
              </w:rPr>
            </w:pPr>
          </w:p>
        </w:tc>
        <w:tc>
          <w:tcPr>
            <w:tcW w:w="10300" w:type="dxa"/>
            <w:vAlign w:val="bottom"/>
          </w:tcPr>
          <w:p>
            <w:pPr>
              <w:spacing w:after="0"/>
              <w:rPr>
                <w:sz w:val="9"/>
                <w:szCs w:val="9"/>
                <w:color w:val="auto"/>
              </w:rPr>
            </w:pPr>
          </w:p>
        </w:tc>
        <w:tc>
          <w:tcPr>
            <w:tcW w:w="80" w:type="dxa"/>
            <w:vAlign w:val="bottom"/>
          </w:tcPr>
          <w:p>
            <w:pPr>
              <w:spacing w:after="0"/>
              <w:rPr>
                <w:sz w:val="9"/>
                <w:szCs w:val="9"/>
                <w:color w:val="auto"/>
              </w:rPr>
            </w:pPr>
          </w:p>
        </w:tc>
        <w:tc>
          <w:tcPr>
            <w:tcW w:w="92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300" w:type="dxa"/>
            <w:vAlign w:val="bottom"/>
            <w:shd w:val="clear" w:color="auto" w:fill="CCEEFF"/>
          </w:tcPr>
          <w:p>
            <w:pPr>
              <w:spacing w:after="0"/>
              <w:rPr>
                <w:sz w:val="20"/>
                <w:szCs w:val="20"/>
                <w:color w:val="auto"/>
              </w:rPr>
            </w:pPr>
            <w:r>
              <w:rPr>
                <w:rFonts w:ascii="Arial" w:cs="Arial" w:eastAsia="Arial" w:hAnsi="Arial"/>
                <w:sz w:val="18"/>
                <w:szCs w:val="18"/>
                <w:color w:val="auto"/>
              </w:rPr>
              <w:t>Other intangible assets</w:t>
            </w: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9"/>
              </w:rPr>
              <w:t>49,580,640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31"/>
        </w:trPr>
        <w:tc>
          <w:tcPr>
            <w:tcW w:w="10320" w:type="dxa"/>
            <w:vAlign w:val="bottom"/>
            <w:gridSpan w:val="2"/>
          </w:tcPr>
          <w:p>
            <w:pPr>
              <w:spacing w:after="0"/>
              <w:rPr>
                <w:sz w:val="20"/>
                <w:szCs w:val="20"/>
                <w:color w:val="auto"/>
              </w:rPr>
            </w:pPr>
            <w:r>
              <w:rPr>
                <w:rFonts w:ascii="Arial" w:cs="Arial" w:eastAsia="Arial" w:hAnsi="Arial"/>
                <w:sz w:val="18"/>
                <w:szCs w:val="18"/>
                <w:color w:val="auto"/>
              </w:rPr>
              <w:t>Other assets</w:t>
            </w:r>
          </w:p>
        </w:tc>
        <w:tc>
          <w:tcPr>
            <w:tcW w:w="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3,773,319</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30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9"/>
              </w:rPr>
              <w:t>194,253,740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032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0320" w:type="dxa"/>
            <w:vAlign w:val="bottom"/>
            <w:gridSpan w:val="2"/>
            <w:vMerge w:val="continue"/>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30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300" w:type="dxa"/>
            <w:vAlign w:val="bottom"/>
          </w:tcPr>
          <w:p>
            <w:pPr>
              <w:ind w:left="340"/>
              <w:spacing w:after="0"/>
              <w:rPr>
                <w:sz w:val="20"/>
                <w:szCs w:val="20"/>
                <w:color w:val="auto"/>
              </w:rPr>
            </w:pPr>
            <w:r>
              <w:rPr>
                <w:rFonts w:ascii="Arial" w:cs="Arial" w:eastAsia="Arial" w:hAnsi="Arial"/>
                <w:sz w:val="18"/>
                <w:szCs w:val="18"/>
                <w:color w:val="auto"/>
              </w:rPr>
              <w:t>Current maturities of long-term debt</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880,000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3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Accounts payable</w:t>
            </w: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9,361,937</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300" w:type="dxa"/>
            <w:vAlign w:val="bottom"/>
          </w:tcPr>
          <w:p>
            <w:pPr>
              <w:ind w:left="340"/>
              <w:spacing w:after="0"/>
              <w:rPr>
                <w:sz w:val="20"/>
                <w:szCs w:val="20"/>
                <w:color w:val="auto"/>
              </w:rPr>
            </w:pPr>
            <w:r>
              <w:rPr>
                <w:rFonts w:ascii="Arial" w:cs="Arial" w:eastAsia="Arial" w:hAnsi="Arial"/>
                <w:sz w:val="18"/>
                <w:szCs w:val="18"/>
                <w:color w:val="auto"/>
              </w:rPr>
              <w:t>Income taxes payable</w:t>
            </w:r>
          </w:p>
        </w:tc>
        <w:tc>
          <w:tcPr>
            <w:tcW w:w="80" w:type="dxa"/>
            <w:vAlign w:val="bottom"/>
          </w:tcPr>
          <w:p>
            <w:pPr>
              <w:spacing w:after="0"/>
              <w:rPr>
                <w:sz w:val="18"/>
                <w:szCs w:val="18"/>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179,063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3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Accrued expenses</w:t>
            </w: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9"/>
              </w:rPr>
              <w:t>12,165,129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0300" w:type="dxa"/>
            <w:vAlign w:val="bottom"/>
          </w:tcPr>
          <w:p>
            <w:pPr>
              <w:ind w:left="700"/>
              <w:spacing w:after="0"/>
              <w:rPr>
                <w:sz w:val="20"/>
                <w:szCs w:val="20"/>
                <w:color w:val="auto"/>
              </w:rPr>
            </w:pPr>
            <w:r>
              <w:rPr>
                <w:rFonts w:ascii="Arial" w:cs="Arial" w:eastAsia="Arial" w:hAnsi="Arial"/>
                <w:sz w:val="18"/>
                <w:szCs w:val="18"/>
                <w:b w:val="1"/>
                <w:bCs w:val="1"/>
                <w:color w:val="auto"/>
              </w:rPr>
              <w:t>Total current liabilities</w:t>
            </w:r>
          </w:p>
        </w:tc>
        <w:tc>
          <w:tcPr>
            <w:tcW w:w="8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22,586,129</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7"/>
        </w:trPr>
        <w:tc>
          <w:tcPr>
            <w:tcW w:w="20" w:type="dxa"/>
            <w:vAlign w:val="bottom"/>
            <w:vMerge w:val="restart"/>
          </w:tcPr>
          <w:p>
            <w:pPr>
              <w:spacing w:after="0"/>
              <w:rPr>
                <w:sz w:val="9"/>
                <w:szCs w:val="9"/>
                <w:color w:val="auto"/>
              </w:rPr>
            </w:pPr>
          </w:p>
        </w:tc>
        <w:tc>
          <w:tcPr>
            <w:tcW w:w="10300" w:type="dxa"/>
            <w:vAlign w:val="bottom"/>
          </w:tcPr>
          <w:p>
            <w:pPr>
              <w:spacing w:after="0"/>
              <w:rPr>
                <w:sz w:val="9"/>
                <w:szCs w:val="9"/>
                <w:color w:val="auto"/>
              </w:rPr>
            </w:pPr>
          </w:p>
        </w:tc>
        <w:tc>
          <w:tcPr>
            <w:tcW w:w="80" w:type="dxa"/>
            <w:vAlign w:val="bottom"/>
          </w:tcPr>
          <w:p>
            <w:pPr>
              <w:spacing w:after="0"/>
              <w:rPr>
                <w:sz w:val="9"/>
                <w:szCs w:val="9"/>
                <w:color w:val="auto"/>
              </w:rPr>
            </w:pPr>
          </w:p>
        </w:tc>
        <w:tc>
          <w:tcPr>
            <w:tcW w:w="92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300" w:type="dxa"/>
            <w:vAlign w:val="bottom"/>
            <w:shd w:val="clear" w:color="auto" w:fill="CCEEFF"/>
          </w:tcPr>
          <w:p>
            <w:pPr>
              <w:spacing w:after="0"/>
              <w:rPr>
                <w:sz w:val="20"/>
                <w:szCs w:val="20"/>
                <w:color w:val="auto"/>
              </w:rPr>
            </w:pPr>
            <w:r>
              <w:rPr>
                <w:rFonts w:ascii="Arial" w:cs="Arial" w:eastAsia="Arial" w:hAnsi="Arial"/>
                <w:sz w:val="18"/>
                <w:szCs w:val="18"/>
                <w:color w:val="auto"/>
              </w:rPr>
              <w:t>Long-term debt, less current maturities</w:t>
            </w: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9"/>
              </w:rPr>
              <w:t>83,012,361</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4"/>
        </w:trPr>
        <w:tc>
          <w:tcPr>
            <w:tcW w:w="10320" w:type="dxa"/>
            <w:vAlign w:val="bottom"/>
            <w:gridSpan w:val="2"/>
          </w:tcPr>
          <w:p>
            <w:pPr>
              <w:spacing w:after="0"/>
              <w:rPr>
                <w:sz w:val="20"/>
                <w:szCs w:val="20"/>
                <w:color w:val="auto"/>
              </w:rPr>
            </w:pPr>
            <w:r>
              <w:rPr>
                <w:rFonts w:ascii="Arial" w:cs="Arial" w:eastAsia="Arial" w:hAnsi="Arial"/>
                <w:sz w:val="18"/>
                <w:szCs w:val="18"/>
                <w:color w:val="auto"/>
              </w:rPr>
              <w:t>Deferred income taxes</w:t>
            </w:r>
          </w:p>
        </w:tc>
        <w:tc>
          <w:tcPr>
            <w:tcW w:w="80" w:type="dxa"/>
            <w:vAlign w:val="bottom"/>
          </w:tcPr>
          <w:p>
            <w:pPr>
              <w:spacing w:after="0"/>
              <w:rPr>
                <w:sz w:val="24"/>
                <w:szCs w:val="24"/>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9,274,417</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8"/>
        </w:trPr>
        <w:tc>
          <w:tcPr>
            <w:tcW w:w="20" w:type="dxa"/>
            <w:vAlign w:val="bottom"/>
            <w:vMerge w:val="restart"/>
          </w:tcPr>
          <w:p>
            <w:pPr>
              <w:spacing w:after="0"/>
              <w:rPr>
                <w:sz w:val="9"/>
                <w:szCs w:val="9"/>
                <w:color w:val="auto"/>
              </w:rPr>
            </w:pPr>
          </w:p>
        </w:tc>
        <w:tc>
          <w:tcPr>
            <w:tcW w:w="10300" w:type="dxa"/>
            <w:vAlign w:val="bottom"/>
          </w:tcPr>
          <w:p>
            <w:pPr>
              <w:spacing w:after="0"/>
              <w:rPr>
                <w:sz w:val="9"/>
                <w:szCs w:val="9"/>
                <w:color w:val="auto"/>
              </w:rPr>
            </w:pPr>
          </w:p>
        </w:tc>
        <w:tc>
          <w:tcPr>
            <w:tcW w:w="80" w:type="dxa"/>
            <w:vAlign w:val="bottom"/>
          </w:tcPr>
          <w:p>
            <w:pPr>
              <w:spacing w:after="0"/>
              <w:rPr>
                <w:sz w:val="9"/>
                <w:szCs w:val="9"/>
                <w:color w:val="auto"/>
              </w:rPr>
            </w:pPr>
          </w:p>
        </w:tc>
        <w:tc>
          <w:tcPr>
            <w:tcW w:w="92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300" w:type="dxa"/>
            <w:vAlign w:val="bottom"/>
            <w:shd w:val="clear" w:color="auto" w:fill="CCEEFF"/>
          </w:tcPr>
          <w:p>
            <w:pPr>
              <w:spacing w:after="0"/>
              <w:rPr>
                <w:sz w:val="20"/>
                <w:szCs w:val="20"/>
                <w:color w:val="auto"/>
              </w:rPr>
            </w:pPr>
            <w:r>
              <w:rPr>
                <w:rFonts w:ascii="Arial" w:cs="Arial" w:eastAsia="Arial" w:hAnsi="Arial"/>
                <w:sz w:val="18"/>
                <w:szCs w:val="18"/>
                <w:color w:val="auto"/>
              </w:rPr>
              <w:t>Commitments and contingencies</w:t>
            </w: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4"/>
        </w:trPr>
        <w:tc>
          <w:tcPr>
            <w:tcW w:w="10320" w:type="dxa"/>
            <w:vAlign w:val="bottom"/>
            <w:gridSpan w:val="2"/>
          </w:tcPr>
          <w:p>
            <w:pPr>
              <w:spacing w:after="0"/>
              <w:rPr>
                <w:sz w:val="20"/>
                <w:szCs w:val="20"/>
                <w:color w:val="auto"/>
              </w:rPr>
            </w:pPr>
            <w:r>
              <w:rPr>
                <w:rFonts w:ascii="Arial" w:cs="Arial" w:eastAsia="Arial" w:hAnsi="Arial"/>
                <w:sz w:val="18"/>
                <w:szCs w:val="18"/>
                <w:color w:val="auto"/>
              </w:rPr>
              <w:t>Stockholder’s equity:</w:t>
            </w:r>
          </w:p>
        </w:tc>
        <w:tc>
          <w:tcPr>
            <w:tcW w:w="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3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Common stock, par value $0.01, 100 shares issued and outstanding</w:t>
            </w: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300" w:type="dxa"/>
            <w:vAlign w:val="bottom"/>
          </w:tcPr>
          <w:p>
            <w:pPr>
              <w:ind w:left="340"/>
              <w:spacing w:after="0"/>
              <w:rPr>
                <w:sz w:val="20"/>
                <w:szCs w:val="20"/>
                <w:color w:val="auto"/>
              </w:rPr>
            </w:pPr>
            <w:r>
              <w:rPr>
                <w:rFonts w:ascii="Arial" w:cs="Arial" w:eastAsia="Arial" w:hAnsi="Arial"/>
                <w:sz w:val="18"/>
                <w:szCs w:val="18"/>
                <w:color w:val="auto"/>
              </w:rPr>
              <w:t>Additional paid-in capital</w:t>
            </w:r>
          </w:p>
        </w:tc>
        <w:tc>
          <w:tcPr>
            <w:tcW w:w="80" w:type="dxa"/>
            <w:vAlign w:val="bottom"/>
          </w:tcPr>
          <w:p>
            <w:pPr>
              <w:spacing w:after="0"/>
              <w:rPr>
                <w:sz w:val="18"/>
                <w:szCs w:val="18"/>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w w:val="99"/>
              </w:rPr>
              <w:t>82,601,650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3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Accumulated deficit</w:t>
            </w:r>
          </w:p>
        </w:tc>
        <w:tc>
          <w:tcPr>
            <w:tcW w:w="8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(3,438,740)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0300" w:type="dxa"/>
            <w:vAlign w:val="bottom"/>
          </w:tcPr>
          <w:p>
            <w:pPr>
              <w:ind w:left="340"/>
              <w:spacing w:after="0"/>
              <w:rPr>
                <w:sz w:val="20"/>
                <w:szCs w:val="20"/>
                <w:color w:val="auto"/>
              </w:rPr>
            </w:pPr>
            <w:r>
              <w:rPr>
                <w:rFonts w:ascii="Arial" w:cs="Arial" w:eastAsia="Arial" w:hAnsi="Arial"/>
                <w:sz w:val="18"/>
                <w:szCs w:val="18"/>
                <w:color w:val="auto"/>
              </w:rPr>
              <w:t>Accumulated other comprehensive income</w:t>
            </w:r>
          </w:p>
        </w:tc>
        <w:tc>
          <w:tcPr>
            <w:tcW w:w="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217,922</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9"/>
              </w:rPr>
              <w:t>79,380,833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030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194,253,740</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3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See notes to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270" w:right="239" w:bottom="144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PMG Intermediate Holding Corporation and Subsidiaries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Statement of Income</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Year Ended December 31, 2017</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10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20" w:type="dxa"/>
            <w:vAlign w:val="bottom"/>
            <w:gridSpan w:val="2"/>
          </w:tcPr>
          <w:p>
            <w:pPr>
              <w:jc w:val="right"/>
              <w:ind w:right="260"/>
              <w:spacing w:after="0"/>
              <w:rPr>
                <w:sz w:val="20"/>
                <w:szCs w:val="20"/>
                <w:color w:val="auto"/>
              </w:rPr>
            </w:pPr>
            <w:r>
              <w:rPr>
                <w:rFonts w:ascii="Arial" w:cs="Arial" w:eastAsia="Arial" w:hAnsi="Arial"/>
                <w:sz w:val="14"/>
                <w:szCs w:val="14"/>
                <w:color w:val="auto"/>
                <w:w w:val="96"/>
              </w:rPr>
              <w:t>As Restated</w:t>
            </w:r>
          </w:p>
        </w:tc>
      </w:tr>
      <w:tr>
        <w:trPr>
          <w:trHeight w:val="210"/>
        </w:trPr>
        <w:tc>
          <w:tcPr>
            <w:tcW w:w="103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sales</w:t>
            </w: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140,979,278</w:t>
            </w:r>
          </w:p>
        </w:tc>
        <w:tc>
          <w:tcPr>
            <w:tcW w:w="100" w:type="dxa"/>
            <w:vAlign w:val="bottom"/>
            <w:tcBorders>
              <w:top w:val="single" w:sz="8" w:color="CCEEFF"/>
            </w:tcBorders>
            <w:shd w:val="clear" w:color="auto" w:fill="CCEEFF"/>
          </w:tcPr>
          <w:p>
            <w:pPr>
              <w:spacing w:after="0"/>
              <w:rPr>
                <w:sz w:val="18"/>
                <w:szCs w:val="18"/>
                <w:color w:val="auto"/>
              </w:rPr>
            </w:pPr>
          </w:p>
        </w:tc>
      </w:tr>
      <w:tr>
        <w:trPr>
          <w:trHeight w:val="223"/>
        </w:trPr>
        <w:tc>
          <w:tcPr>
            <w:tcW w:w="10320" w:type="dxa"/>
            <w:vAlign w:val="bottom"/>
          </w:tcPr>
          <w:p>
            <w:pPr>
              <w:spacing w:after="0"/>
              <w:rPr>
                <w:sz w:val="20"/>
                <w:szCs w:val="20"/>
                <w:color w:val="auto"/>
              </w:rPr>
            </w:pPr>
            <w:r>
              <w:rPr>
                <w:rFonts w:ascii="Arial" w:cs="Arial" w:eastAsia="Arial" w:hAnsi="Arial"/>
                <w:sz w:val="18"/>
                <w:szCs w:val="18"/>
                <w:color w:val="auto"/>
              </w:rPr>
              <w:t>Cost of sales</w:t>
            </w:r>
          </w:p>
        </w:tc>
        <w:tc>
          <w:tcPr>
            <w:tcW w:w="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107,818,700</w:t>
            </w:r>
          </w:p>
        </w:tc>
        <w:tc>
          <w:tcPr>
            <w:tcW w:w="100" w:type="dxa"/>
            <w:vAlign w:val="bottom"/>
          </w:tcPr>
          <w:p>
            <w:pPr>
              <w:spacing w:after="0"/>
              <w:rPr>
                <w:sz w:val="19"/>
                <w:szCs w:val="19"/>
                <w:color w:val="auto"/>
              </w:rPr>
            </w:pPr>
          </w:p>
        </w:tc>
      </w:tr>
      <w:tr>
        <w:trPr>
          <w:trHeight w:val="216"/>
        </w:trPr>
        <w:tc>
          <w:tcPr>
            <w:tcW w:w="10320" w:type="dxa"/>
            <w:vAlign w:val="bottom"/>
            <w:shd w:val="clear" w:color="auto" w:fill="CCEEFF"/>
          </w:tcPr>
          <w:p>
            <w:pPr>
              <w:ind w:left="720"/>
              <w:spacing w:after="0"/>
              <w:rPr>
                <w:sz w:val="20"/>
                <w:szCs w:val="20"/>
                <w:color w:val="auto"/>
              </w:rPr>
            </w:pPr>
            <w:r>
              <w:rPr>
                <w:rFonts w:ascii="Arial" w:cs="Arial" w:eastAsia="Arial" w:hAnsi="Arial"/>
                <w:sz w:val="18"/>
                <w:szCs w:val="18"/>
                <w:b w:val="1"/>
                <w:bCs w:val="1"/>
                <w:color w:val="auto"/>
              </w:rPr>
              <w:t>Gross profit</w:t>
            </w: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33,160,578</w:t>
            </w:r>
          </w:p>
        </w:tc>
      </w:tr>
      <w:tr>
        <w:trPr>
          <w:trHeight w:val="324"/>
        </w:trPr>
        <w:tc>
          <w:tcPr>
            <w:tcW w:w="10320" w:type="dxa"/>
            <w:vAlign w:val="bottom"/>
          </w:tcPr>
          <w:p>
            <w:pPr>
              <w:spacing w:after="0"/>
              <w:rPr>
                <w:sz w:val="20"/>
                <w:szCs w:val="20"/>
                <w:color w:val="auto"/>
              </w:rPr>
            </w:pPr>
            <w:r>
              <w:rPr>
                <w:rFonts w:ascii="Arial" w:cs="Arial" w:eastAsia="Arial" w:hAnsi="Arial"/>
                <w:sz w:val="18"/>
                <w:szCs w:val="18"/>
                <w:color w:val="auto"/>
              </w:rPr>
              <w:t>Operating expenses:</w:t>
            </w:r>
          </w:p>
        </w:tc>
        <w:tc>
          <w:tcPr>
            <w:tcW w:w="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103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Selling expenses</w:t>
            </w: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2,224,460</w:t>
            </w:r>
          </w:p>
        </w:tc>
      </w:tr>
      <w:tr>
        <w:trPr>
          <w:trHeight w:val="216"/>
        </w:trPr>
        <w:tc>
          <w:tcPr>
            <w:tcW w:w="10320" w:type="dxa"/>
            <w:vAlign w:val="bottom"/>
          </w:tcPr>
          <w:p>
            <w:pPr>
              <w:ind w:left="360"/>
              <w:spacing w:after="0"/>
              <w:rPr>
                <w:sz w:val="20"/>
                <w:szCs w:val="20"/>
                <w:color w:val="auto"/>
              </w:rPr>
            </w:pPr>
            <w:r>
              <w:rPr>
                <w:rFonts w:ascii="Arial" w:cs="Arial" w:eastAsia="Arial" w:hAnsi="Arial"/>
                <w:sz w:val="18"/>
                <w:szCs w:val="18"/>
                <w:color w:val="auto"/>
              </w:rPr>
              <w:t>General and administrative expenses</w:t>
            </w:r>
          </w:p>
        </w:tc>
        <w:tc>
          <w:tcPr>
            <w:tcW w:w="8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19,702,307</w:t>
            </w:r>
          </w:p>
        </w:tc>
      </w:tr>
      <w:tr>
        <w:trPr>
          <w:trHeight w:val="216"/>
        </w:trPr>
        <w:tc>
          <w:tcPr>
            <w:tcW w:w="103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Amortization of intangible assets</w:t>
            </w: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4,864,336</w:t>
            </w:r>
          </w:p>
        </w:tc>
      </w:tr>
      <w:tr>
        <w:trPr>
          <w:trHeight w:val="230"/>
        </w:trPr>
        <w:tc>
          <w:tcPr>
            <w:tcW w:w="1032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26,791,103</w:t>
            </w:r>
          </w:p>
        </w:tc>
        <w:tc>
          <w:tcPr>
            <w:tcW w:w="100" w:type="dxa"/>
            <w:vAlign w:val="bottom"/>
          </w:tcPr>
          <w:p>
            <w:pPr>
              <w:spacing w:after="0"/>
              <w:rPr>
                <w:sz w:val="20"/>
                <w:szCs w:val="20"/>
                <w:color w:val="auto"/>
              </w:rPr>
            </w:pPr>
          </w:p>
        </w:tc>
      </w:tr>
      <w:tr>
        <w:trPr>
          <w:trHeight w:val="216"/>
        </w:trPr>
        <w:tc>
          <w:tcPr>
            <w:tcW w:w="10320" w:type="dxa"/>
            <w:vAlign w:val="bottom"/>
            <w:shd w:val="clear" w:color="auto" w:fill="CCEEFF"/>
          </w:tcPr>
          <w:p>
            <w:pPr>
              <w:ind w:left="720"/>
              <w:spacing w:after="0"/>
              <w:rPr>
                <w:sz w:val="20"/>
                <w:szCs w:val="20"/>
                <w:color w:val="auto"/>
              </w:rPr>
            </w:pPr>
            <w:r>
              <w:rPr>
                <w:rFonts w:ascii="Arial" w:cs="Arial" w:eastAsia="Arial" w:hAnsi="Arial"/>
                <w:sz w:val="18"/>
                <w:szCs w:val="18"/>
                <w:b w:val="1"/>
                <w:bCs w:val="1"/>
                <w:color w:val="auto"/>
              </w:rPr>
              <w:t>Operating income</w:t>
            </w: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6,369,475</w:t>
            </w:r>
          </w:p>
        </w:tc>
      </w:tr>
      <w:tr>
        <w:trPr>
          <w:trHeight w:val="324"/>
        </w:trPr>
        <w:tc>
          <w:tcPr>
            <w:tcW w:w="10320" w:type="dxa"/>
            <w:vAlign w:val="bottom"/>
          </w:tcPr>
          <w:p>
            <w:pPr>
              <w:spacing w:after="0"/>
              <w:rPr>
                <w:sz w:val="20"/>
                <w:szCs w:val="20"/>
                <w:color w:val="auto"/>
              </w:rPr>
            </w:pPr>
            <w:r>
              <w:rPr>
                <w:rFonts w:ascii="Arial" w:cs="Arial" w:eastAsia="Arial" w:hAnsi="Arial"/>
                <w:sz w:val="18"/>
                <w:szCs w:val="18"/>
                <w:color w:val="auto"/>
              </w:rPr>
              <w:t>Nonoperating income (expense):</w:t>
            </w:r>
          </w:p>
        </w:tc>
        <w:tc>
          <w:tcPr>
            <w:tcW w:w="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103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Interest income</w:t>
            </w: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68,981</w:t>
            </w:r>
          </w:p>
        </w:tc>
      </w:tr>
      <w:tr>
        <w:trPr>
          <w:trHeight w:val="216"/>
        </w:trPr>
        <w:tc>
          <w:tcPr>
            <w:tcW w:w="10320" w:type="dxa"/>
            <w:vAlign w:val="bottom"/>
          </w:tcPr>
          <w:p>
            <w:pPr>
              <w:ind w:left="360"/>
              <w:spacing w:after="0"/>
              <w:rPr>
                <w:sz w:val="20"/>
                <w:szCs w:val="20"/>
                <w:color w:val="auto"/>
              </w:rPr>
            </w:pPr>
            <w:r>
              <w:rPr>
                <w:rFonts w:ascii="Arial" w:cs="Arial" w:eastAsia="Arial" w:hAnsi="Arial"/>
                <w:sz w:val="18"/>
                <w:szCs w:val="18"/>
                <w:color w:val="auto"/>
              </w:rPr>
              <w:t>Interest expense</w:t>
            </w:r>
          </w:p>
        </w:tc>
        <w:tc>
          <w:tcPr>
            <w:tcW w:w="8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(7,971,558)</w:t>
            </w:r>
          </w:p>
        </w:tc>
      </w:tr>
      <w:tr>
        <w:trPr>
          <w:trHeight w:val="216"/>
        </w:trPr>
        <w:tc>
          <w:tcPr>
            <w:tcW w:w="103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 income</w:t>
            </w: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1,548,258</w:t>
            </w:r>
          </w:p>
        </w:tc>
      </w:tr>
      <w:tr>
        <w:trPr>
          <w:trHeight w:val="230"/>
        </w:trPr>
        <w:tc>
          <w:tcPr>
            <w:tcW w:w="1032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(6,354,319)</w:t>
            </w:r>
          </w:p>
        </w:tc>
        <w:tc>
          <w:tcPr>
            <w:tcW w:w="100" w:type="dxa"/>
            <w:vAlign w:val="bottom"/>
          </w:tcPr>
          <w:p>
            <w:pPr>
              <w:spacing w:after="0"/>
              <w:rPr>
                <w:sz w:val="20"/>
                <w:szCs w:val="20"/>
                <w:color w:val="auto"/>
              </w:rPr>
            </w:pPr>
          </w:p>
        </w:tc>
      </w:tr>
      <w:tr>
        <w:trPr>
          <w:trHeight w:val="216"/>
        </w:trPr>
        <w:tc>
          <w:tcPr>
            <w:tcW w:w="10320" w:type="dxa"/>
            <w:vAlign w:val="bottom"/>
            <w:shd w:val="clear" w:color="auto" w:fill="CCEEFF"/>
          </w:tcPr>
          <w:p>
            <w:pPr>
              <w:ind w:left="720"/>
              <w:spacing w:after="0"/>
              <w:rPr>
                <w:sz w:val="20"/>
                <w:szCs w:val="20"/>
                <w:color w:val="auto"/>
              </w:rPr>
            </w:pPr>
            <w:r>
              <w:rPr>
                <w:rFonts w:ascii="Arial" w:cs="Arial" w:eastAsia="Arial" w:hAnsi="Arial"/>
                <w:sz w:val="18"/>
                <w:szCs w:val="18"/>
                <w:b w:val="1"/>
                <w:bCs w:val="1"/>
                <w:color w:val="auto"/>
              </w:rPr>
              <w:t>Income before income taxes</w:t>
            </w: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15,156</w:t>
            </w:r>
          </w:p>
        </w:tc>
      </w:tr>
      <w:tr>
        <w:trPr>
          <w:trHeight w:val="331"/>
        </w:trPr>
        <w:tc>
          <w:tcPr>
            <w:tcW w:w="10320" w:type="dxa"/>
            <w:vAlign w:val="bottom"/>
          </w:tcPr>
          <w:p>
            <w:pPr>
              <w:spacing w:after="0"/>
              <w:rPr>
                <w:sz w:val="20"/>
                <w:szCs w:val="20"/>
                <w:color w:val="auto"/>
              </w:rPr>
            </w:pPr>
            <w:r>
              <w:rPr>
                <w:rFonts w:ascii="Arial" w:cs="Arial" w:eastAsia="Arial" w:hAnsi="Arial"/>
                <w:sz w:val="18"/>
                <w:szCs w:val="18"/>
                <w:color w:val="auto"/>
              </w:rPr>
              <w:t>Income tax (credits)</w:t>
            </w:r>
          </w:p>
        </w:tc>
        <w:tc>
          <w:tcPr>
            <w:tcW w:w="80" w:type="dxa"/>
            <w:vAlign w:val="bottom"/>
          </w:tcPr>
          <w:p>
            <w:pPr>
              <w:spacing w:after="0"/>
              <w:rPr>
                <w:sz w:val="24"/>
                <w:szCs w:val="24"/>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(7,279,969)</w:t>
            </w:r>
          </w:p>
        </w:tc>
      </w:tr>
      <w:tr>
        <w:trPr>
          <w:trHeight w:val="216"/>
        </w:trPr>
        <w:tc>
          <w:tcPr>
            <w:tcW w:w="10320" w:type="dxa"/>
            <w:vAlign w:val="bottom"/>
            <w:shd w:val="clear" w:color="auto" w:fill="CCEEFF"/>
          </w:tcPr>
          <w:p>
            <w:pPr>
              <w:ind w:left="720"/>
              <w:spacing w:after="0"/>
              <w:rPr>
                <w:sz w:val="20"/>
                <w:szCs w:val="20"/>
                <w:color w:val="auto"/>
              </w:rPr>
            </w:pPr>
            <w:r>
              <w:rPr>
                <w:rFonts w:ascii="Arial" w:cs="Arial" w:eastAsia="Arial" w:hAnsi="Arial"/>
                <w:sz w:val="18"/>
                <w:szCs w:val="18"/>
                <w:b w:val="1"/>
                <w:bCs w:val="1"/>
                <w:color w:val="auto"/>
              </w:rPr>
              <w:t>Net income</w:t>
            </w: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7,295,125</w:t>
            </w:r>
          </w:p>
        </w:tc>
        <w:tc>
          <w:tcPr>
            <w:tcW w:w="100" w:type="dxa"/>
            <w:vAlign w:val="bottom"/>
            <w:shd w:val="clear" w:color="auto" w:fill="CCEEFF"/>
          </w:tcPr>
          <w:p>
            <w:pPr>
              <w:spacing w:after="0"/>
              <w:rPr>
                <w:sz w:val="18"/>
                <w:szCs w:val="18"/>
                <w:color w:val="auto"/>
              </w:rPr>
            </w:pPr>
          </w:p>
        </w:tc>
      </w:tr>
      <w:tr>
        <w:trPr>
          <w:trHeight w:val="20"/>
        </w:trPr>
        <w:tc>
          <w:tcPr>
            <w:tcW w:w="103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See notes to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270" w:right="239" w:bottom="1440" w:gutter="0" w:footer="0" w:header="0"/>
        </w:sectPr>
      </w:pPr>
    </w:p>
    <w:bookmarkStart w:id="11" w:name="page12"/>
    <w:bookmarkEnd w:id="11"/>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PMG Intermediate Holding Corporation and Subsidiaries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Statement Of Comprehensive Income</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Year Ended December 31, 2017</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10540" w:type="dxa"/>
            <w:vAlign w:val="bottom"/>
          </w:tcPr>
          <w:p>
            <w:pPr>
              <w:spacing w:after="0"/>
              <w:rPr>
                <w:sz w:val="14"/>
                <w:szCs w:val="14"/>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4"/>
                <w:szCs w:val="14"/>
                <w:color w:val="auto"/>
                <w:w w:val="96"/>
              </w:rPr>
              <w:t>As Restated</w:t>
            </w:r>
          </w:p>
        </w:tc>
      </w:tr>
      <w:tr>
        <w:trPr>
          <w:trHeight w:val="210"/>
        </w:trPr>
        <w:tc>
          <w:tcPr>
            <w:tcW w:w="105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income</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$7,295,125</w:t>
            </w: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10540" w:type="dxa"/>
            <w:vAlign w:val="bottom"/>
          </w:tcPr>
          <w:p>
            <w:pPr>
              <w:spacing w:after="0"/>
              <w:rPr>
                <w:sz w:val="20"/>
                <w:szCs w:val="20"/>
                <w:color w:val="auto"/>
              </w:rPr>
            </w:pPr>
            <w:r>
              <w:rPr>
                <w:rFonts w:ascii="Arial" w:cs="Arial" w:eastAsia="Arial" w:hAnsi="Arial"/>
                <w:sz w:val="18"/>
                <w:szCs w:val="18"/>
                <w:color w:val="auto"/>
              </w:rPr>
              <w:t>Foreign currency translation adjustment</w:t>
            </w: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w w:val="99"/>
              </w:rPr>
              <w:t>1,986,994</w:t>
            </w:r>
          </w:p>
        </w:tc>
      </w:tr>
      <w:tr>
        <w:trPr>
          <w:trHeight w:val="27"/>
        </w:trPr>
        <w:tc>
          <w:tcPr>
            <w:tcW w:w="1054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216"/>
        </w:trPr>
        <w:tc>
          <w:tcPr>
            <w:tcW w:w="10540" w:type="dxa"/>
            <w:vAlign w:val="bottom"/>
            <w:shd w:val="clear" w:color="auto" w:fill="CCEEFF"/>
          </w:tcPr>
          <w:p>
            <w:pPr>
              <w:ind w:left="360"/>
              <w:spacing w:after="0"/>
              <w:rPr>
                <w:sz w:val="20"/>
                <w:szCs w:val="20"/>
                <w:color w:val="auto"/>
              </w:rPr>
            </w:pPr>
            <w:r>
              <w:rPr>
                <w:rFonts w:ascii="Arial" w:cs="Arial" w:eastAsia="Arial" w:hAnsi="Arial"/>
                <w:sz w:val="18"/>
                <w:szCs w:val="18"/>
                <w:b w:val="1"/>
                <w:bCs w:val="1"/>
                <w:color w:val="auto"/>
              </w:rPr>
              <w:t>Comprehensive income</w:t>
            </w: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u w:val="single" w:color="auto"/>
                <w:color w:val="auto"/>
                <w:w w:val="84"/>
              </w:rPr>
              <w:t>$</w:t>
            </w:r>
            <w:r>
              <w:rPr>
                <w:rFonts w:ascii="Arial" w:cs="Arial" w:eastAsia="Arial" w:hAnsi="Arial"/>
                <w:sz w:val="18"/>
                <w:szCs w:val="18"/>
                <w:color w:val="auto"/>
                <w:w w:val="84"/>
              </w:rPr>
              <w:t xml:space="preserve"> 9,282,119</w:t>
            </w:r>
          </w:p>
        </w:tc>
      </w:tr>
      <w:tr>
        <w:trPr>
          <w:trHeight w:val="20"/>
        </w:trPr>
        <w:tc>
          <w:tcPr>
            <w:tcW w:w="1054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See notes to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270" w:right="239" w:bottom="1440" w:gutter="0" w:footer="0" w:header="0"/>
        </w:sectPr>
      </w:pPr>
    </w:p>
    <w:bookmarkStart w:id="12" w:name="page13"/>
    <w:bookmarkEnd w:id="12"/>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PMG Intermediate Holding Corporation and Subsidiaries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Statement of Stockholder’s Equity</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Year Ended December 31, 2017</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3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60" w:type="dxa"/>
            <w:vAlign w:val="bottom"/>
            <w:gridSpan w:val="3"/>
          </w:tcPr>
          <w:p>
            <w:pPr>
              <w:spacing w:after="0"/>
              <w:rPr>
                <w:sz w:val="20"/>
                <w:szCs w:val="20"/>
                <w:color w:val="auto"/>
              </w:rPr>
            </w:pPr>
            <w:r>
              <w:rPr>
                <w:rFonts w:ascii="Arial" w:cs="Arial" w:eastAsia="Arial" w:hAnsi="Arial"/>
                <w:sz w:val="14"/>
                <w:szCs w:val="14"/>
                <w:color w:val="auto"/>
              </w:rPr>
              <w:t>Accumulated Other</w:t>
            </w:r>
          </w:p>
        </w:tc>
        <w:tc>
          <w:tcPr>
            <w:tcW w:w="1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880" w:type="dxa"/>
            <w:vAlign w:val="bottom"/>
            <w:gridSpan w:val="3"/>
          </w:tcPr>
          <w:p>
            <w:pPr>
              <w:spacing w:after="0" w:line="149" w:lineRule="exact"/>
              <w:rPr>
                <w:sz w:val="20"/>
                <w:szCs w:val="20"/>
                <w:color w:val="auto"/>
              </w:rPr>
            </w:pPr>
            <w:r>
              <w:rPr>
                <w:rFonts w:ascii="Arial" w:cs="Arial" w:eastAsia="Arial" w:hAnsi="Arial"/>
                <w:sz w:val="14"/>
                <w:szCs w:val="14"/>
                <w:color w:val="auto"/>
              </w:rPr>
              <w:t>Common</w:t>
            </w:r>
          </w:p>
        </w:tc>
        <w:tc>
          <w:tcPr>
            <w:tcW w:w="1260" w:type="dxa"/>
            <w:vAlign w:val="bottom"/>
            <w:gridSpan w:val="2"/>
          </w:tcPr>
          <w:p>
            <w:pPr>
              <w:jc w:val="center"/>
              <w:ind w:right="340"/>
              <w:spacing w:after="0" w:line="149" w:lineRule="exact"/>
              <w:rPr>
                <w:sz w:val="20"/>
                <w:szCs w:val="20"/>
                <w:color w:val="auto"/>
              </w:rPr>
            </w:pPr>
            <w:r>
              <w:rPr>
                <w:rFonts w:ascii="Arial" w:cs="Arial" w:eastAsia="Arial" w:hAnsi="Arial"/>
                <w:sz w:val="14"/>
                <w:szCs w:val="14"/>
                <w:color w:val="auto"/>
                <w:w w:val="97"/>
              </w:rPr>
              <w:t>Additional</w:t>
            </w:r>
          </w:p>
        </w:tc>
        <w:tc>
          <w:tcPr>
            <w:tcW w:w="100" w:type="dxa"/>
            <w:vAlign w:val="bottom"/>
          </w:tcPr>
          <w:p>
            <w:pPr>
              <w:spacing w:after="0"/>
              <w:rPr>
                <w:sz w:val="12"/>
                <w:szCs w:val="12"/>
                <w:color w:val="auto"/>
              </w:rPr>
            </w:pPr>
          </w:p>
        </w:tc>
        <w:tc>
          <w:tcPr>
            <w:tcW w:w="110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w w:val="93"/>
              </w:rPr>
              <w:t>Accumulated</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gridSpan w:val="2"/>
          </w:tcPr>
          <w:p>
            <w:pPr>
              <w:jc w:val="center"/>
              <w:ind w:right="320"/>
              <w:spacing w:after="0" w:line="149" w:lineRule="exact"/>
              <w:rPr>
                <w:sz w:val="20"/>
                <w:szCs w:val="20"/>
                <w:color w:val="auto"/>
              </w:rPr>
            </w:pPr>
            <w:r>
              <w:rPr>
                <w:rFonts w:ascii="Arial" w:cs="Arial" w:eastAsia="Arial" w:hAnsi="Arial"/>
                <w:sz w:val="14"/>
                <w:szCs w:val="14"/>
                <w:color w:val="auto"/>
                <w:w w:val="91"/>
              </w:rPr>
              <w:t>Comprehensive</w:t>
            </w:r>
          </w:p>
        </w:tc>
        <w:tc>
          <w:tcPr>
            <w:tcW w:w="1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43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gridSpan w:val="2"/>
          </w:tcPr>
          <w:p>
            <w:pPr>
              <w:spacing w:after="0"/>
              <w:rPr>
                <w:sz w:val="20"/>
                <w:szCs w:val="20"/>
                <w:color w:val="auto"/>
              </w:rPr>
            </w:pPr>
            <w:r>
              <w:rPr>
                <w:rFonts w:ascii="Arial" w:cs="Arial" w:eastAsia="Arial" w:hAnsi="Arial"/>
                <w:sz w:val="14"/>
                <w:szCs w:val="14"/>
                <w:color w:val="auto"/>
              </w:rPr>
              <w:t>Stock</w:t>
            </w:r>
          </w:p>
        </w:tc>
        <w:tc>
          <w:tcPr>
            <w:tcW w:w="1260" w:type="dxa"/>
            <w:vAlign w:val="bottom"/>
            <w:gridSpan w:val="2"/>
          </w:tcPr>
          <w:p>
            <w:pPr>
              <w:jc w:val="center"/>
              <w:ind w:right="340"/>
              <w:spacing w:after="0"/>
              <w:rPr>
                <w:sz w:val="20"/>
                <w:szCs w:val="20"/>
                <w:color w:val="auto"/>
              </w:rPr>
            </w:pPr>
            <w:r>
              <w:rPr>
                <w:rFonts w:ascii="Arial" w:cs="Arial" w:eastAsia="Arial" w:hAnsi="Arial"/>
                <w:sz w:val="14"/>
                <w:szCs w:val="14"/>
                <w:color w:val="auto"/>
                <w:w w:val="96"/>
              </w:rPr>
              <w:t>Paid-in Capital</w:t>
            </w:r>
          </w:p>
        </w:tc>
        <w:tc>
          <w:tcPr>
            <w:tcW w:w="100" w:type="dxa"/>
            <w:vAlign w:val="bottom"/>
          </w:tcPr>
          <w:p>
            <w:pPr>
              <w:spacing w:after="0"/>
              <w:rPr>
                <w:sz w:val="14"/>
                <w:szCs w:val="14"/>
                <w:color w:val="auto"/>
              </w:rPr>
            </w:pPr>
          </w:p>
        </w:tc>
        <w:tc>
          <w:tcPr>
            <w:tcW w:w="1100" w:type="dxa"/>
            <w:vAlign w:val="bottom"/>
            <w:gridSpan w:val="2"/>
          </w:tcPr>
          <w:p>
            <w:pPr>
              <w:jc w:val="right"/>
              <w:ind w:right="500"/>
              <w:spacing w:after="0"/>
              <w:rPr>
                <w:sz w:val="20"/>
                <w:szCs w:val="20"/>
                <w:color w:val="auto"/>
              </w:rPr>
            </w:pPr>
            <w:r>
              <w:rPr>
                <w:rFonts w:ascii="Arial" w:cs="Arial" w:eastAsia="Arial" w:hAnsi="Arial"/>
                <w:sz w:val="14"/>
                <w:szCs w:val="14"/>
                <w:color w:val="auto"/>
              </w:rPr>
              <w:t>Deficit</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60" w:type="dxa"/>
            <w:vAlign w:val="bottom"/>
            <w:gridSpan w:val="2"/>
          </w:tcPr>
          <w:p>
            <w:pPr>
              <w:jc w:val="center"/>
              <w:ind w:right="320"/>
              <w:spacing w:after="0"/>
              <w:rPr>
                <w:sz w:val="20"/>
                <w:szCs w:val="20"/>
                <w:color w:val="auto"/>
              </w:rPr>
            </w:pPr>
            <w:r>
              <w:rPr>
                <w:rFonts w:ascii="Arial" w:cs="Arial" w:eastAsia="Arial" w:hAnsi="Arial"/>
                <w:sz w:val="14"/>
                <w:szCs w:val="14"/>
                <w:color w:val="auto"/>
                <w:w w:val="92"/>
              </w:rPr>
              <w:t>Income (Loss)</w:t>
            </w:r>
          </w:p>
        </w:tc>
        <w:tc>
          <w:tcPr>
            <w:tcW w:w="180" w:type="dxa"/>
            <w:vAlign w:val="bottom"/>
          </w:tcPr>
          <w:p>
            <w:pPr>
              <w:spacing w:after="0"/>
              <w:rPr>
                <w:sz w:val="14"/>
                <w:szCs w:val="14"/>
                <w:color w:val="auto"/>
              </w:rPr>
            </w:pPr>
          </w:p>
        </w:tc>
        <w:tc>
          <w:tcPr>
            <w:tcW w:w="960" w:type="dxa"/>
            <w:vAlign w:val="bottom"/>
            <w:gridSpan w:val="2"/>
          </w:tcPr>
          <w:p>
            <w:pPr>
              <w:jc w:val="right"/>
              <w:ind w:right="360"/>
              <w:spacing w:after="0"/>
              <w:rPr>
                <w:sz w:val="20"/>
                <w:szCs w:val="20"/>
                <w:color w:val="auto"/>
              </w:rPr>
            </w:pPr>
            <w:r>
              <w:rPr>
                <w:rFonts w:ascii="Arial" w:cs="Arial" w:eastAsia="Arial" w:hAnsi="Arial"/>
                <w:sz w:val="14"/>
                <w:szCs w:val="14"/>
                <w:color w:val="auto"/>
              </w:rPr>
              <w:t>Total</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3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December 31, 2016, as restated</w:t>
            </w:r>
          </w:p>
        </w:tc>
        <w:tc>
          <w:tcPr>
            <w:tcW w:w="10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34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$82,345,345</w:t>
            </w:r>
          </w:p>
        </w:tc>
        <w:tc>
          <w:tcPr>
            <w:tcW w:w="3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(10,733,865)</w:t>
            </w:r>
          </w:p>
        </w:tc>
        <w:tc>
          <w:tcPr>
            <w:tcW w:w="2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(1,769,072)</w:t>
            </w:r>
          </w:p>
        </w:tc>
        <w:tc>
          <w:tcPr>
            <w:tcW w:w="2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$69,842,409</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tcPr>
          <w:p>
            <w:pPr>
              <w:ind w:left="340"/>
              <w:spacing w:after="0"/>
              <w:rPr>
                <w:sz w:val="20"/>
                <w:szCs w:val="20"/>
                <w:color w:val="auto"/>
              </w:rPr>
            </w:pPr>
            <w:r>
              <w:rPr>
                <w:rFonts w:ascii="Arial" w:cs="Arial" w:eastAsia="Arial" w:hAnsi="Arial"/>
                <w:sz w:val="18"/>
                <w:szCs w:val="18"/>
                <w:color w:val="auto"/>
              </w:rPr>
              <w:t>Net income, as restated</w:t>
            </w: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1260" w:type="dxa"/>
            <w:vAlign w:val="bottom"/>
            <w:gridSpan w:val="2"/>
          </w:tcPr>
          <w:p>
            <w:pPr>
              <w:ind w:left="6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7,295,125</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ind w:left="760"/>
              <w:spacing w:after="0"/>
              <w:rPr>
                <w:sz w:val="20"/>
                <w:szCs w:val="20"/>
                <w:color w:val="auto"/>
              </w:rPr>
            </w:pPr>
            <w:r>
              <w:rPr>
                <w:rFonts w:ascii="Arial" w:cs="Arial" w:eastAsia="Arial" w:hAnsi="Arial"/>
                <w:sz w:val="18"/>
                <w:szCs w:val="18"/>
                <w:color w:val="auto"/>
              </w:rPr>
              <w:t>—</w:t>
            </w:r>
          </w:p>
        </w:tc>
        <w:tc>
          <w:tcPr>
            <w:tcW w:w="1140" w:type="dxa"/>
            <w:vAlign w:val="bottom"/>
            <w:gridSpan w:val="3"/>
          </w:tcPr>
          <w:p>
            <w:pPr>
              <w:jc w:val="right"/>
              <w:ind w:right="60"/>
              <w:spacing w:after="0"/>
              <w:rPr>
                <w:sz w:val="20"/>
                <w:szCs w:val="20"/>
                <w:color w:val="auto"/>
              </w:rPr>
            </w:pPr>
            <w:r>
              <w:rPr>
                <w:rFonts w:ascii="Arial" w:cs="Arial" w:eastAsia="Arial" w:hAnsi="Arial"/>
                <w:sz w:val="18"/>
                <w:szCs w:val="18"/>
                <w:color w:val="auto"/>
              </w:rPr>
              <w:t>7,295,125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Equity-based compensation cost</w:t>
            </w: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256,305</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ind w:left="760"/>
              <w:spacing w:after="0"/>
              <w:rPr>
                <w:sz w:val="20"/>
                <w:szCs w:val="20"/>
                <w:color w:val="auto"/>
              </w:rPr>
            </w:pPr>
            <w:r>
              <w:rPr>
                <w:rFonts w:ascii="Arial" w:cs="Arial" w:eastAsia="Arial" w:hAnsi="Arial"/>
                <w:sz w:val="18"/>
                <w:szCs w:val="18"/>
                <w:color w:val="auto"/>
              </w:rPr>
              <w:t>—</w:t>
            </w:r>
          </w:p>
        </w:tc>
        <w:tc>
          <w:tcPr>
            <w:tcW w:w="11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256,305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tcPr>
          <w:p>
            <w:pPr>
              <w:ind w:left="340"/>
              <w:spacing w:after="0"/>
              <w:rPr>
                <w:sz w:val="20"/>
                <w:szCs w:val="20"/>
                <w:color w:val="auto"/>
              </w:rPr>
            </w:pPr>
            <w:r>
              <w:rPr>
                <w:rFonts w:ascii="Arial" w:cs="Arial" w:eastAsia="Arial" w:hAnsi="Arial"/>
                <w:sz w:val="18"/>
                <w:szCs w:val="18"/>
                <w:color w:val="auto"/>
              </w:rPr>
              <w:t>Foreign currency translation adjustment</w:t>
            </w: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ind w:left="16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920" w:type="dxa"/>
            <w:vAlign w:val="bottom"/>
          </w:tcPr>
          <w:p>
            <w:pPr>
              <w:ind w:left="64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ind w:right="15"/>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1,986,994</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1,986,994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December 31, 2017, as restated</w:t>
            </w:r>
          </w:p>
        </w:tc>
        <w:tc>
          <w:tcPr>
            <w:tcW w:w="1180" w:type="dxa"/>
            <w:vAlign w:val="bottom"/>
            <w:gridSpan w:val="2"/>
            <w:shd w:val="clear" w:color="auto" w:fill="CCEEFF"/>
          </w:tcPr>
          <w:p>
            <w:pPr>
              <w:ind w:left="1080"/>
              <w:spacing w:after="0"/>
              <w:rPr>
                <w:sz w:val="20"/>
                <w:szCs w:val="20"/>
                <w:color w:val="auto"/>
              </w:rPr>
            </w:pPr>
            <w:r>
              <w:rPr>
                <w:rFonts w:ascii="Arial" w:cs="Arial" w:eastAsia="Arial" w:hAnsi="Arial"/>
                <w:sz w:val="18"/>
                <w:szCs w:val="18"/>
                <w:b w:val="1"/>
                <w:bCs w:val="1"/>
                <w:color w:val="auto"/>
                <w:w w:val="79"/>
              </w:rPr>
              <w:t>$</w:t>
            </w:r>
          </w:p>
        </w:tc>
        <w:tc>
          <w:tcPr>
            <w:tcW w:w="7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b w:val="1"/>
                <w:bCs w:val="1"/>
                <w:color w:val="auto"/>
              </w:rPr>
              <w:t>1</w:t>
            </w:r>
          </w:p>
        </w:tc>
        <w:tc>
          <w:tcPr>
            <w:tcW w:w="12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b w:val="1"/>
                <w:bCs w:val="1"/>
                <w:u w:val="single" w:color="auto"/>
                <w:color w:val="auto"/>
                <w:w w:val="89"/>
              </w:rPr>
              <w:t>$</w:t>
            </w:r>
            <w:r>
              <w:rPr>
                <w:rFonts w:ascii="Arial" w:cs="Arial" w:eastAsia="Arial" w:hAnsi="Arial"/>
                <w:sz w:val="18"/>
                <w:szCs w:val="18"/>
                <w:b w:val="1"/>
                <w:bCs w:val="1"/>
                <w:color w:val="auto"/>
                <w:w w:val="89"/>
              </w:rPr>
              <w:t>82,601,650</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w w:val="99"/>
              </w:rPr>
              <w:t>(3,438,740)</w:t>
            </w:r>
          </w:p>
        </w:tc>
        <w:tc>
          <w:tcPr>
            <w:tcW w:w="280" w:type="dxa"/>
            <w:vAlign w:val="bottom"/>
            <w:gridSpan w:val="2"/>
            <w:shd w:val="clear" w:color="auto" w:fill="CCEEFF"/>
          </w:tcPr>
          <w:p>
            <w:pPr>
              <w:ind w:left="180"/>
              <w:spacing w:after="0"/>
              <w:rPr>
                <w:sz w:val="20"/>
                <w:szCs w:val="20"/>
                <w:color w:val="auto"/>
              </w:rPr>
            </w:pPr>
            <w:r>
              <w:rPr>
                <w:rFonts w:ascii="Arial" w:cs="Arial" w:eastAsia="Arial" w:hAnsi="Arial"/>
                <w:sz w:val="18"/>
                <w:szCs w:val="18"/>
                <w:b w:val="1"/>
                <w:bCs w:val="1"/>
                <w:color w:val="auto"/>
                <w:w w:val="79"/>
              </w:rPr>
              <w:t>$</w:t>
            </w: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217,922</w:t>
            </w:r>
          </w:p>
        </w:tc>
        <w:tc>
          <w:tcPr>
            <w:tcW w:w="11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b w:val="1"/>
                <w:bCs w:val="1"/>
                <w:u w:val="single" w:color="auto"/>
                <w:color w:val="auto"/>
              </w:rPr>
              <w:t>$</w:t>
            </w:r>
            <w:r>
              <w:rPr>
                <w:rFonts w:ascii="Arial" w:cs="Arial" w:eastAsia="Arial" w:hAnsi="Arial"/>
                <w:sz w:val="18"/>
                <w:szCs w:val="18"/>
                <w:b w:val="1"/>
                <w:bCs w:val="1"/>
                <w:color w:val="auto"/>
              </w:rPr>
              <w:t>79,380,833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See notes to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270" w:right="239" w:bottom="1440" w:gutter="0" w:footer="0" w:header="0"/>
        </w:sectPr>
      </w:pPr>
    </w:p>
    <w:bookmarkStart w:id="13" w:name="page14"/>
    <w:bookmarkEnd w:id="13"/>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PMG Intermediate Holding Corporation and Subsidiaries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Statement Of Cash Flows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Year Ended December 31, 2017</w:t>
      </w:r>
    </w:p>
    <w:p>
      <w:pPr>
        <w:spacing w:after="0" w:line="386" w:lineRule="exact"/>
        <w:rPr>
          <w:sz w:val="20"/>
          <w:szCs w:val="20"/>
          <w:color w:val="auto"/>
        </w:rPr>
      </w:pPr>
    </w:p>
    <w:p>
      <w:pPr>
        <w:spacing w:after="0"/>
        <w:rPr>
          <w:sz w:val="20"/>
          <w:szCs w:val="20"/>
          <w:color w:val="auto"/>
        </w:rPr>
      </w:pPr>
      <w:r>
        <w:rPr>
          <w:rFonts w:ascii="Arial" w:cs="Arial" w:eastAsia="Arial" w:hAnsi="Arial"/>
          <w:sz w:val="18"/>
          <w:szCs w:val="18"/>
          <w:color w:val="auto"/>
        </w:rPr>
        <w:t>Cash flows from operating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13716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Net income</w:t>
      </w:r>
    </w:p>
    <w:p>
      <w:pPr>
        <w:spacing w:after="0" w:line="9" w:lineRule="exact"/>
        <w:rPr>
          <w:sz w:val="20"/>
          <w:szCs w:val="20"/>
          <w:color w:val="auto"/>
        </w:rPr>
      </w:pPr>
    </w:p>
    <w:p>
      <w:pPr>
        <w:ind w:left="180"/>
        <w:spacing w:after="0"/>
        <w:rPr>
          <w:sz w:val="20"/>
          <w:szCs w:val="20"/>
          <w:color w:val="auto"/>
        </w:rPr>
      </w:pPr>
      <w:r>
        <w:rPr>
          <w:rFonts w:ascii="Arial" w:cs="Arial" w:eastAsia="Arial" w:hAnsi="Arial"/>
          <w:sz w:val="16"/>
          <w:szCs w:val="16"/>
          <w:color w:val="auto"/>
        </w:rPr>
        <w:t>Adjustments to reconcile net income to net cash provided by operating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-116205</wp:posOffset>
            </wp:positionV>
            <wp:extent cx="7246620" cy="13716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12" w:lineRule="exact"/>
        <w:rPr>
          <w:sz w:val="20"/>
          <w:szCs w:val="20"/>
          <w:color w:val="auto"/>
        </w:rPr>
      </w:pPr>
    </w:p>
    <w:p>
      <w:pPr>
        <w:ind w:left="360"/>
        <w:spacing w:after="0"/>
        <w:rPr>
          <w:sz w:val="20"/>
          <w:szCs w:val="20"/>
          <w:color w:val="auto"/>
        </w:rPr>
      </w:pPr>
      <w:r>
        <w:rPr>
          <w:rFonts w:ascii="Arial" w:cs="Arial" w:eastAsia="Arial" w:hAnsi="Arial"/>
          <w:sz w:val="18"/>
          <w:szCs w:val="18"/>
          <w:color w:val="auto"/>
        </w:rPr>
        <w:t>Depreciation</w:t>
      </w:r>
    </w:p>
    <w:p>
      <w:pPr>
        <w:spacing w:after="0" w:line="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Amortization of intangible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13716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ind w:left="360"/>
        <w:spacing w:after="0"/>
        <w:rPr>
          <w:sz w:val="20"/>
          <w:szCs w:val="20"/>
          <w:color w:val="auto"/>
        </w:rPr>
      </w:pPr>
      <w:r>
        <w:rPr>
          <w:rFonts w:ascii="Arial" w:cs="Arial" w:eastAsia="Arial" w:hAnsi="Arial"/>
          <w:sz w:val="18"/>
          <w:szCs w:val="18"/>
          <w:color w:val="auto"/>
        </w:rPr>
        <w:t>Amortization of deferred financing costs</w:t>
      </w:r>
    </w:p>
    <w:p>
      <w:pPr>
        <w:spacing w:after="0" w:line="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Deferred financing costs written off due to debt refinance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13716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ind w:left="360"/>
        <w:spacing w:after="0"/>
        <w:rPr>
          <w:sz w:val="20"/>
          <w:szCs w:val="20"/>
          <w:color w:val="auto"/>
        </w:rPr>
      </w:pPr>
      <w:r>
        <w:rPr>
          <w:rFonts w:ascii="Arial" w:cs="Arial" w:eastAsia="Arial" w:hAnsi="Arial"/>
          <w:sz w:val="18"/>
          <w:szCs w:val="18"/>
          <w:color w:val="auto"/>
        </w:rPr>
        <w:t>Other</w:t>
      </w:r>
    </w:p>
    <w:p>
      <w:pPr>
        <w:spacing w:after="0" w:line="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Deferred income taxes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13716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ind w:left="360"/>
        <w:spacing w:after="0"/>
        <w:rPr>
          <w:sz w:val="20"/>
          <w:szCs w:val="20"/>
          <w:color w:val="auto"/>
        </w:rPr>
      </w:pPr>
      <w:r>
        <w:rPr>
          <w:rFonts w:ascii="Arial" w:cs="Arial" w:eastAsia="Arial" w:hAnsi="Arial"/>
          <w:sz w:val="18"/>
          <w:szCs w:val="18"/>
          <w:color w:val="auto"/>
        </w:rPr>
        <w:t>Change in assets and liabilities:</w:t>
      </w:r>
    </w:p>
    <w:p>
      <w:pPr>
        <w:spacing w:after="0" w:line="9" w:lineRule="exact"/>
        <w:rPr>
          <w:sz w:val="20"/>
          <w:szCs w:val="20"/>
          <w:color w:val="auto"/>
        </w:rPr>
      </w:pPr>
    </w:p>
    <w:p>
      <w:pPr>
        <w:ind w:left="540"/>
        <w:spacing w:after="0"/>
        <w:rPr>
          <w:sz w:val="20"/>
          <w:szCs w:val="20"/>
          <w:color w:val="auto"/>
        </w:rPr>
      </w:pPr>
      <w:r>
        <w:rPr>
          <w:rFonts w:ascii="Arial" w:cs="Arial" w:eastAsia="Arial" w:hAnsi="Arial"/>
          <w:sz w:val="18"/>
          <w:szCs w:val="18"/>
          <w:color w:val="auto"/>
        </w:rPr>
        <w:t>Decrease (increase) 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13716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ind w:left="720"/>
        <w:spacing w:after="0"/>
        <w:rPr>
          <w:sz w:val="20"/>
          <w:szCs w:val="20"/>
          <w:color w:val="auto"/>
        </w:rPr>
      </w:pPr>
      <w:r>
        <w:rPr>
          <w:rFonts w:ascii="Arial" w:cs="Arial" w:eastAsia="Arial" w:hAnsi="Arial"/>
          <w:sz w:val="18"/>
          <w:szCs w:val="18"/>
          <w:color w:val="auto"/>
        </w:rPr>
        <w:t>Trade receivables</w:t>
      </w:r>
    </w:p>
    <w:p>
      <w:pPr>
        <w:spacing w:after="0" w:line="9" w:lineRule="exact"/>
        <w:rPr>
          <w:sz w:val="20"/>
          <w:szCs w:val="20"/>
          <w:color w:val="auto"/>
        </w:rPr>
      </w:pPr>
    </w:p>
    <w:p>
      <w:pPr>
        <w:ind w:left="720"/>
        <w:spacing w:after="0"/>
        <w:rPr>
          <w:sz w:val="20"/>
          <w:szCs w:val="20"/>
          <w:color w:val="auto"/>
        </w:rPr>
      </w:pPr>
      <w:r>
        <w:rPr>
          <w:rFonts w:ascii="Arial" w:cs="Arial" w:eastAsia="Arial" w:hAnsi="Arial"/>
          <w:sz w:val="18"/>
          <w:szCs w:val="18"/>
          <w:color w:val="auto"/>
        </w:rPr>
        <w:t>Inventories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13716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ind w:left="720"/>
        <w:spacing w:after="0"/>
        <w:rPr>
          <w:sz w:val="20"/>
          <w:szCs w:val="20"/>
          <w:color w:val="auto"/>
        </w:rPr>
      </w:pPr>
      <w:r>
        <w:rPr>
          <w:rFonts w:ascii="Arial" w:cs="Arial" w:eastAsia="Arial" w:hAnsi="Arial"/>
          <w:sz w:val="18"/>
          <w:szCs w:val="18"/>
          <w:color w:val="auto"/>
        </w:rPr>
        <w:t>Other assets</w:t>
      </w:r>
    </w:p>
    <w:p>
      <w:pPr>
        <w:spacing w:after="0" w:line="9" w:lineRule="exact"/>
        <w:rPr>
          <w:sz w:val="20"/>
          <w:szCs w:val="20"/>
          <w:color w:val="auto"/>
        </w:rPr>
      </w:pPr>
    </w:p>
    <w:p>
      <w:pPr>
        <w:ind w:left="540"/>
        <w:spacing w:after="0"/>
        <w:rPr>
          <w:sz w:val="20"/>
          <w:szCs w:val="20"/>
          <w:color w:val="auto"/>
        </w:rPr>
      </w:pPr>
      <w:r>
        <w:rPr>
          <w:rFonts w:ascii="Arial" w:cs="Arial" w:eastAsia="Arial" w:hAnsi="Arial"/>
          <w:sz w:val="18"/>
          <w:szCs w:val="18"/>
          <w:color w:val="auto"/>
        </w:rPr>
        <w:t>Increase 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13716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ind w:left="720"/>
        <w:spacing w:after="0"/>
        <w:rPr>
          <w:sz w:val="20"/>
          <w:szCs w:val="20"/>
          <w:color w:val="auto"/>
        </w:rPr>
      </w:pPr>
      <w:r>
        <w:rPr>
          <w:rFonts w:ascii="Arial" w:cs="Arial" w:eastAsia="Arial" w:hAnsi="Arial"/>
          <w:sz w:val="18"/>
          <w:szCs w:val="18"/>
          <w:color w:val="auto"/>
        </w:rPr>
        <w:t>Accounts payable</w:t>
      </w:r>
    </w:p>
    <w:p>
      <w:pPr>
        <w:spacing w:after="0" w:line="9" w:lineRule="exact"/>
        <w:rPr>
          <w:sz w:val="20"/>
          <w:szCs w:val="20"/>
          <w:color w:val="auto"/>
        </w:rPr>
      </w:pPr>
    </w:p>
    <w:p>
      <w:pPr>
        <w:ind w:left="720"/>
        <w:spacing w:after="0"/>
        <w:rPr>
          <w:sz w:val="20"/>
          <w:szCs w:val="20"/>
          <w:color w:val="auto"/>
        </w:rPr>
      </w:pPr>
      <w:r>
        <w:rPr>
          <w:rFonts w:ascii="Arial" w:cs="Arial" w:eastAsia="Arial" w:hAnsi="Arial"/>
          <w:sz w:val="18"/>
          <w:szCs w:val="18"/>
          <w:color w:val="auto"/>
        </w:rPr>
        <w:t>Income taxes payable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13716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ind w:left="720"/>
        <w:spacing w:after="0"/>
        <w:rPr>
          <w:sz w:val="20"/>
          <w:szCs w:val="20"/>
          <w:color w:val="auto"/>
        </w:rPr>
      </w:pPr>
      <w:r>
        <w:rPr>
          <w:rFonts w:ascii="Arial" w:cs="Arial" w:eastAsia="Arial" w:hAnsi="Arial"/>
          <w:sz w:val="18"/>
          <w:szCs w:val="18"/>
          <w:color w:val="auto"/>
        </w:rPr>
        <w:t>Accrued expenses</w:t>
      </w:r>
    </w:p>
    <w:p>
      <w:pPr>
        <w:spacing w:after="0" w:line="18" w:lineRule="exact"/>
        <w:rPr>
          <w:sz w:val="20"/>
          <w:szCs w:val="20"/>
          <w:color w:val="auto"/>
        </w:rPr>
      </w:pPr>
    </w:p>
    <w:p>
      <w:pPr>
        <w:ind w:left="900"/>
        <w:spacing w:after="0"/>
        <w:rPr>
          <w:sz w:val="20"/>
          <w:szCs w:val="20"/>
          <w:color w:val="auto"/>
        </w:rPr>
      </w:pPr>
      <w:r>
        <w:rPr>
          <w:rFonts w:ascii="Arial" w:cs="Arial" w:eastAsia="Arial" w:hAnsi="Arial"/>
          <w:sz w:val="18"/>
          <w:szCs w:val="18"/>
          <w:b w:val="1"/>
          <w:bCs w:val="1"/>
          <w:color w:val="auto"/>
        </w:rPr>
        <w:t>Net cash provided by operating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246620" cy="13716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20" w:lineRule="exact"/>
        <w:rPr>
          <w:sz w:val="20"/>
          <w:szCs w:val="20"/>
          <w:color w:val="auto"/>
        </w:rPr>
      </w:pPr>
    </w:p>
    <w:p>
      <w:pPr>
        <w:spacing w:after="0"/>
        <w:rPr>
          <w:sz w:val="20"/>
          <w:szCs w:val="20"/>
          <w:color w:val="auto"/>
        </w:rPr>
      </w:pPr>
      <w:r>
        <w:rPr>
          <w:rFonts w:ascii="Arial" w:cs="Arial" w:eastAsia="Arial" w:hAnsi="Arial"/>
          <w:sz w:val="18"/>
          <w:szCs w:val="18"/>
          <w:color w:val="auto"/>
        </w:rPr>
        <w:t>Cash flows from investing activities:</w:t>
      </w:r>
    </w:p>
    <w:p>
      <w:pPr>
        <w:spacing w:after="0" w:line="2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Purchases of property and equipment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13716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ind w:left="900"/>
        <w:spacing w:after="0"/>
        <w:rPr>
          <w:sz w:val="20"/>
          <w:szCs w:val="20"/>
          <w:color w:val="auto"/>
        </w:rPr>
      </w:pPr>
      <w:r>
        <w:rPr>
          <w:rFonts w:ascii="Arial" w:cs="Arial" w:eastAsia="Arial" w:hAnsi="Arial"/>
          <w:sz w:val="18"/>
          <w:szCs w:val="18"/>
          <w:b w:val="1"/>
          <w:bCs w:val="1"/>
          <w:color w:val="auto"/>
        </w:rPr>
        <w:t>Net cash used in investing activities</w:t>
      </w:r>
    </w:p>
    <w:p>
      <w:pPr>
        <w:spacing w:after="0" w:line="40" w:lineRule="exact"/>
        <w:rPr>
          <w:sz w:val="20"/>
          <w:szCs w:val="20"/>
          <w:color w:val="auto"/>
        </w:rPr>
      </w:pPr>
    </w:p>
    <w:p>
      <w:pPr>
        <w:spacing w:after="0"/>
        <w:rPr>
          <w:sz w:val="20"/>
          <w:szCs w:val="20"/>
          <w:color w:val="auto"/>
        </w:rPr>
      </w:pPr>
      <w:r>
        <w:rPr>
          <w:rFonts w:ascii="Arial" w:cs="Arial" w:eastAsia="Arial" w:hAnsi="Arial"/>
          <w:sz w:val="18"/>
          <w:szCs w:val="18"/>
          <w:color w:val="auto"/>
        </w:rPr>
        <w:t>Cash flows from financing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13716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Payments of deferred financing costs</w:t>
      </w:r>
    </w:p>
    <w:p>
      <w:pPr>
        <w:spacing w:after="0" w:line="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Proceeds from issuance of debt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13716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ind w:left="180"/>
        <w:spacing w:after="0"/>
        <w:rPr>
          <w:sz w:val="20"/>
          <w:szCs w:val="20"/>
          <w:color w:val="auto"/>
        </w:rPr>
      </w:pPr>
      <w:r>
        <w:rPr>
          <w:rFonts w:ascii="Arial" w:cs="Arial" w:eastAsia="Arial" w:hAnsi="Arial"/>
          <w:sz w:val="18"/>
          <w:szCs w:val="18"/>
          <w:color w:val="auto"/>
        </w:rPr>
        <w:t>Net payments on line of credit</w:t>
      </w:r>
    </w:p>
    <w:p>
      <w:pPr>
        <w:spacing w:after="0" w:line="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Payments on notes payable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13716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ind w:left="900"/>
        <w:spacing w:after="0"/>
        <w:rPr>
          <w:sz w:val="20"/>
          <w:szCs w:val="20"/>
          <w:color w:val="auto"/>
        </w:rPr>
      </w:pPr>
      <w:r>
        <w:rPr>
          <w:rFonts w:ascii="Arial" w:cs="Arial" w:eastAsia="Arial" w:hAnsi="Arial"/>
          <w:sz w:val="18"/>
          <w:szCs w:val="18"/>
          <w:b w:val="1"/>
          <w:bCs w:val="1"/>
          <w:color w:val="auto"/>
        </w:rPr>
        <w:t>Net cash provided by financing activities</w:t>
      </w:r>
    </w:p>
    <w:p>
      <w:pPr>
        <w:spacing w:after="0" w:line="40" w:lineRule="exact"/>
        <w:rPr>
          <w:sz w:val="20"/>
          <w:szCs w:val="20"/>
          <w:color w:val="auto"/>
        </w:rPr>
      </w:pPr>
    </w:p>
    <w:p>
      <w:pPr>
        <w:spacing w:after="0"/>
        <w:rPr>
          <w:sz w:val="20"/>
          <w:szCs w:val="20"/>
          <w:color w:val="auto"/>
        </w:rPr>
      </w:pPr>
      <w:r>
        <w:rPr>
          <w:rFonts w:ascii="Arial" w:cs="Arial" w:eastAsia="Arial" w:hAnsi="Arial"/>
          <w:sz w:val="18"/>
          <w:szCs w:val="18"/>
          <w:color w:val="auto"/>
        </w:rPr>
        <w:t>Effect of exchange rate changes on cash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13716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12" w:lineRule="exact"/>
        <w:rPr>
          <w:sz w:val="20"/>
          <w:szCs w:val="20"/>
          <w:color w:val="auto"/>
        </w:rPr>
      </w:pPr>
    </w:p>
    <w:p>
      <w:pPr>
        <w:ind w:left="900"/>
        <w:spacing w:after="0"/>
        <w:rPr>
          <w:sz w:val="20"/>
          <w:szCs w:val="20"/>
          <w:color w:val="auto"/>
        </w:rPr>
      </w:pPr>
      <w:r>
        <w:rPr>
          <w:rFonts w:ascii="Arial" w:cs="Arial" w:eastAsia="Arial" w:hAnsi="Arial"/>
          <w:sz w:val="18"/>
          <w:szCs w:val="18"/>
          <w:b w:val="1"/>
          <w:bCs w:val="1"/>
          <w:color w:val="auto"/>
        </w:rPr>
        <w:t>Increase in cash</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Cash, beginning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13716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Cash, ending</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See notes to consolidated financial statements.</w:t>
      </w:r>
    </w:p>
    <w:p>
      <w:pPr>
        <w:spacing w:after="0" w:line="158"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ind w:left="140"/>
        <w:spacing w:after="0"/>
        <w:rPr>
          <w:sz w:val="20"/>
          <w:szCs w:val="20"/>
          <w:color w:val="auto"/>
        </w:rPr>
      </w:pPr>
      <w:r>
        <w:rPr>
          <w:rFonts w:ascii="Arial" w:cs="Arial" w:eastAsia="Arial" w:hAnsi="Arial"/>
          <w:sz w:val="14"/>
          <w:szCs w:val="14"/>
          <w:color w:val="auto"/>
        </w:rPr>
        <w:t>As Restated</w:t>
      </w:r>
    </w:p>
    <w:p>
      <w:pPr>
        <w:spacing w:after="0" w:line="208" w:lineRule="exact"/>
        <w:rPr>
          <w:sz w:val="20"/>
          <w:szCs w:val="20"/>
          <w:color w:val="auto"/>
        </w:rPr>
      </w:pPr>
    </w:p>
    <w:p>
      <w:pPr>
        <w:ind w:left="260" w:hanging="260"/>
        <w:spacing w:after="0"/>
        <w:tabs>
          <w:tab w:leader="none" w:pos="260" w:val="left"/>
        </w:tabs>
        <w:numPr>
          <w:ilvl w:val="0"/>
          <w:numId w:val="5"/>
        </w:numPr>
        <w:rPr>
          <w:rFonts w:ascii="Arial" w:cs="Arial" w:eastAsia="Arial" w:hAnsi="Arial"/>
          <w:sz w:val="17"/>
          <w:szCs w:val="17"/>
          <w:color w:val="auto"/>
        </w:rPr>
      </w:pPr>
      <w:r>
        <w:rPr>
          <w:rFonts w:ascii="Arial" w:cs="Arial" w:eastAsia="Arial" w:hAnsi="Arial"/>
          <w:sz w:val="17"/>
          <w:szCs w:val="17"/>
          <w:color w:val="auto"/>
        </w:rPr>
        <w:t>7,295,125</w:t>
      </w:r>
    </w:p>
    <w:p>
      <w:pPr>
        <w:spacing w:after="0" w:line="236" w:lineRule="exact"/>
        <w:rPr>
          <w:rFonts w:ascii="Arial" w:cs="Arial" w:eastAsia="Arial" w:hAnsi="Arial"/>
          <w:sz w:val="17"/>
          <w:szCs w:val="17"/>
          <w:color w:val="auto"/>
        </w:rPr>
      </w:pPr>
    </w:p>
    <w:p>
      <w:pPr>
        <w:ind w:left="260"/>
        <w:spacing w:after="0"/>
        <w:rPr>
          <w:rFonts w:ascii="Arial" w:cs="Arial" w:eastAsia="Arial" w:hAnsi="Arial"/>
          <w:sz w:val="17"/>
          <w:szCs w:val="17"/>
          <w:color w:val="auto"/>
        </w:rPr>
      </w:pPr>
      <w:r>
        <w:rPr>
          <w:rFonts w:ascii="Arial" w:cs="Arial" w:eastAsia="Arial" w:hAnsi="Arial"/>
          <w:sz w:val="17"/>
          <w:szCs w:val="17"/>
          <w:color w:val="auto"/>
        </w:rPr>
        <w:t>7,888,431</w:t>
      </w:r>
    </w:p>
    <w:p>
      <w:pPr>
        <w:spacing w:after="0" w:line="34" w:lineRule="exact"/>
        <w:rPr>
          <w:rFonts w:ascii="Arial" w:cs="Arial" w:eastAsia="Arial" w:hAnsi="Arial"/>
          <w:sz w:val="17"/>
          <w:szCs w:val="17"/>
          <w:color w:val="auto"/>
        </w:rPr>
      </w:pPr>
    </w:p>
    <w:p>
      <w:pPr>
        <w:ind w:left="260"/>
        <w:spacing w:after="0"/>
        <w:rPr>
          <w:rFonts w:ascii="Arial" w:cs="Arial" w:eastAsia="Arial" w:hAnsi="Arial"/>
          <w:sz w:val="17"/>
          <w:szCs w:val="17"/>
          <w:color w:val="auto"/>
        </w:rPr>
      </w:pPr>
      <w:r>
        <w:rPr>
          <w:rFonts w:ascii="Arial" w:cs="Arial" w:eastAsia="Arial" w:hAnsi="Arial"/>
          <w:sz w:val="17"/>
          <w:szCs w:val="17"/>
          <w:color w:val="auto"/>
        </w:rPr>
        <w:t>4,864,336</w:t>
      </w:r>
    </w:p>
    <w:p>
      <w:pPr>
        <w:spacing w:after="0" w:line="20" w:lineRule="exact"/>
        <w:rPr>
          <w:rFonts w:ascii="Arial" w:cs="Arial" w:eastAsia="Arial" w:hAnsi="Arial"/>
          <w:sz w:val="17"/>
          <w:szCs w:val="17"/>
          <w:color w:val="auto"/>
        </w:rPr>
      </w:pPr>
    </w:p>
    <w:p>
      <w:pPr>
        <w:ind w:left="380"/>
        <w:spacing w:after="0"/>
        <w:rPr>
          <w:rFonts w:ascii="Arial" w:cs="Arial" w:eastAsia="Arial" w:hAnsi="Arial"/>
          <w:sz w:val="17"/>
          <w:szCs w:val="17"/>
          <w:color w:val="auto"/>
        </w:rPr>
      </w:pPr>
      <w:r>
        <w:rPr>
          <w:rFonts w:ascii="Arial" w:cs="Arial" w:eastAsia="Arial" w:hAnsi="Arial"/>
          <w:sz w:val="18"/>
          <w:szCs w:val="18"/>
          <w:color w:val="auto"/>
        </w:rPr>
        <w:t>549,648</w:t>
      </w:r>
    </w:p>
    <w:p>
      <w:pPr>
        <w:spacing w:after="0" w:line="9" w:lineRule="exact"/>
        <w:rPr>
          <w:rFonts w:ascii="Arial" w:cs="Arial" w:eastAsia="Arial" w:hAnsi="Arial"/>
          <w:sz w:val="17"/>
          <w:szCs w:val="17"/>
          <w:color w:val="auto"/>
        </w:rPr>
      </w:pPr>
    </w:p>
    <w:p>
      <w:pPr>
        <w:ind w:left="260"/>
        <w:spacing w:after="0"/>
        <w:rPr>
          <w:rFonts w:ascii="Arial" w:cs="Arial" w:eastAsia="Arial" w:hAnsi="Arial"/>
          <w:sz w:val="17"/>
          <w:szCs w:val="17"/>
          <w:color w:val="auto"/>
        </w:rPr>
      </w:pPr>
      <w:r>
        <w:rPr>
          <w:rFonts w:ascii="Arial" w:cs="Arial" w:eastAsia="Arial" w:hAnsi="Arial"/>
          <w:sz w:val="17"/>
          <w:szCs w:val="17"/>
          <w:color w:val="auto"/>
        </w:rPr>
        <w:t>1,098,802</w:t>
      </w:r>
    </w:p>
    <w:p>
      <w:pPr>
        <w:spacing w:after="0" w:line="2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(131,607)</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(9,089,112)</w:t>
      </w:r>
    </w:p>
    <w:p>
      <w:pPr>
        <w:spacing w:after="0" w:line="200" w:lineRule="exact"/>
        <w:rPr>
          <w:sz w:val="20"/>
          <w:szCs w:val="20"/>
          <w:color w:val="auto"/>
        </w:rPr>
      </w:pPr>
    </w:p>
    <w:p>
      <w:pPr>
        <w:spacing w:after="0" w:line="22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(2,113,352)</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(1,728,428)</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(401,864)</w:t>
      </w:r>
    </w:p>
    <w:p>
      <w:pPr>
        <w:spacing w:after="0" w:line="211" w:lineRule="exact"/>
        <w:rPr>
          <w:sz w:val="20"/>
          <w:szCs w:val="20"/>
          <w:color w:val="auto"/>
        </w:rPr>
      </w:pPr>
    </w:p>
    <w:p>
      <w:pPr>
        <w:jc w:val="right"/>
        <w:ind w:right="60"/>
        <w:spacing w:after="0"/>
        <w:rPr>
          <w:sz w:val="20"/>
          <w:szCs w:val="20"/>
          <w:color w:val="auto"/>
        </w:rPr>
      </w:pPr>
      <w:r>
        <w:rPr>
          <w:rFonts w:ascii="Arial" w:cs="Arial" w:eastAsia="Arial" w:hAnsi="Arial"/>
          <w:sz w:val="18"/>
          <w:szCs w:val="18"/>
          <w:color w:val="auto"/>
        </w:rPr>
        <w:t>2,692,760</w:t>
      </w:r>
    </w:p>
    <w:p>
      <w:pPr>
        <w:spacing w:after="0" w:line="23" w:lineRule="exact"/>
        <w:rPr>
          <w:sz w:val="20"/>
          <w:szCs w:val="20"/>
          <w:color w:val="auto"/>
        </w:rPr>
      </w:pPr>
    </w:p>
    <w:p>
      <w:pPr>
        <w:jc w:val="right"/>
        <w:ind w:right="60"/>
        <w:spacing w:after="0"/>
        <w:rPr>
          <w:sz w:val="20"/>
          <w:szCs w:val="20"/>
          <w:color w:val="auto"/>
        </w:rPr>
      </w:pPr>
      <w:r>
        <w:rPr>
          <w:rFonts w:ascii="Arial" w:cs="Arial" w:eastAsia="Arial" w:hAnsi="Arial"/>
          <w:sz w:val="18"/>
          <w:szCs w:val="18"/>
          <w:color w:val="auto"/>
        </w:rPr>
        <w:t>277,885</w:t>
      </w:r>
    </w:p>
    <w:p>
      <w:pPr>
        <w:spacing w:after="0" w:line="9" w:lineRule="exact"/>
        <w:rPr>
          <w:sz w:val="20"/>
          <w:szCs w:val="20"/>
          <w:color w:val="auto"/>
        </w:rPr>
      </w:pPr>
    </w:p>
    <w:p>
      <w:pPr>
        <w:jc w:val="right"/>
        <w:ind w:right="60"/>
        <w:spacing w:after="0"/>
        <w:rPr>
          <w:sz w:val="20"/>
          <w:szCs w:val="20"/>
          <w:color w:val="auto"/>
        </w:rPr>
      </w:pPr>
      <w:r>
        <w:rPr>
          <w:rFonts w:ascii="Arial" w:cs="Arial" w:eastAsia="Arial" w:hAnsi="Arial"/>
          <w:sz w:val="18"/>
          <w:szCs w:val="18"/>
          <w:color w:val="auto"/>
        </w:rPr>
        <w:t>4,831,187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5715</wp:posOffset>
            </wp:positionV>
            <wp:extent cx="61722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17220" cy="8890"/>
                    </a:xfrm>
                    <a:prstGeom prst="rect">
                      <a:avLst/>
                    </a:prstGeom>
                    <a:noFill/>
                  </pic:spPr>
                </pic:pic>
              </a:graphicData>
            </a:graphic>
          </wp:anchor>
        </w:drawing>
      </w:r>
    </w:p>
    <w:p>
      <w:pPr>
        <w:spacing w:after="0" w:line="2" w:lineRule="exact"/>
        <w:rPr>
          <w:sz w:val="20"/>
          <w:szCs w:val="20"/>
          <w:color w:val="auto"/>
        </w:rPr>
      </w:pPr>
    </w:p>
    <w:p>
      <w:pPr>
        <w:ind w:left="160"/>
        <w:spacing w:after="0"/>
        <w:rPr>
          <w:sz w:val="20"/>
          <w:szCs w:val="20"/>
          <w:color w:val="auto"/>
        </w:rPr>
      </w:pPr>
      <w:r>
        <w:rPr>
          <w:rFonts w:ascii="Arial" w:cs="Arial" w:eastAsia="Arial" w:hAnsi="Arial"/>
          <w:sz w:val="17"/>
          <w:szCs w:val="17"/>
          <w:color w:val="auto"/>
        </w:rPr>
        <w:t>16,033,811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22225</wp:posOffset>
            </wp:positionV>
            <wp:extent cx="61722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17220" cy="8890"/>
                    </a:xfrm>
                    <a:prstGeom prst="rect">
                      <a:avLst/>
                    </a:prstGeom>
                    <a:noFill/>
                  </pic:spPr>
                </pic:pic>
              </a:graphicData>
            </a:graphic>
          </wp:anchor>
        </w:drawing>
      </w:r>
    </w:p>
    <w:p>
      <w:pPr>
        <w:spacing w:after="0" w:line="24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(8,879,646)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61722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17220" cy="8890"/>
                    </a:xfrm>
                    <a:prstGeom prst="rect">
                      <a:avLst/>
                    </a:prstGeom>
                    <a:noFill/>
                  </pic:spPr>
                </pic:pic>
              </a:graphicData>
            </a:graphic>
          </wp:anchor>
        </w:drawing>
      </w:r>
    </w:p>
    <w:p>
      <w:pPr>
        <w:spacing w:after="0" w:line="1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(8,879,646)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61722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17220" cy="8890"/>
                    </a:xfrm>
                    <a:prstGeom prst="rect">
                      <a:avLst/>
                    </a:prstGeom>
                    <a:noFill/>
                  </pic:spPr>
                </pic:pic>
              </a:graphicData>
            </a:graphic>
          </wp:anchor>
        </w:drawing>
      </w:r>
    </w:p>
    <w:p>
      <w:pPr>
        <w:spacing w:after="0" w:line="23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(2,486,382)</w:t>
      </w:r>
    </w:p>
    <w:p>
      <w:pPr>
        <w:spacing w:after="0" w:line="23" w:lineRule="exact"/>
        <w:rPr>
          <w:sz w:val="20"/>
          <w:szCs w:val="20"/>
          <w:color w:val="auto"/>
        </w:rPr>
      </w:pPr>
    </w:p>
    <w:p>
      <w:pPr>
        <w:jc w:val="right"/>
        <w:ind w:right="60"/>
        <w:spacing w:after="0"/>
        <w:rPr>
          <w:sz w:val="20"/>
          <w:szCs w:val="20"/>
          <w:color w:val="auto"/>
        </w:rPr>
      </w:pPr>
      <w:r>
        <w:rPr>
          <w:rFonts w:ascii="Arial" w:cs="Arial" w:eastAsia="Arial" w:hAnsi="Arial"/>
          <w:sz w:val="18"/>
          <w:szCs w:val="18"/>
          <w:color w:val="auto"/>
        </w:rPr>
        <w:t>88,000,000</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(1,600,000)</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u w:val="single" w:color="auto"/>
          <w:color w:val="auto"/>
        </w:rPr>
        <w:t>(81,441,747</w:t>
      </w:r>
      <w:r>
        <w:rPr>
          <w:rFonts w:ascii="Arial" w:cs="Arial" w:eastAsia="Arial" w:hAnsi="Arial"/>
          <w:sz w:val="18"/>
          <w:szCs w:val="18"/>
          <w:color w:val="auto"/>
        </w:rPr>
        <w:t>)</w:t>
      </w:r>
    </w:p>
    <w:p>
      <w:pPr>
        <w:spacing w:after="0" w:line="22" w:lineRule="exact"/>
        <w:rPr>
          <w:sz w:val="20"/>
          <w:szCs w:val="20"/>
          <w:color w:val="auto"/>
        </w:rPr>
      </w:pPr>
    </w:p>
    <w:p>
      <w:pPr>
        <w:jc w:val="right"/>
        <w:ind w:right="60"/>
        <w:spacing w:after="0"/>
        <w:rPr>
          <w:sz w:val="20"/>
          <w:szCs w:val="20"/>
          <w:color w:val="auto"/>
        </w:rPr>
      </w:pPr>
      <w:r>
        <w:rPr>
          <w:rFonts w:ascii="Arial" w:cs="Arial" w:eastAsia="Arial" w:hAnsi="Arial"/>
          <w:sz w:val="18"/>
          <w:szCs w:val="18"/>
          <w:color w:val="auto"/>
        </w:rPr>
        <w:t>2,471,871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61722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17220" cy="8890"/>
                    </a:xfrm>
                    <a:prstGeom prst="rect">
                      <a:avLst/>
                    </a:prstGeom>
                    <a:noFill/>
                  </pic:spPr>
                </pic:pic>
              </a:graphicData>
            </a:graphic>
          </wp:anchor>
        </w:drawing>
      </w:r>
    </w:p>
    <w:p>
      <w:pPr>
        <w:spacing w:after="0" w:line="16" w:lineRule="exact"/>
        <w:rPr>
          <w:sz w:val="20"/>
          <w:szCs w:val="20"/>
          <w:color w:val="auto"/>
        </w:rPr>
      </w:pPr>
    </w:p>
    <w:p>
      <w:pPr>
        <w:jc w:val="right"/>
        <w:ind w:right="60"/>
        <w:spacing w:after="0"/>
        <w:rPr>
          <w:sz w:val="20"/>
          <w:szCs w:val="20"/>
          <w:color w:val="auto"/>
        </w:rPr>
      </w:pPr>
      <w:r>
        <w:rPr>
          <w:rFonts w:ascii="Arial" w:cs="Arial" w:eastAsia="Arial" w:hAnsi="Arial"/>
          <w:sz w:val="18"/>
          <w:szCs w:val="18"/>
          <w:color w:val="auto"/>
        </w:rPr>
        <w:t>451,929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61722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17220" cy="8890"/>
                    </a:xfrm>
                    <a:prstGeom prst="rect">
                      <a:avLst/>
                    </a:prstGeom>
                    <a:noFill/>
                  </pic:spPr>
                </pic:pic>
              </a:graphicData>
            </a:graphic>
          </wp:anchor>
        </w:drawing>
      </w:r>
    </w:p>
    <w:p>
      <w:pPr>
        <w:spacing w:after="0" w:line="16" w:lineRule="exact"/>
        <w:rPr>
          <w:sz w:val="20"/>
          <w:szCs w:val="20"/>
          <w:color w:val="auto"/>
        </w:rPr>
      </w:pPr>
    </w:p>
    <w:p>
      <w:pPr>
        <w:jc w:val="right"/>
        <w:ind w:right="60"/>
        <w:spacing w:after="0"/>
        <w:rPr>
          <w:sz w:val="20"/>
          <w:szCs w:val="20"/>
          <w:color w:val="auto"/>
        </w:rPr>
      </w:pPr>
      <w:r>
        <w:rPr>
          <w:rFonts w:ascii="Arial" w:cs="Arial" w:eastAsia="Arial" w:hAnsi="Arial"/>
          <w:sz w:val="18"/>
          <w:szCs w:val="18"/>
          <w:color w:val="auto"/>
        </w:rPr>
        <w:t>10,077,965</w:t>
      </w:r>
    </w:p>
    <w:p>
      <w:pPr>
        <w:spacing w:after="0" w:line="117" w:lineRule="exact"/>
        <w:rPr>
          <w:sz w:val="20"/>
          <w:szCs w:val="20"/>
          <w:color w:val="auto"/>
        </w:rPr>
      </w:pPr>
    </w:p>
    <w:p>
      <w:pPr>
        <w:ind w:left="260"/>
        <w:spacing w:after="0"/>
        <w:rPr>
          <w:sz w:val="20"/>
          <w:szCs w:val="20"/>
          <w:color w:val="auto"/>
        </w:rPr>
      </w:pPr>
      <w:r>
        <w:rPr>
          <w:rFonts w:ascii="Arial" w:cs="Arial" w:eastAsia="Arial" w:hAnsi="Arial"/>
          <w:sz w:val="17"/>
          <w:szCs w:val="17"/>
          <w:color w:val="auto"/>
        </w:rPr>
        <w:t>5,827,420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22225</wp:posOffset>
            </wp:positionV>
            <wp:extent cx="61722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17220" cy="8890"/>
                    </a:xfrm>
                    <a:prstGeom prst="rect">
                      <a:avLst/>
                    </a:prstGeom>
                    <a:noFill/>
                  </pic:spPr>
                </pic:pic>
              </a:graphicData>
            </a:graphic>
          </wp:anchor>
        </w:drawing>
      </w:r>
    </w:p>
    <w:p>
      <w:pPr>
        <w:spacing w:after="0" w:line="28"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$ 15,905,385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39370</wp:posOffset>
            </wp:positionV>
            <wp:extent cx="61722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17220" cy="8890"/>
                    </a:xfrm>
                    <a:prstGeom prst="rect">
                      <a:avLst/>
                    </a:prstGeom>
                    <a:noFill/>
                  </pic:spPr>
                </pic:pic>
              </a:graphicData>
            </a:graphic>
          </wp:anchor>
        </w:drawing>
      </w:r>
    </w:p>
    <w:p>
      <w:pPr>
        <w:sectPr>
          <w:pgSz w:w="11900" w:h="16838" w:orient="portrait"/>
          <w:cols w:equalWidth="0" w:num="2">
            <w:col w:w="9620" w:space="720"/>
            <w:col w:w="1040"/>
          </w:cols>
          <w:pgMar w:left="240" w:top="270" w:right="279" w:bottom="1440" w:gutter="0" w:footer="0" w:header="0"/>
        </w:sectPr>
      </w:pPr>
    </w:p>
    <w:bookmarkStart w:id="14" w:name="page15"/>
    <w:bookmarkEnd w:id="14"/>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PMG Intermediate Holding Corporation and Subsidiaries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206375</wp:posOffset>
            </wp:positionV>
            <wp:extent cx="724662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Nature of Business, Principles of Consolidation and Significant Accounting Policies</w:t>
      </w:r>
    </w:p>
    <w:p>
      <w:pPr>
        <w:spacing w:after="0" w:line="117" w:lineRule="exact"/>
        <w:rPr>
          <w:sz w:val="20"/>
          <w:szCs w:val="20"/>
          <w:color w:val="auto"/>
        </w:rPr>
      </w:pPr>
    </w:p>
    <w:p>
      <w:pPr>
        <w:spacing w:after="0" w:line="273" w:lineRule="auto"/>
        <w:rPr>
          <w:sz w:val="20"/>
          <w:szCs w:val="20"/>
          <w:color w:val="auto"/>
        </w:rPr>
      </w:pPr>
      <w:r>
        <w:rPr>
          <w:rFonts w:ascii="Arial" w:cs="Arial" w:eastAsia="Arial" w:hAnsi="Arial"/>
          <w:sz w:val="17"/>
          <w:szCs w:val="17"/>
          <w:b w:val="1"/>
          <w:bCs w:val="1"/>
          <w:color w:val="auto"/>
        </w:rPr>
        <w:t xml:space="preserve">Nature of business: </w:t>
      </w:r>
      <w:r>
        <w:rPr>
          <w:rFonts w:ascii="Arial" w:cs="Arial" w:eastAsia="Arial" w:hAnsi="Arial"/>
          <w:sz w:val="17"/>
          <w:szCs w:val="17"/>
          <w:color w:val="auto"/>
        </w:rPr>
        <w:t>PMG Intermediate Holding Corporation (“Intermediate”) and PMG Acquisition Corporation (“PMG”) were formed in 2013 to effect the</w:t>
      </w:r>
      <w:r>
        <w:rPr>
          <w:rFonts w:ascii="Arial" w:cs="Arial" w:eastAsia="Arial" w:hAnsi="Arial"/>
          <w:sz w:val="17"/>
          <w:szCs w:val="17"/>
          <w:b w:val="1"/>
          <w:bCs w:val="1"/>
          <w:color w:val="auto"/>
        </w:rPr>
        <w:t xml:space="preserve"> </w:t>
      </w:r>
      <w:r>
        <w:rPr>
          <w:rFonts w:ascii="Arial" w:cs="Arial" w:eastAsia="Arial" w:hAnsi="Arial"/>
          <w:sz w:val="17"/>
          <w:szCs w:val="17"/>
          <w:color w:val="auto"/>
        </w:rPr>
        <w:t>acquisition of PMG’s wholly owned subsidiary, Paragon Medical, Inc., and its subsidiaries (collectively the “Company”). The Company is a worldwide supplier of surgical instrument delivery systems, surgical instrumentation, implantable components and design and development services to the medical device marketplace. The Company provides a wide range of services and innovative solutions to support the strategic needs of its customers through its multiple offices and production facilities in the United States, Switzerland, China, and Poland. Sales of surgical instrumentation and implantable components accounts for approximately 67 percent of total revenue, and surgical instrument delivery systems account for approximately 33 percent of the revenue. The Company’s foreign subsidiaries account for approximately 22 percent of total net revenue.</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color w:val="auto"/>
        </w:rPr>
        <w:t>The Company is a wholly-owned subsidiary of Paragon Equity, LLC (“Parent”).</w:t>
      </w:r>
    </w:p>
    <w:p>
      <w:pPr>
        <w:spacing w:after="0" w:line="221" w:lineRule="exact"/>
        <w:rPr>
          <w:sz w:val="20"/>
          <w:szCs w:val="20"/>
          <w:color w:val="auto"/>
        </w:rPr>
      </w:pPr>
    </w:p>
    <w:p>
      <w:pPr>
        <w:ind w:right="220"/>
        <w:spacing w:after="0" w:line="282" w:lineRule="auto"/>
        <w:rPr>
          <w:sz w:val="20"/>
          <w:szCs w:val="20"/>
          <w:color w:val="auto"/>
        </w:rPr>
      </w:pPr>
      <w:r>
        <w:rPr>
          <w:rFonts w:ascii="Arial" w:cs="Arial" w:eastAsia="Arial" w:hAnsi="Arial"/>
          <w:sz w:val="18"/>
          <w:szCs w:val="18"/>
          <w:b w:val="1"/>
          <w:bCs w:val="1"/>
          <w:color w:val="auto"/>
        </w:rPr>
        <w:t xml:space="preserve">Principles of consolidation: </w:t>
      </w:r>
      <w:r>
        <w:rPr>
          <w:rFonts w:ascii="Arial" w:cs="Arial" w:eastAsia="Arial" w:hAnsi="Arial"/>
          <w:sz w:val="18"/>
          <w:szCs w:val="18"/>
          <w:color w:val="auto"/>
        </w:rPr>
        <w:t>The consolidated financial statements include the accounts of all subsidiaries of the Company. All intercompany transactions</w:t>
      </w:r>
      <w:r>
        <w:rPr>
          <w:rFonts w:ascii="Arial" w:cs="Arial" w:eastAsia="Arial" w:hAnsi="Arial"/>
          <w:sz w:val="18"/>
          <w:szCs w:val="18"/>
          <w:b w:val="1"/>
          <w:bCs w:val="1"/>
          <w:color w:val="auto"/>
        </w:rPr>
        <w:t xml:space="preserve"> </w:t>
      </w:r>
      <w:r>
        <w:rPr>
          <w:rFonts w:ascii="Arial" w:cs="Arial" w:eastAsia="Arial" w:hAnsi="Arial"/>
          <w:sz w:val="18"/>
          <w:szCs w:val="18"/>
          <w:color w:val="auto"/>
        </w:rPr>
        <w:t>and balances are eliminated in consolidation.</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Significant accounting policies:</w:t>
      </w:r>
    </w:p>
    <w:p>
      <w:pPr>
        <w:spacing w:after="0" w:line="117" w:lineRule="exact"/>
        <w:rPr>
          <w:sz w:val="20"/>
          <w:szCs w:val="20"/>
          <w:color w:val="auto"/>
        </w:rPr>
      </w:pPr>
    </w:p>
    <w:p>
      <w:pPr>
        <w:ind w:right="440"/>
        <w:spacing w:after="0" w:line="313" w:lineRule="auto"/>
        <w:rPr>
          <w:sz w:val="20"/>
          <w:szCs w:val="20"/>
          <w:color w:val="auto"/>
        </w:rPr>
      </w:pPr>
      <w:r>
        <w:rPr>
          <w:rFonts w:ascii="Arial" w:cs="Arial" w:eastAsia="Arial" w:hAnsi="Arial"/>
          <w:sz w:val="17"/>
          <w:szCs w:val="17"/>
          <w:b w:val="1"/>
          <w:bCs w:val="1"/>
          <w:color w:val="auto"/>
        </w:rPr>
        <w:t xml:space="preserve">Use of estimates: </w:t>
      </w:r>
      <w:r>
        <w:rPr>
          <w:rFonts w:ascii="Arial" w:cs="Arial" w:eastAsia="Arial" w:hAnsi="Arial"/>
          <w:sz w:val="17"/>
          <w:szCs w:val="17"/>
          <w:color w:val="auto"/>
        </w:rPr>
        <w:t>Preparation of the consolidated financial statements requires management to make estimates and assumptions that affect the amounts</w:t>
      </w:r>
      <w:r>
        <w:rPr>
          <w:rFonts w:ascii="Arial" w:cs="Arial" w:eastAsia="Arial" w:hAnsi="Arial"/>
          <w:sz w:val="17"/>
          <w:szCs w:val="17"/>
          <w:b w:val="1"/>
          <w:bCs w:val="1"/>
          <w:color w:val="auto"/>
        </w:rPr>
        <w:t xml:space="preserve"> </w:t>
      </w:r>
      <w:r>
        <w:rPr>
          <w:rFonts w:ascii="Arial" w:cs="Arial" w:eastAsia="Arial" w:hAnsi="Arial"/>
          <w:sz w:val="17"/>
          <w:szCs w:val="17"/>
          <w:color w:val="auto"/>
        </w:rPr>
        <w:t>reported in the consolidated financial statements and accompanying notes. Actual results could differ from those estimates.</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Cash: </w:t>
      </w:r>
      <w:r>
        <w:rPr>
          <w:rFonts w:ascii="Arial" w:cs="Arial" w:eastAsia="Arial" w:hAnsi="Arial"/>
          <w:sz w:val="18"/>
          <w:szCs w:val="18"/>
          <w:color w:val="auto"/>
        </w:rPr>
        <w:t>The Company maintains its cash in bank deposit accounts which, at times, may exceed federally insured limits.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Company also maintains cash in foreign bank accounts totaling approximately $7,797,000.</w:t>
      </w:r>
    </w:p>
    <w:p>
      <w:pPr>
        <w:spacing w:after="0" w:line="221" w:lineRule="exact"/>
        <w:rPr>
          <w:sz w:val="20"/>
          <w:szCs w:val="20"/>
          <w:color w:val="auto"/>
        </w:rPr>
      </w:pPr>
    </w:p>
    <w:p>
      <w:pPr>
        <w:jc w:val="both"/>
        <w:ind w:right="140"/>
        <w:spacing w:after="0" w:line="289" w:lineRule="auto"/>
        <w:rPr>
          <w:sz w:val="20"/>
          <w:szCs w:val="20"/>
          <w:color w:val="auto"/>
        </w:rPr>
      </w:pPr>
      <w:r>
        <w:rPr>
          <w:rFonts w:ascii="Arial" w:cs="Arial" w:eastAsia="Arial" w:hAnsi="Arial"/>
          <w:sz w:val="17"/>
          <w:szCs w:val="17"/>
          <w:b w:val="1"/>
          <w:bCs w:val="1"/>
          <w:color w:val="auto"/>
        </w:rPr>
        <w:t xml:space="preserve">Trade receivables: </w:t>
      </w:r>
      <w:r>
        <w:rPr>
          <w:rFonts w:ascii="Arial" w:cs="Arial" w:eastAsia="Arial" w:hAnsi="Arial"/>
          <w:sz w:val="17"/>
          <w:szCs w:val="17"/>
          <w:color w:val="auto"/>
        </w:rPr>
        <w:t>Receivables are recorded at their invoice amounts adjusted for any charge-offs and the allowance for doubtful accounts. The Company</w:t>
      </w:r>
      <w:r>
        <w:rPr>
          <w:rFonts w:ascii="Arial" w:cs="Arial" w:eastAsia="Arial" w:hAnsi="Arial"/>
          <w:sz w:val="17"/>
          <w:szCs w:val="17"/>
          <w:b w:val="1"/>
          <w:bCs w:val="1"/>
          <w:color w:val="auto"/>
        </w:rPr>
        <w:t xml:space="preserve"> </w:t>
      </w:r>
      <w:r>
        <w:rPr>
          <w:rFonts w:ascii="Arial" w:cs="Arial" w:eastAsia="Arial" w:hAnsi="Arial"/>
          <w:sz w:val="17"/>
          <w:szCs w:val="17"/>
          <w:color w:val="auto"/>
        </w:rPr>
        <w:t>evaluates the credit worthiness of its customers on a periodic basis. The allowance for doubtful accounts was $50,000 at December 31, 2017. The Company generally does not require collateral. Accounts are considered past due based on their individual invoice terms.</w:t>
      </w:r>
    </w:p>
    <w:p>
      <w:pPr>
        <w:spacing w:after="0" w:line="162" w:lineRule="exact"/>
        <w:rPr>
          <w:sz w:val="20"/>
          <w:szCs w:val="20"/>
          <w:color w:val="auto"/>
        </w:rPr>
      </w:pPr>
    </w:p>
    <w:p>
      <w:pPr>
        <w:ind w:right="340"/>
        <w:spacing w:after="0" w:line="276" w:lineRule="auto"/>
        <w:rPr>
          <w:sz w:val="20"/>
          <w:szCs w:val="20"/>
          <w:color w:val="auto"/>
        </w:rPr>
      </w:pPr>
      <w:r>
        <w:rPr>
          <w:rFonts w:ascii="Arial" w:cs="Arial" w:eastAsia="Arial" w:hAnsi="Arial"/>
          <w:sz w:val="17"/>
          <w:szCs w:val="17"/>
          <w:color w:val="auto"/>
        </w:rPr>
        <w:t>The allowance for doubtful accounts is maintained at a level, which, in management’s judgment, is adequate to absorb potential losses inherent in the accounts receivable. The amount of the allowance is based on management’s evaluation of the collectability of the accounts, including the credit concentrations, trends in historical loss experience, specific uncollectable accounts receivable, and economic conditions. The allowance is increased by a provision for bad debts, which is charged to expense. Write-offs are charged against the allowance when management believes the uncollectability of an account is confirmed. Subsequent recoveries, if any, are credited to the allowance.</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Inventories: </w:t>
      </w:r>
      <w:r>
        <w:rPr>
          <w:rFonts w:ascii="Arial" w:cs="Arial" w:eastAsia="Arial" w:hAnsi="Arial"/>
          <w:sz w:val="18"/>
          <w:szCs w:val="18"/>
          <w:color w:val="auto"/>
        </w:rPr>
        <w:t>Inventories are stated at the lower of cost or net realizable value. Cost is determined on the first-in, first-out method.</w:t>
      </w:r>
    </w:p>
    <w:p>
      <w:pPr>
        <w:spacing w:after="0" w:line="162"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360"/>
          </w:cols>
          <w:pgMar w:left="240" w:top="270" w:right="299" w:bottom="1440" w:gutter="0" w:footer="0" w:header="0"/>
        </w:sectPr>
      </w:pPr>
    </w:p>
    <w:bookmarkStart w:id="15" w:name="page16"/>
    <w:bookmarkEnd w:id="15"/>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PMG Intermediate Holding Corporation and Subsidiaries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206375</wp:posOffset>
            </wp:positionV>
            <wp:extent cx="724662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ind w:right="80"/>
        <w:spacing w:after="0" w:line="261" w:lineRule="auto"/>
        <w:rPr>
          <w:sz w:val="20"/>
          <w:szCs w:val="20"/>
          <w:color w:val="auto"/>
        </w:rPr>
      </w:pPr>
      <w:r>
        <w:rPr>
          <w:rFonts w:ascii="Arial" w:cs="Arial" w:eastAsia="Arial" w:hAnsi="Arial"/>
          <w:sz w:val="18"/>
          <w:szCs w:val="18"/>
          <w:b w:val="1"/>
          <w:bCs w:val="1"/>
          <w:color w:val="auto"/>
        </w:rPr>
        <w:t xml:space="preserve">Property, equipment and leasehold improvements: </w:t>
      </w:r>
      <w:r>
        <w:rPr>
          <w:rFonts w:ascii="Arial" w:cs="Arial" w:eastAsia="Arial" w:hAnsi="Arial"/>
          <w:sz w:val="18"/>
          <w:szCs w:val="18"/>
          <w:color w:val="auto"/>
        </w:rPr>
        <w:t>Property, equipment and leasehold improvements are stated at cost. Depreciation on leasehold</w:t>
      </w:r>
      <w:r>
        <w:rPr>
          <w:rFonts w:ascii="Arial" w:cs="Arial" w:eastAsia="Arial" w:hAnsi="Arial"/>
          <w:sz w:val="18"/>
          <w:szCs w:val="18"/>
          <w:b w:val="1"/>
          <w:bCs w:val="1"/>
          <w:color w:val="auto"/>
        </w:rPr>
        <w:t xml:space="preserve"> </w:t>
      </w:r>
      <w:r>
        <w:rPr>
          <w:rFonts w:ascii="Arial" w:cs="Arial" w:eastAsia="Arial" w:hAnsi="Arial"/>
          <w:sz w:val="18"/>
          <w:szCs w:val="18"/>
          <w:color w:val="auto"/>
        </w:rPr>
        <w:t>improvements and assets acquired under capital leases is over the lesser of the estimated useful life or the remaining lease term. Depreciation expense on assets acquired under capital leases is included with depreciation on owned assets. Depreciation on buildings and equipment is computed on the straight-line method over the following estimated useful lives:</w:t>
      </w:r>
    </w:p>
    <w:p>
      <w:pPr>
        <w:spacing w:after="0" w:line="207" w:lineRule="exact"/>
        <w:rPr>
          <w:sz w:val="20"/>
          <w:szCs w:val="20"/>
          <w:color w:val="auto"/>
        </w:rPr>
      </w:pPr>
    </w:p>
    <w:tbl>
      <w:tblPr>
        <w:tblLayout w:type="fixed"/>
        <w:tblInd w:w="1840" w:type="dxa"/>
        <w:tblCellMar>
          <w:top w:w="0" w:type="dxa"/>
          <w:left w:w="0" w:type="dxa"/>
          <w:bottom w:w="0" w:type="dxa"/>
          <w:right w:w="0" w:type="dxa"/>
        </w:tblCellMar>
      </w:tblPr>
      <w:tr>
        <w:trPr>
          <w:trHeight w:val="167"/>
        </w:trPr>
        <w:tc>
          <w:tcPr>
            <w:tcW w:w="4640" w:type="dxa"/>
            <w:vAlign w:val="bottom"/>
          </w:tcPr>
          <w:p>
            <w:pPr>
              <w:spacing w:after="0"/>
              <w:rPr>
                <w:sz w:val="14"/>
                <w:szCs w:val="14"/>
                <w:color w:val="auto"/>
              </w:rPr>
            </w:pPr>
          </w:p>
        </w:tc>
        <w:tc>
          <w:tcPr>
            <w:tcW w:w="3120" w:type="dxa"/>
            <w:vAlign w:val="bottom"/>
            <w:gridSpan w:val="3"/>
          </w:tcPr>
          <w:p>
            <w:pPr>
              <w:ind w:left="2740"/>
              <w:spacing w:after="0"/>
              <w:rPr>
                <w:sz w:val="20"/>
                <w:szCs w:val="20"/>
                <w:color w:val="auto"/>
              </w:rPr>
            </w:pPr>
            <w:r>
              <w:rPr>
                <w:rFonts w:ascii="Arial" w:cs="Arial" w:eastAsia="Arial" w:hAnsi="Arial"/>
                <w:sz w:val="14"/>
                <w:szCs w:val="14"/>
                <w:color w:val="auto"/>
                <w:w w:val="98"/>
              </w:rPr>
              <w:t>Years</w:t>
            </w:r>
          </w:p>
        </w:tc>
      </w:tr>
      <w:tr>
        <w:trPr>
          <w:trHeight w:val="210"/>
        </w:trPr>
        <w:tc>
          <w:tcPr>
            <w:tcW w:w="46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Building</w:t>
            </w:r>
          </w:p>
        </w:tc>
        <w:tc>
          <w:tcPr>
            <w:tcW w:w="274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4640" w:type="dxa"/>
            <w:vAlign w:val="bottom"/>
          </w:tcPr>
          <w:p>
            <w:pPr>
              <w:spacing w:after="0"/>
              <w:rPr>
                <w:sz w:val="20"/>
                <w:szCs w:val="20"/>
                <w:color w:val="auto"/>
              </w:rPr>
            </w:pPr>
            <w:r>
              <w:rPr>
                <w:rFonts w:ascii="Arial" w:cs="Arial" w:eastAsia="Arial" w:hAnsi="Arial"/>
                <w:sz w:val="18"/>
                <w:szCs w:val="18"/>
                <w:color w:val="auto"/>
              </w:rPr>
              <w:t>Machinery and equipment</w:t>
            </w:r>
          </w:p>
        </w:tc>
        <w:tc>
          <w:tcPr>
            <w:tcW w:w="3060" w:type="dxa"/>
            <w:vAlign w:val="bottom"/>
            <w:gridSpan w:val="2"/>
          </w:tcPr>
          <w:p>
            <w:pPr>
              <w:jc w:val="right"/>
              <w:spacing w:after="0"/>
              <w:rPr>
                <w:sz w:val="20"/>
                <w:szCs w:val="20"/>
                <w:color w:val="auto"/>
              </w:rPr>
            </w:pPr>
            <w:r>
              <w:rPr>
                <w:rFonts w:ascii="Arial" w:cs="Arial" w:eastAsia="Arial" w:hAnsi="Arial"/>
                <w:sz w:val="18"/>
                <w:szCs w:val="18"/>
                <w:color w:val="auto"/>
              </w:rPr>
              <w:t>2-7</w:t>
            </w:r>
          </w:p>
        </w:tc>
        <w:tc>
          <w:tcPr>
            <w:tcW w:w="60" w:type="dxa"/>
            <w:vAlign w:val="bottom"/>
          </w:tcPr>
          <w:p>
            <w:pPr>
              <w:spacing w:after="0"/>
              <w:rPr>
                <w:sz w:val="18"/>
                <w:szCs w:val="18"/>
                <w:color w:val="auto"/>
              </w:rPr>
            </w:pPr>
          </w:p>
        </w:tc>
      </w:tr>
      <w:tr>
        <w:trPr>
          <w:trHeight w:val="216"/>
        </w:trPr>
        <w:tc>
          <w:tcPr>
            <w:tcW w:w="4640" w:type="dxa"/>
            <w:vAlign w:val="bottom"/>
            <w:shd w:val="clear" w:color="auto" w:fill="CCEEFF"/>
          </w:tcPr>
          <w:p>
            <w:pPr>
              <w:spacing w:after="0"/>
              <w:rPr>
                <w:sz w:val="20"/>
                <w:szCs w:val="20"/>
                <w:color w:val="auto"/>
              </w:rPr>
            </w:pPr>
            <w:r>
              <w:rPr>
                <w:rFonts w:ascii="Arial" w:cs="Arial" w:eastAsia="Arial" w:hAnsi="Arial"/>
                <w:sz w:val="18"/>
                <w:szCs w:val="18"/>
                <w:color w:val="auto"/>
              </w:rPr>
              <w:t>Furniture and fixtures</w:t>
            </w:r>
          </w:p>
        </w:tc>
        <w:tc>
          <w:tcPr>
            <w:tcW w:w="3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60" w:type="dxa"/>
            <w:vAlign w:val="bottom"/>
            <w:shd w:val="clear" w:color="auto" w:fill="CCEEFF"/>
          </w:tcPr>
          <w:p>
            <w:pPr>
              <w:spacing w:after="0"/>
              <w:rPr>
                <w:sz w:val="18"/>
                <w:szCs w:val="18"/>
                <w:color w:val="auto"/>
              </w:rPr>
            </w:pPr>
          </w:p>
        </w:tc>
      </w:tr>
      <w:tr>
        <w:trPr>
          <w:trHeight w:val="230"/>
        </w:trPr>
        <w:tc>
          <w:tcPr>
            <w:tcW w:w="4640" w:type="dxa"/>
            <w:vAlign w:val="bottom"/>
          </w:tcPr>
          <w:p>
            <w:pPr>
              <w:spacing w:after="0"/>
              <w:rPr>
                <w:sz w:val="20"/>
                <w:szCs w:val="20"/>
                <w:color w:val="auto"/>
              </w:rPr>
            </w:pPr>
            <w:r>
              <w:rPr>
                <w:rFonts w:ascii="Arial" w:cs="Arial" w:eastAsia="Arial" w:hAnsi="Arial"/>
                <w:sz w:val="18"/>
                <w:szCs w:val="18"/>
                <w:color w:val="auto"/>
              </w:rPr>
              <w:t>Computer equipment</w:t>
            </w:r>
          </w:p>
        </w:tc>
        <w:tc>
          <w:tcPr>
            <w:tcW w:w="3060" w:type="dxa"/>
            <w:vAlign w:val="bottom"/>
            <w:gridSpan w:val="2"/>
          </w:tcPr>
          <w:p>
            <w:pPr>
              <w:jc w:val="right"/>
              <w:spacing w:after="0"/>
              <w:rPr>
                <w:sz w:val="20"/>
                <w:szCs w:val="20"/>
                <w:color w:val="auto"/>
              </w:rPr>
            </w:pPr>
            <w:r>
              <w:rPr>
                <w:rFonts w:ascii="Arial" w:cs="Arial" w:eastAsia="Arial" w:hAnsi="Arial"/>
                <w:sz w:val="18"/>
                <w:szCs w:val="18"/>
                <w:color w:val="auto"/>
              </w:rPr>
              <w:t>3-5</w:t>
            </w:r>
          </w:p>
        </w:tc>
        <w:tc>
          <w:tcPr>
            <w:tcW w:w="60" w:type="dxa"/>
            <w:vAlign w:val="bottom"/>
          </w:tcPr>
          <w:p>
            <w:pPr>
              <w:spacing w:after="0"/>
              <w:rPr>
                <w:sz w:val="20"/>
                <w:szCs w:val="20"/>
                <w:color w:val="auto"/>
              </w:rPr>
            </w:pPr>
          </w:p>
        </w:tc>
      </w:tr>
    </w:tbl>
    <w:p>
      <w:pPr>
        <w:spacing w:after="0" w:line="183" w:lineRule="exact"/>
        <w:rPr>
          <w:sz w:val="20"/>
          <w:szCs w:val="20"/>
          <w:color w:val="auto"/>
        </w:rPr>
      </w:pPr>
    </w:p>
    <w:p>
      <w:pPr>
        <w:ind w:right="100"/>
        <w:spacing w:after="0" w:line="261" w:lineRule="auto"/>
        <w:rPr>
          <w:sz w:val="20"/>
          <w:szCs w:val="20"/>
          <w:color w:val="auto"/>
        </w:rPr>
      </w:pPr>
      <w:r>
        <w:rPr>
          <w:rFonts w:ascii="Arial" w:cs="Arial" w:eastAsia="Arial" w:hAnsi="Arial"/>
          <w:sz w:val="18"/>
          <w:szCs w:val="18"/>
          <w:b w:val="1"/>
          <w:bCs w:val="1"/>
          <w:color w:val="auto"/>
        </w:rPr>
        <w:t xml:space="preserve">Revenue recognition: </w:t>
      </w:r>
      <w:r>
        <w:rPr>
          <w:rFonts w:ascii="Arial" w:cs="Arial" w:eastAsia="Arial" w:hAnsi="Arial"/>
          <w:sz w:val="18"/>
          <w:szCs w:val="18"/>
          <w:color w:val="auto"/>
        </w:rPr>
        <w:t>The Company recognizes revenue from sales of products when title passes to the customer and collectability is reasonably assured.</w:t>
      </w:r>
      <w:r>
        <w:rPr>
          <w:rFonts w:ascii="Arial" w:cs="Arial" w:eastAsia="Arial" w:hAnsi="Arial"/>
          <w:sz w:val="18"/>
          <w:szCs w:val="18"/>
          <w:b w:val="1"/>
          <w:bCs w:val="1"/>
          <w:color w:val="auto"/>
        </w:rPr>
        <w:t xml:space="preserve"> </w:t>
      </w:r>
      <w:r>
        <w:rPr>
          <w:rFonts w:ascii="Arial" w:cs="Arial" w:eastAsia="Arial" w:hAnsi="Arial"/>
          <w:sz w:val="18"/>
          <w:szCs w:val="18"/>
          <w:color w:val="auto"/>
        </w:rPr>
        <w:t>The Company estimates and recognizes sales returns and discounts as a reduction in net sales in the same period that the sale is recognized. Revenue related to product development services is recognized on an as earned basis. For payments received in advance of the provision of development services, these amounts are recorded as deferred income.</w:t>
      </w:r>
    </w:p>
    <w:p>
      <w:pPr>
        <w:spacing w:after="0" w:line="180" w:lineRule="exact"/>
        <w:rPr>
          <w:sz w:val="20"/>
          <w:szCs w:val="20"/>
          <w:color w:val="auto"/>
        </w:rPr>
      </w:pPr>
    </w:p>
    <w:p>
      <w:pPr>
        <w:ind w:right="60"/>
        <w:spacing w:after="0" w:line="292" w:lineRule="auto"/>
        <w:rPr>
          <w:sz w:val="20"/>
          <w:szCs w:val="20"/>
          <w:color w:val="auto"/>
        </w:rPr>
      </w:pPr>
      <w:r>
        <w:rPr>
          <w:rFonts w:ascii="Arial" w:cs="Arial" w:eastAsia="Arial" w:hAnsi="Arial"/>
          <w:sz w:val="16"/>
          <w:szCs w:val="16"/>
          <w:b w:val="1"/>
          <w:bCs w:val="1"/>
          <w:color w:val="auto"/>
        </w:rPr>
        <w:t xml:space="preserve">Goodwill: </w:t>
      </w:r>
      <w:r>
        <w:rPr>
          <w:rFonts w:ascii="Arial" w:cs="Arial" w:eastAsia="Arial" w:hAnsi="Arial"/>
          <w:sz w:val="16"/>
          <w:szCs w:val="16"/>
          <w:color w:val="auto"/>
        </w:rPr>
        <w:t>The Company assesses goodwill for impairment annually on December 31 of each year as well as when an event triggering impairment may have</w:t>
      </w:r>
      <w:r>
        <w:rPr>
          <w:rFonts w:ascii="Arial" w:cs="Arial" w:eastAsia="Arial" w:hAnsi="Arial"/>
          <w:sz w:val="16"/>
          <w:szCs w:val="16"/>
          <w:b w:val="1"/>
          <w:bCs w:val="1"/>
          <w:color w:val="auto"/>
        </w:rPr>
        <w:t xml:space="preserve"> </w:t>
      </w:r>
      <w:r>
        <w:rPr>
          <w:rFonts w:ascii="Arial" w:cs="Arial" w:eastAsia="Arial" w:hAnsi="Arial"/>
          <w:sz w:val="16"/>
          <w:szCs w:val="16"/>
          <w:color w:val="auto"/>
        </w:rPr>
        <w:t>occurred, by first assessing qualitative factors to determine whether it is more likely than not that the reporting unit’s fair value is less than its carrying amount. If this assessment indicates that fair value of the reporting unit is more likely than not to be less than book value, the Company performs a two-step impairment test. The first step tests for impairment, while the second step, if necessary, measures the impairment. If the fair value of the reporting unit is less than the carrying value of the net assets and related goodwill, the Company performs the second step to determine the amount of impairment loss, if any. Impairment losses, limited to the carrying value of goodwill, represent the excess of the carrying amount of a reporting unit’s goodwill over its implied fair value. Based on the results of the assessment of qualitative factors, the Company concluded that its goodwill was not impaired.</w:t>
      </w:r>
    </w:p>
    <w:p>
      <w:pPr>
        <w:spacing w:after="0" w:line="16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Intangible assets: </w:t>
      </w:r>
      <w:r>
        <w:rPr>
          <w:rFonts w:ascii="Arial" w:cs="Arial" w:eastAsia="Arial" w:hAnsi="Arial"/>
          <w:sz w:val="17"/>
          <w:szCs w:val="17"/>
          <w:color w:val="auto"/>
        </w:rPr>
        <w:t>Amortization of intangible assets is computed by the straight-line method, with no residual value, over their estimated useful lives.</w:t>
      </w:r>
    </w:p>
    <w:p>
      <w:pPr>
        <w:spacing w:after="0" w:line="241"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The Company reviews its long-lived assets periodically to determine potential impairment by comparing the carrying value of the long-lived assets with the estimated future net undiscounted cash flows expected to result from the use of the assets, including cash flows from disposition. Should the sum of the expected future net cash flows be less than the carrying value, the Company would recognize an impairment loss at that date. An impairment loss would be measured by comparing the amount by which the carrying value exceeds the fair value of the long-lived assets. During the year ended December 31, 2017, as a result of its evaluation of long-lived assets, the Company determined no impairment loss was necessary.</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Deferred financing costs: </w:t>
      </w:r>
      <w:r>
        <w:rPr>
          <w:rFonts w:ascii="Arial" w:cs="Arial" w:eastAsia="Arial" w:hAnsi="Arial"/>
          <w:sz w:val="18"/>
          <w:szCs w:val="18"/>
          <w:color w:val="auto"/>
        </w:rPr>
        <w:t>Amortization of deferred financing costs is computed over the term of the related debt.</w:t>
      </w:r>
    </w:p>
    <w:p>
      <w:pPr>
        <w:spacing w:after="0" w:line="225" w:lineRule="exact"/>
        <w:rPr>
          <w:sz w:val="20"/>
          <w:szCs w:val="20"/>
          <w:color w:val="auto"/>
        </w:rPr>
      </w:pPr>
    </w:p>
    <w:p>
      <w:pPr>
        <w:ind w:right="280"/>
        <w:spacing w:after="0" w:line="282" w:lineRule="auto"/>
        <w:rPr>
          <w:sz w:val="20"/>
          <w:szCs w:val="20"/>
          <w:color w:val="auto"/>
        </w:rPr>
      </w:pPr>
      <w:r>
        <w:rPr>
          <w:rFonts w:ascii="Arial" w:cs="Arial" w:eastAsia="Arial" w:hAnsi="Arial"/>
          <w:sz w:val="18"/>
          <w:szCs w:val="18"/>
          <w:b w:val="1"/>
          <w:bCs w:val="1"/>
          <w:color w:val="auto"/>
        </w:rPr>
        <w:t xml:space="preserve">Interest rate cap agreement: </w:t>
      </w:r>
      <w:r>
        <w:rPr>
          <w:rFonts w:ascii="Arial" w:cs="Arial" w:eastAsia="Arial" w:hAnsi="Arial"/>
          <w:sz w:val="18"/>
          <w:szCs w:val="18"/>
          <w:color w:val="auto"/>
        </w:rPr>
        <w:t>The Company accounts for its interest rate cap agreement as either an asset or a liability at its fair value in the consolidated</w:t>
      </w:r>
      <w:r>
        <w:rPr>
          <w:rFonts w:ascii="Arial" w:cs="Arial" w:eastAsia="Arial" w:hAnsi="Arial"/>
          <w:sz w:val="18"/>
          <w:szCs w:val="18"/>
          <w:b w:val="1"/>
          <w:bCs w:val="1"/>
          <w:color w:val="auto"/>
        </w:rPr>
        <w:t xml:space="preserve"> </w:t>
      </w:r>
      <w:r>
        <w:rPr>
          <w:rFonts w:ascii="Arial" w:cs="Arial" w:eastAsia="Arial" w:hAnsi="Arial"/>
          <w:sz w:val="18"/>
          <w:szCs w:val="18"/>
          <w:color w:val="auto"/>
        </w:rPr>
        <w:t>balance sheet with the changes in the fair value reported in current-period earnings.</w:t>
      </w:r>
    </w:p>
    <w:p>
      <w:pPr>
        <w:spacing w:after="0" w:line="162" w:lineRule="exact"/>
        <w:rPr>
          <w:sz w:val="20"/>
          <w:szCs w:val="20"/>
          <w:color w:val="auto"/>
        </w:rPr>
      </w:pPr>
    </w:p>
    <w:p>
      <w:pPr>
        <w:ind w:right="80"/>
        <w:spacing w:after="0" w:line="281" w:lineRule="auto"/>
        <w:rPr>
          <w:sz w:val="20"/>
          <w:szCs w:val="20"/>
          <w:color w:val="auto"/>
        </w:rPr>
      </w:pPr>
      <w:r>
        <w:rPr>
          <w:rFonts w:ascii="Arial" w:cs="Arial" w:eastAsia="Arial" w:hAnsi="Arial"/>
          <w:sz w:val="17"/>
          <w:szCs w:val="17"/>
          <w:b w:val="1"/>
          <w:bCs w:val="1"/>
          <w:color w:val="auto"/>
        </w:rPr>
        <w:t xml:space="preserve">Equity-based compensation: </w:t>
      </w:r>
      <w:r>
        <w:rPr>
          <w:rFonts w:ascii="Arial" w:cs="Arial" w:eastAsia="Arial" w:hAnsi="Arial"/>
          <w:sz w:val="17"/>
          <w:szCs w:val="17"/>
          <w:color w:val="auto"/>
        </w:rPr>
        <w:t>The Company accounts for equity-based payment awards made to employees and directors by measuring and recognizing</w:t>
      </w:r>
      <w:r>
        <w:rPr>
          <w:rFonts w:ascii="Arial" w:cs="Arial" w:eastAsia="Arial" w:hAnsi="Arial"/>
          <w:sz w:val="17"/>
          <w:szCs w:val="17"/>
          <w:b w:val="1"/>
          <w:bCs w:val="1"/>
          <w:color w:val="auto"/>
        </w:rPr>
        <w:t xml:space="preserve"> </w:t>
      </w:r>
      <w:r>
        <w:rPr>
          <w:rFonts w:ascii="Arial" w:cs="Arial" w:eastAsia="Arial" w:hAnsi="Arial"/>
          <w:sz w:val="17"/>
          <w:szCs w:val="17"/>
          <w:color w:val="auto"/>
        </w:rPr>
        <w:t>compensation expense based on estimated fair values. The Company estimates the fair value of equity-based payment awards on the date of grant using an option-pricing model to establish fair value of the equity or liability instruments it issues. The value of the portion of the award that is ultimately expected to vest is recognized as an expense over the requisite service periods in the Company’s consolidated statement of income.</w:t>
      </w:r>
    </w:p>
    <w:p>
      <w:pPr>
        <w:spacing w:after="0" w:line="10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360"/>
          </w:cols>
          <w:pgMar w:left="240" w:top="270" w:right="299" w:bottom="1440" w:gutter="0" w:footer="0" w:header="0"/>
        </w:sectPr>
      </w:pPr>
    </w:p>
    <w:bookmarkStart w:id="16" w:name="page17"/>
    <w:bookmarkEnd w:id="16"/>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PMG Intermediate Holding Corporation and Subsidiaries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206375</wp:posOffset>
            </wp:positionV>
            <wp:extent cx="724662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line="277" w:lineRule="auto"/>
        <w:rPr>
          <w:sz w:val="20"/>
          <w:szCs w:val="20"/>
          <w:color w:val="auto"/>
        </w:rPr>
      </w:pPr>
      <w:r>
        <w:rPr>
          <w:rFonts w:ascii="Arial" w:cs="Arial" w:eastAsia="Arial" w:hAnsi="Arial"/>
          <w:sz w:val="17"/>
          <w:szCs w:val="17"/>
          <w:b w:val="1"/>
          <w:bCs w:val="1"/>
          <w:color w:val="auto"/>
        </w:rPr>
        <w:t xml:space="preserve">Income taxes: </w:t>
      </w:r>
      <w:r>
        <w:rPr>
          <w:rFonts w:ascii="Arial" w:cs="Arial" w:eastAsia="Arial" w:hAnsi="Arial"/>
          <w:sz w:val="17"/>
          <w:szCs w:val="17"/>
          <w:color w:val="auto"/>
        </w:rPr>
        <w:t>Deferred income taxes are provided using the liability method whereby deferred tax assets are recognized for deductible temporary differences</w:t>
      </w:r>
      <w:r>
        <w:rPr>
          <w:rFonts w:ascii="Arial" w:cs="Arial" w:eastAsia="Arial" w:hAnsi="Arial"/>
          <w:sz w:val="17"/>
          <w:szCs w:val="17"/>
          <w:b w:val="1"/>
          <w:bCs w:val="1"/>
          <w:color w:val="auto"/>
        </w:rPr>
        <w:t xml:space="preserve"> </w:t>
      </w:r>
      <w:r>
        <w:rPr>
          <w:rFonts w:ascii="Arial" w:cs="Arial" w:eastAsia="Arial" w:hAnsi="Arial"/>
          <w:sz w:val="17"/>
          <w:szCs w:val="17"/>
          <w:color w:val="auto"/>
        </w:rPr>
        <w:t>and operating loss and tax credit carry forwards and deferred tax liabilities are recognized for taxable temporary differences. Temporary differences are the differences between the reported amounts of assets and liabilities and their tax basis. Deferred tax assets are reduced by a valuation allowance when, in the opinion of management, it is more likely than not that some portion or all of the deferred tax assets will not be realized. Deferred tax assets and liabilities are adjusted for the effects of the changes in tax laws and rates of the date of enactment.</w:t>
      </w:r>
    </w:p>
    <w:p>
      <w:pPr>
        <w:spacing w:after="0" w:line="172"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When tax returns are filed, it is highly certain that some positions taken would be sustained upon examination by the taxing authorities, while others are subject to uncertainty about the merits of the position taken or the amount of the position that would be ultimately sustained. The benefit of a tax position is recognized in the financial statements in the period during which, based on all available evidence, management believes it is more likely than not that the position will be sustained upon examination, including the resolution of appeals or litigation processes, if any. Tax positions taken are not offset or aggregated with other positions. Tax positions that meet the more-likely-than-not recognition threshold are measured as the largest amount of tax benefit that is more than 50 percent likely of being realized upon settlement with the applicable taxing authority. The portion of the benefits associated with tax positions taken that exceeds the amount measured as described above is reflected as a liability for unrecognized tax benefits in the accompanying consolidated balance sheet along with any associated interest and penalties that would be payable to the taxing authorities upon examination. Interest and penalties associated with unrecognized tax benefits are classified as additional income taxes in the consolidated statement of income.</w:t>
      </w:r>
    </w:p>
    <w:p>
      <w:pPr>
        <w:spacing w:after="0" w:line="163" w:lineRule="exact"/>
        <w:rPr>
          <w:sz w:val="20"/>
          <w:szCs w:val="20"/>
          <w:color w:val="auto"/>
        </w:rPr>
      </w:pPr>
    </w:p>
    <w:p>
      <w:pPr>
        <w:ind w:right="600"/>
        <w:spacing w:after="0" w:line="282" w:lineRule="auto"/>
        <w:rPr>
          <w:sz w:val="20"/>
          <w:szCs w:val="20"/>
          <w:color w:val="auto"/>
        </w:rPr>
      </w:pPr>
      <w:r>
        <w:rPr>
          <w:rFonts w:ascii="Arial" w:cs="Arial" w:eastAsia="Arial" w:hAnsi="Arial"/>
          <w:sz w:val="18"/>
          <w:szCs w:val="18"/>
          <w:b w:val="1"/>
          <w:bCs w:val="1"/>
          <w:color w:val="auto"/>
        </w:rPr>
        <w:t xml:space="preserve">Other income: </w:t>
      </w:r>
      <w:r>
        <w:rPr>
          <w:rFonts w:ascii="Arial" w:cs="Arial" w:eastAsia="Arial" w:hAnsi="Arial"/>
          <w:sz w:val="18"/>
          <w:szCs w:val="18"/>
          <w:color w:val="auto"/>
        </w:rPr>
        <w:t>For the year ended December 2017, other income includes approximately $1.2 million from a litigation settlement related to a dispute</w:t>
      </w:r>
      <w:r>
        <w:rPr>
          <w:rFonts w:ascii="Arial" w:cs="Arial" w:eastAsia="Arial" w:hAnsi="Arial"/>
          <w:sz w:val="18"/>
          <w:szCs w:val="18"/>
          <w:b w:val="1"/>
          <w:bCs w:val="1"/>
          <w:color w:val="auto"/>
        </w:rPr>
        <w:t xml:space="preserve"> </w:t>
      </w:r>
      <w:r>
        <w:rPr>
          <w:rFonts w:ascii="Arial" w:cs="Arial" w:eastAsia="Arial" w:hAnsi="Arial"/>
          <w:sz w:val="18"/>
          <w:szCs w:val="18"/>
          <w:color w:val="auto"/>
        </w:rPr>
        <w:t>regarding the assets received from the acquisition of its Polish subsidiary in 2015.</w:t>
      </w:r>
    </w:p>
    <w:p>
      <w:pPr>
        <w:spacing w:after="0" w:line="162" w:lineRule="exact"/>
        <w:rPr>
          <w:sz w:val="20"/>
          <w:szCs w:val="20"/>
          <w:color w:val="auto"/>
        </w:rPr>
      </w:pPr>
    </w:p>
    <w:p>
      <w:pPr>
        <w:ind w:right="120"/>
        <w:spacing w:after="0" w:line="261" w:lineRule="auto"/>
        <w:rPr>
          <w:sz w:val="20"/>
          <w:szCs w:val="20"/>
          <w:color w:val="auto"/>
        </w:rPr>
      </w:pPr>
      <w:r>
        <w:rPr>
          <w:rFonts w:ascii="Arial" w:cs="Arial" w:eastAsia="Arial" w:hAnsi="Arial"/>
          <w:sz w:val="18"/>
          <w:szCs w:val="18"/>
          <w:b w:val="1"/>
          <w:bCs w:val="1"/>
          <w:color w:val="auto"/>
        </w:rPr>
        <w:t xml:space="preserve">Currency exchange transactions and translation: </w:t>
      </w:r>
      <w:r>
        <w:rPr>
          <w:rFonts w:ascii="Arial" w:cs="Arial" w:eastAsia="Arial" w:hAnsi="Arial"/>
          <w:sz w:val="18"/>
          <w:szCs w:val="18"/>
          <w:color w:val="auto"/>
        </w:rPr>
        <w:t>The financial statements of the Company’s foreign subsidiaries are translated into U.S. dollars using the</w:t>
      </w:r>
      <w:r>
        <w:rPr>
          <w:rFonts w:ascii="Arial" w:cs="Arial" w:eastAsia="Arial" w:hAnsi="Arial"/>
          <w:sz w:val="18"/>
          <w:szCs w:val="18"/>
          <w:b w:val="1"/>
          <w:bCs w:val="1"/>
          <w:color w:val="auto"/>
        </w:rPr>
        <w:t xml:space="preserve"> </w:t>
      </w:r>
      <w:r>
        <w:rPr>
          <w:rFonts w:ascii="Arial" w:cs="Arial" w:eastAsia="Arial" w:hAnsi="Arial"/>
          <w:sz w:val="18"/>
          <w:szCs w:val="18"/>
          <w:color w:val="auto"/>
        </w:rPr>
        <w:t>exchange rate at the consolidated balance sheet date for the assets and liabilities, the historical exchange rates for stockholder’s equity and an average exchange rate for the period for net sales, expenses and gains and losses. Translation adjustments are recorded in accumulated other comprehensive income on the consolidated balance sheet.</w:t>
      </w:r>
    </w:p>
    <w:p>
      <w:pPr>
        <w:spacing w:after="0" w:line="184" w:lineRule="exact"/>
        <w:rPr>
          <w:sz w:val="20"/>
          <w:szCs w:val="20"/>
          <w:color w:val="auto"/>
        </w:rPr>
      </w:pPr>
    </w:p>
    <w:p>
      <w:pPr>
        <w:ind w:right="80"/>
        <w:spacing w:after="0" w:line="272" w:lineRule="auto"/>
        <w:rPr>
          <w:sz w:val="20"/>
          <w:szCs w:val="20"/>
          <w:color w:val="auto"/>
        </w:rPr>
      </w:pPr>
      <w:r>
        <w:rPr>
          <w:rFonts w:ascii="Arial" w:cs="Arial" w:eastAsia="Arial" w:hAnsi="Arial"/>
          <w:sz w:val="17"/>
          <w:szCs w:val="17"/>
          <w:color w:val="auto"/>
        </w:rPr>
        <w:t>The functional currency of the Company’s foreign subsidiaries is the same as their local currency, except for Poland whose functional currency is Euros. Foreign subsidiary transactions that are denominated in a foreign currency are translated into the functional currency of the subsidiary at the rate of exchange on the date of the transactions. Any assets/liabilities denominated in a foreign currency are adjusted at each balance sheet date to the rate of exchange at that date. Changes in the relative values of the foreign currency and the functional currency are included in operations each year as currency exchange gains or losses. Substantially all foreign subsidiary transactions are denominated in either the local currency, Euros or U.S. dollars. The Company’s U.S. subsidiaries do not have material transactions denominated in a foreign currency. Exchange gains or losses were not material for any of the years presented and are recognized for income tax purposes only when funds are transferred.</w:t>
      </w:r>
    </w:p>
    <w:p>
      <w:pPr>
        <w:spacing w:after="0" w:line="174" w:lineRule="exact"/>
        <w:rPr>
          <w:sz w:val="20"/>
          <w:szCs w:val="20"/>
          <w:color w:val="auto"/>
        </w:rPr>
      </w:pPr>
    </w:p>
    <w:p>
      <w:pPr>
        <w:ind w:right="120"/>
        <w:spacing w:after="0" w:line="292" w:lineRule="auto"/>
        <w:rPr>
          <w:sz w:val="20"/>
          <w:szCs w:val="20"/>
          <w:color w:val="auto"/>
        </w:rPr>
      </w:pPr>
      <w:r>
        <w:rPr>
          <w:rFonts w:ascii="Arial" w:cs="Arial" w:eastAsia="Arial" w:hAnsi="Arial"/>
          <w:sz w:val="16"/>
          <w:szCs w:val="16"/>
          <w:b w:val="1"/>
          <w:bCs w:val="1"/>
          <w:color w:val="auto"/>
        </w:rPr>
        <w:t xml:space="preserve">Pending accounting pronouncements: </w:t>
      </w:r>
      <w:r>
        <w:rPr>
          <w:rFonts w:ascii="Arial" w:cs="Arial" w:eastAsia="Arial" w:hAnsi="Arial"/>
          <w:sz w:val="16"/>
          <w:szCs w:val="16"/>
          <w:color w:val="auto"/>
        </w:rPr>
        <w:t>In May 2014, the FASB issued Accounting Standards Update No. 2014-09</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Revenue from Contracts with Customers</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(Topic 606)</w:t>
      </w:r>
      <w:r>
        <w:rPr>
          <w:rFonts w:ascii="Arial" w:cs="Arial" w:eastAsia="Arial" w:hAnsi="Arial"/>
          <w:sz w:val="16"/>
          <w:szCs w:val="16"/>
          <w:color w:val="auto"/>
        </w:rPr>
        <w:t>, which outlines a single comprehensive model for entities to use in accounting for revenue arising from contracts with customers. This standard</w:t>
      </w:r>
      <w:r>
        <w:rPr>
          <w:rFonts w:ascii="Arial" w:cs="Arial" w:eastAsia="Arial" w:hAnsi="Arial"/>
          <w:sz w:val="16"/>
          <w:szCs w:val="16"/>
          <w:i w:val="1"/>
          <w:iCs w:val="1"/>
          <w:color w:val="auto"/>
        </w:rPr>
        <w:t xml:space="preserve"> </w:t>
      </w:r>
      <w:r>
        <w:rPr>
          <w:rFonts w:ascii="Arial" w:cs="Arial" w:eastAsia="Arial" w:hAnsi="Arial"/>
          <w:sz w:val="16"/>
          <w:szCs w:val="16"/>
          <w:color w:val="auto"/>
        </w:rPr>
        <w:t>will supersede most current revenue recognition guidance. Under the new standard, entities are required to identify the contract with a customer, identify the separate performance obligations in the contract, determine the transaction price, allocate the transaction price to the separate performance obligations in the contract and recognize the appropriate amount of revenue when (or as) the entity satisfies each performance obligation. The standard is effective for fiscal years beginning on or after December 15, 2018. Entities have the option of using either retrospective transition or a modified approach in applying the new standard. The Company is evaluating the impact the adoption of the new standard will have on the Company’s consolidated financial statements.</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00"/>
          </w:cols>
          <w:pgMar w:left="240" w:top="270" w:right="259" w:bottom="1440" w:gutter="0" w:footer="0" w:header="0"/>
        </w:sectPr>
      </w:pPr>
    </w:p>
    <w:bookmarkStart w:id="17" w:name="page18"/>
    <w:bookmarkEnd w:id="17"/>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PMG Intermediate Holding Corporation and Subsidiaries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206375</wp:posOffset>
            </wp:positionV>
            <wp:extent cx="724662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93" w:lineRule="exact"/>
        <w:rPr>
          <w:sz w:val="20"/>
          <w:szCs w:val="20"/>
          <w:color w:val="auto"/>
        </w:rPr>
      </w:pPr>
    </w:p>
    <w:p>
      <w:pPr>
        <w:ind w:right="140"/>
        <w:spacing w:after="0" w:line="273" w:lineRule="auto"/>
        <w:rPr>
          <w:sz w:val="20"/>
          <w:szCs w:val="20"/>
          <w:color w:val="auto"/>
        </w:rPr>
      </w:pPr>
      <w:r>
        <w:rPr>
          <w:rFonts w:ascii="Arial" w:cs="Arial" w:eastAsia="Arial" w:hAnsi="Arial"/>
          <w:sz w:val="17"/>
          <w:szCs w:val="17"/>
          <w:color w:val="auto"/>
        </w:rPr>
        <w:t xml:space="preserve">In November 2015, the FASB issued ASU 2015-07, </w:t>
      </w:r>
      <w:r>
        <w:rPr>
          <w:rFonts w:ascii="Arial" w:cs="Arial" w:eastAsia="Arial" w:hAnsi="Arial"/>
          <w:sz w:val="17"/>
          <w:szCs w:val="17"/>
          <w:i w:val="1"/>
          <w:iCs w:val="1"/>
          <w:color w:val="auto"/>
        </w:rPr>
        <w:t>Income Taxes (Topic 740): Balance Sheet Classification of Deferred Taxes.</w:t>
      </w:r>
      <w:r>
        <w:rPr>
          <w:rFonts w:ascii="Arial" w:cs="Arial" w:eastAsia="Arial" w:hAnsi="Arial"/>
          <w:sz w:val="17"/>
          <w:szCs w:val="17"/>
          <w:color w:val="auto"/>
        </w:rPr>
        <w:t xml:space="preserve"> This ASU simplifies the presentation of deferred income taxes by eliminating the requirement for entities to separate deferred tax liabilities and assets into current and noncurrent amounts in classified balance sheets. Instead, it requires deferred tax assets and liabilities be classified as noncurrent in the balances sheet. The new standard is effective for financial statements issued for annual periods beginning after December 5, 2017. Early adoption is permitted, and this ASU may be applied either prospectively to all deferred tax liabilities and assets or retrospectively to all periods presented. The Company has not yet selected a transition method and is evaluating the impact of the adoption of this standard on its consolidated financial statements.</w:t>
      </w:r>
    </w:p>
    <w:p>
      <w:pPr>
        <w:spacing w:after="0" w:line="178"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 xml:space="preserve">In February 2016, the FASB issued ASU 2016-02, </w:t>
      </w:r>
      <w:r>
        <w:rPr>
          <w:rFonts w:ascii="Arial" w:cs="Arial" w:eastAsia="Arial" w:hAnsi="Arial"/>
          <w:sz w:val="18"/>
          <w:szCs w:val="18"/>
          <w:i w:val="1"/>
          <w:iCs w:val="1"/>
          <w:color w:val="auto"/>
        </w:rPr>
        <w:t>Leases (Topic 842)</w:t>
      </w:r>
      <w:r>
        <w:rPr>
          <w:rFonts w:ascii="Arial" w:cs="Arial" w:eastAsia="Arial" w:hAnsi="Arial"/>
          <w:sz w:val="18"/>
          <w:szCs w:val="18"/>
          <w:color w:val="auto"/>
        </w:rPr>
        <w:t xml:space="preserve">. The guidance in this ASU supersedes the leasing guidance in Topic 840, </w:t>
      </w:r>
      <w:r>
        <w:rPr>
          <w:rFonts w:ascii="Arial" w:cs="Arial" w:eastAsia="Arial" w:hAnsi="Arial"/>
          <w:sz w:val="18"/>
          <w:szCs w:val="18"/>
          <w:i w:val="1"/>
          <w:iCs w:val="1"/>
          <w:color w:val="auto"/>
        </w:rPr>
        <w:t>Leases</w:t>
      </w:r>
      <w:r>
        <w:rPr>
          <w:rFonts w:ascii="Arial" w:cs="Arial" w:eastAsia="Arial" w:hAnsi="Arial"/>
          <w:sz w:val="18"/>
          <w:szCs w:val="18"/>
          <w:color w:val="auto"/>
        </w:rPr>
        <w:t>. Under the new guidance, lessees are required to recognize lease assets and lease liabilities on the balance sheet for all leases with terms longer than 12 months. Leases will be classified as either finance or operating, with classification affecting the pattern of expense recognition in the income statement. The new standard is effective for fiscal years beginning after December 15, 2019. The Company is evaluating the impact the adoption of the new standard will have on the Company’s consolidated financial statements.</w:t>
      </w:r>
    </w:p>
    <w:p>
      <w:pPr>
        <w:spacing w:after="0" w:line="188"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color w:val="auto"/>
        </w:rPr>
        <w:t xml:space="preserve">In January 2017, the FASB issued ASU 2017-04, </w:t>
      </w:r>
      <w:r>
        <w:rPr>
          <w:rFonts w:ascii="Arial" w:cs="Arial" w:eastAsia="Arial" w:hAnsi="Arial"/>
          <w:sz w:val="16"/>
          <w:szCs w:val="16"/>
          <w:i w:val="1"/>
          <w:iCs w:val="1"/>
          <w:color w:val="auto"/>
        </w:rPr>
        <w:t>Intangibles - Goodwill and Other (Topic 350): Simplifying the Test for Goodwill Impairment</w:t>
      </w:r>
      <w:r>
        <w:rPr>
          <w:rFonts w:ascii="Arial" w:cs="Arial" w:eastAsia="Arial" w:hAnsi="Arial"/>
          <w:sz w:val="16"/>
          <w:szCs w:val="16"/>
          <w:color w:val="auto"/>
        </w:rPr>
        <w:t>. The ASU simplifies the measurement of goodwill impairment by eliminating the requirement that an entity compute the implied fair value of goodwill based on the fair values of its assets and liabilities to measure impairment. Instead, goodwill impairment will be measured as the difference between the fair value of the reporting unit and the carrying value of the reporting unit. The ASU also clarifies the treatment of the income tax effect of tax deductible goodwill when measuring goodwill impairment loss. ASU 2017-04 will be effective for the Company beginning on January 1, 2022. ASU 2017-04 must be applied prospectively with early adoption permitted. The adoption of ASU 2017-04 is not expected to have a material impact on the consolidated financial statements.</w:t>
      </w:r>
    </w:p>
    <w:p>
      <w:pPr>
        <w:spacing w:after="0" w:line="161" w:lineRule="exact"/>
        <w:rPr>
          <w:sz w:val="20"/>
          <w:szCs w:val="20"/>
          <w:color w:val="auto"/>
        </w:rPr>
      </w:pPr>
    </w:p>
    <w:p>
      <w:pPr>
        <w:ind w:right="320"/>
        <w:spacing w:after="0" w:line="282" w:lineRule="auto"/>
        <w:rPr>
          <w:sz w:val="20"/>
          <w:szCs w:val="20"/>
          <w:color w:val="auto"/>
        </w:rPr>
      </w:pPr>
      <w:r>
        <w:rPr>
          <w:rFonts w:ascii="Arial" w:cs="Arial" w:eastAsia="Arial" w:hAnsi="Arial"/>
          <w:sz w:val="18"/>
          <w:szCs w:val="18"/>
          <w:b w:val="1"/>
          <w:bCs w:val="1"/>
          <w:color w:val="auto"/>
        </w:rPr>
        <w:t xml:space="preserve">Fair value of financial instruments: </w:t>
      </w:r>
      <w:r>
        <w:rPr>
          <w:rFonts w:ascii="Arial" w:cs="Arial" w:eastAsia="Arial" w:hAnsi="Arial"/>
          <w:sz w:val="18"/>
          <w:szCs w:val="18"/>
          <w:color w:val="auto"/>
        </w:rPr>
        <w:t>The following methods and assumptions were used to estimate the fair value of financial instruments for which it is</w:t>
      </w:r>
      <w:r>
        <w:rPr>
          <w:rFonts w:ascii="Arial" w:cs="Arial" w:eastAsia="Arial" w:hAnsi="Arial"/>
          <w:sz w:val="18"/>
          <w:szCs w:val="18"/>
          <w:b w:val="1"/>
          <w:bCs w:val="1"/>
          <w:color w:val="auto"/>
        </w:rPr>
        <w:t xml:space="preserve"> </w:t>
      </w:r>
      <w:r>
        <w:rPr>
          <w:rFonts w:ascii="Arial" w:cs="Arial" w:eastAsia="Arial" w:hAnsi="Arial"/>
          <w:sz w:val="18"/>
          <w:szCs w:val="18"/>
          <w:color w:val="auto"/>
        </w:rPr>
        <w:t>practicable to estimate that value:</w:t>
      </w:r>
    </w:p>
    <w:p>
      <w:pPr>
        <w:spacing w:after="0" w:line="54" w:lineRule="exact"/>
        <w:rPr>
          <w:sz w:val="20"/>
          <w:szCs w:val="20"/>
          <w:color w:val="auto"/>
        </w:rPr>
      </w:pPr>
    </w:p>
    <w:p>
      <w:pPr>
        <w:ind w:left="460" w:right="340"/>
        <w:spacing w:after="0" w:line="282" w:lineRule="auto"/>
        <w:rPr>
          <w:sz w:val="20"/>
          <w:szCs w:val="20"/>
          <w:color w:val="auto"/>
        </w:rPr>
      </w:pPr>
      <w:r>
        <w:rPr>
          <w:rFonts w:ascii="Arial" w:cs="Arial" w:eastAsia="Arial" w:hAnsi="Arial"/>
          <w:sz w:val="18"/>
          <w:szCs w:val="18"/>
          <w:b w:val="1"/>
          <w:bCs w:val="1"/>
          <w:color w:val="auto"/>
        </w:rPr>
        <w:t xml:space="preserve">Cash and cash equivalents, trade receivables, accounts payable: </w:t>
      </w:r>
      <w:r>
        <w:rPr>
          <w:rFonts w:ascii="Arial" w:cs="Arial" w:eastAsia="Arial" w:hAnsi="Arial"/>
          <w:sz w:val="18"/>
          <w:szCs w:val="18"/>
          <w:color w:val="auto"/>
        </w:rPr>
        <w:t>The carrying amounts approximate fair value due to the short maturity of those</w:t>
      </w:r>
      <w:r>
        <w:rPr>
          <w:rFonts w:ascii="Arial" w:cs="Arial" w:eastAsia="Arial" w:hAnsi="Arial"/>
          <w:sz w:val="18"/>
          <w:szCs w:val="18"/>
          <w:b w:val="1"/>
          <w:bCs w:val="1"/>
          <w:color w:val="auto"/>
        </w:rPr>
        <w:t xml:space="preserve"> </w:t>
      </w:r>
      <w:r>
        <w:rPr>
          <w:rFonts w:ascii="Arial" w:cs="Arial" w:eastAsia="Arial" w:hAnsi="Arial"/>
          <w:sz w:val="18"/>
          <w:szCs w:val="18"/>
          <w:color w:val="auto"/>
        </w:rPr>
        <w:t>instruments.</w:t>
      </w:r>
    </w:p>
    <w:p>
      <w:pPr>
        <w:spacing w:after="0" w:line="54" w:lineRule="exact"/>
        <w:rPr>
          <w:sz w:val="20"/>
          <w:szCs w:val="20"/>
          <w:color w:val="auto"/>
        </w:rPr>
      </w:pPr>
    </w:p>
    <w:p>
      <w:pPr>
        <w:ind w:left="460" w:right="100"/>
        <w:spacing w:after="0" w:line="282" w:lineRule="auto"/>
        <w:rPr>
          <w:sz w:val="20"/>
          <w:szCs w:val="20"/>
          <w:color w:val="auto"/>
        </w:rPr>
      </w:pPr>
      <w:r>
        <w:rPr>
          <w:rFonts w:ascii="Arial" w:cs="Arial" w:eastAsia="Arial" w:hAnsi="Arial"/>
          <w:sz w:val="18"/>
          <w:szCs w:val="18"/>
          <w:b w:val="1"/>
          <w:bCs w:val="1"/>
          <w:color w:val="auto"/>
        </w:rPr>
        <w:t xml:space="preserve">Long-term debt: </w:t>
      </w:r>
      <w:r>
        <w:rPr>
          <w:rFonts w:ascii="Arial" w:cs="Arial" w:eastAsia="Arial" w:hAnsi="Arial"/>
          <w:sz w:val="18"/>
          <w:szCs w:val="18"/>
          <w:color w:val="auto"/>
        </w:rPr>
        <w:t>The carrying value of the Company’s debt approximates fair value based on the recent debt refinancing and the terms of outstanding</w:t>
      </w:r>
      <w:r>
        <w:rPr>
          <w:rFonts w:ascii="Arial" w:cs="Arial" w:eastAsia="Arial" w:hAnsi="Arial"/>
          <w:sz w:val="18"/>
          <w:szCs w:val="18"/>
          <w:b w:val="1"/>
          <w:bCs w:val="1"/>
          <w:color w:val="auto"/>
        </w:rPr>
        <w:t xml:space="preserve"> </w:t>
      </w:r>
      <w:r>
        <w:rPr>
          <w:rFonts w:ascii="Arial" w:cs="Arial" w:eastAsia="Arial" w:hAnsi="Arial"/>
          <w:sz w:val="18"/>
          <w:szCs w:val="18"/>
          <w:color w:val="auto"/>
        </w:rPr>
        <w:t>debt approximating terms currently available to the Company.</w:t>
      </w:r>
    </w:p>
    <w:p>
      <w:pPr>
        <w:spacing w:after="0" w:line="54" w:lineRule="exact"/>
        <w:rPr>
          <w:sz w:val="20"/>
          <w:szCs w:val="20"/>
          <w:color w:val="auto"/>
        </w:rPr>
      </w:pPr>
    </w:p>
    <w:p>
      <w:pPr>
        <w:ind w:left="460" w:right="40"/>
        <w:spacing w:after="0" w:line="282" w:lineRule="auto"/>
        <w:rPr>
          <w:sz w:val="20"/>
          <w:szCs w:val="20"/>
          <w:color w:val="auto"/>
        </w:rPr>
      </w:pPr>
      <w:r>
        <w:rPr>
          <w:rFonts w:ascii="Arial" w:cs="Arial" w:eastAsia="Arial" w:hAnsi="Arial"/>
          <w:sz w:val="18"/>
          <w:szCs w:val="18"/>
          <w:b w:val="1"/>
          <w:bCs w:val="1"/>
          <w:color w:val="auto"/>
        </w:rPr>
        <w:t xml:space="preserve">Interest rate cap: </w:t>
      </w:r>
      <w:r>
        <w:rPr>
          <w:rFonts w:ascii="Arial" w:cs="Arial" w:eastAsia="Arial" w:hAnsi="Arial"/>
          <w:sz w:val="18"/>
          <w:szCs w:val="18"/>
          <w:color w:val="auto"/>
        </w:rPr>
        <w:t>The fair value of the interest rate cap was estimated by discounting the expected future cash flows of both the fixed rate and variable</w:t>
      </w:r>
      <w:r>
        <w:rPr>
          <w:rFonts w:ascii="Arial" w:cs="Arial" w:eastAsia="Arial" w:hAnsi="Arial"/>
          <w:sz w:val="18"/>
          <w:szCs w:val="18"/>
          <w:b w:val="1"/>
          <w:bCs w:val="1"/>
          <w:color w:val="auto"/>
        </w:rPr>
        <w:t xml:space="preserve"> </w:t>
      </w:r>
      <w:r>
        <w:rPr>
          <w:rFonts w:ascii="Arial" w:cs="Arial" w:eastAsia="Arial" w:hAnsi="Arial"/>
          <w:sz w:val="18"/>
          <w:szCs w:val="18"/>
          <w:color w:val="auto"/>
        </w:rPr>
        <w:t>rate interest payments using discount rates with consideration given to non-performance risk.</w:t>
      </w:r>
    </w:p>
    <w:p>
      <w:pPr>
        <w:spacing w:after="0" w:line="54"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Class P units in the Parent: </w:t>
      </w:r>
      <w:r>
        <w:rPr>
          <w:rFonts w:ascii="Arial" w:cs="Arial" w:eastAsia="Arial" w:hAnsi="Arial"/>
          <w:sz w:val="18"/>
          <w:szCs w:val="18"/>
          <w:color w:val="auto"/>
        </w:rPr>
        <w:t>The fair value of the class P units has been estimated using the Black-Scholes option valuation model.</w:t>
      </w:r>
    </w:p>
    <w:p>
      <w:pPr>
        <w:spacing w:after="0" w:line="225" w:lineRule="exact"/>
        <w:rPr>
          <w:sz w:val="20"/>
          <w:szCs w:val="20"/>
          <w:color w:val="auto"/>
        </w:rPr>
      </w:pPr>
    </w:p>
    <w:p>
      <w:pPr>
        <w:ind w:right="220"/>
        <w:spacing w:after="0" w:line="282" w:lineRule="auto"/>
        <w:rPr>
          <w:sz w:val="20"/>
          <w:szCs w:val="20"/>
          <w:color w:val="auto"/>
        </w:rPr>
      </w:pPr>
      <w:r>
        <w:rPr>
          <w:rFonts w:ascii="Arial" w:cs="Arial" w:eastAsia="Arial" w:hAnsi="Arial"/>
          <w:sz w:val="18"/>
          <w:szCs w:val="18"/>
          <w:b w:val="1"/>
          <w:bCs w:val="1"/>
          <w:color w:val="auto"/>
        </w:rPr>
        <w:t xml:space="preserve">Subsequent events: </w:t>
      </w:r>
      <w:r>
        <w:rPr>
          <w:rFonts w:ascii="Arial" w:cs="Arial" w:eastAsia="Arial" w:hAnsi="Arial"/>
          <w:sz w:val="18"/>
          <w:szCs w:val="18"/>
          <w:color w:val="auto"/>
        </w:rPr>
        <w:t>The Company has evaluated subsequent events for potential recognition and/or disclosure through April 4, 2018, the date the financial</w:t>
      </w:r>
      <w:r>
        <w:rPr>
          <w:rFonts w:ascii="Arial" w:cs="Arial" w:eastAsia="Arial" w:hAnsi="Arial"/>
          <w:sz w:val="18"/>
          <w:szCs w:val="18"/>
          <w:b w:val="1"/>
          <w:bCs w:val="1"/>
          <w:color w:val="auto"/>
        </w:rPr>
        <w:t xml:space="preserve"> </w:t>
      </w:r>
      <w:r>
        <w:rPr>
          <w:rFonts w:ascii="Arial" w:cs="Arial" w:eastAsia="Arial" w:hAnsi="Arial"/>
          <w:sz w:val="18"/>
          <w:szCs w:val="18"/>
          <w:color w:val="auto"/>
        </w:rPr>
        <w:t>statements were available to be issued.</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Restatement</w:t>
      </w:r>
    </w:p>
    <w:p>
      <w:pPr>
        <w:spacing w:after="0" w:line="121"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The consolidated financial statements as of and for the year ended December 31, 2017 have been restated to reflect the Company’s revocation of the Private Company Council alternatives which had been adopted effective January 1, 2015. The impacts of the revocation were: reversal of all previously recorded goodwill amortization, recording customer base and order backlog intangibles separately from goodwill with respect to the 2015 acquisition of the Company’s Polish subsidiary, recording amortization on those separate intangibles, and recording the related income tax effects of these adjustments.</w:t>
      </w:r>
    </w:p>
    <w:p>
      <w:pPr>
        <w:spacing w:after="0" w:line="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270" w:right="239" w:bottom="1440" w:gutter="0" w:footer="0" w:header="0"/>
        </w:sectPr>
      </w:pPr>
    </w:p>
    <w:bookmarkStart w:id="18" w:name="page19"/>
    <w:bookmarkEnd w:id="18"/>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PMG Intermediate Holding Corporation and Subsidiaries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206375</wp:posOffset>
            </wp:positionV>
            <wp:extent cx="724662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consolidated financial statement line items were affected by the restatements: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560" w:type="dxa"/>
            <w:vAlign w:val="bottom"/>
          </w:tcPr>
          <w:p>
            <w:pPr>
              <w:spacing w:after="0"/>
              <w:rPr>
                <w:sz w:val="14"/>
                <w:szCs w:val="14"/>
                <w:color w:val="auto"/>
              </w:rPr>
            </w:pPr>
          </w:p>
        </w:tc>
        <w:tc>
          <w:tcPr>
            <w:tcW w:w="1540" w:type="dxa"/>
            <w:vAlign w:val="bottom"/>
            <w:gridSpan w:val="2"/>
          </w:tcPr>
          <w:p>
            <w:pPr>
              <w:jc w:val="right"/>
              <w:ind w:right="640"/>
              <w:spacing w:after="0"/>
              <w:rPr>
                <w:sz w:val="20"/>
                <w:szCs w:val="20"/>
                <w:color w:val="auto"/>
              </w:rPr>
            </w:pPr>
            <w:r>
              <w:rPr>
                <w:rFonts w:ascii="Arial" w:cs="Arial" w:eastAsia="Arial" w:hAnsi="Arial"/>
                <w:sz w:val="14"/>
                <w:szCs w:val="14"/>
                <w:color w:val="auto"/>
              </w:rPr>
              <w:t>As Originally</w:t>
            </w: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9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560" w:type="dxa"/>
            <w:vAlign w:val="bottom"/>
          </w:tcPr>
          <w:p>
            <w:pPr>
              <w:spacing w:after="0"/>
              <w:rPr>
                <w:sz w:val="14"/>
                <w:szCs w:val="14"/>
                <w:color w:val="auto"/>
              </w:rPr>
            </w:pPr>
          </w:p>
        </w:tc>
        <w:tc>
          <w:tcPr>
            <w:tcW w:w="1540" w:type="dxa"/>
            <w:vAlign w:val="bottom"/>
            <w:gridSpan w:val="2"/>
          </w:tcPr>
          <w:p>
            <w:pPr>
              <w:jc w:val="right"/>
              <w:ind w:right="760"/>
              <w:spacing w:after="0"/>
              <w:rPr>
                <w:sz w:val="20"/>
                <w:szCs w:val="20"/>
                <w:color w:val="auto"/>
              </w:rPr>
            </w:pPr>
            <w:r>
              <w:rPr>
                <w:rFonts w:ascii="Arial" w:cs="Arial" w:eastAsia="Arial" w:hAnsi="Arial"/>
                <w:sz w:val="14"/>
                <w:szCs w:val="14"/>
                <w:color w:val="auto"/>
              </w:rPr>
              <w:t>Reported</w:t>
            </w:r>
          </w:p>
        </w:tc>
        <w:tc>
          <w:tcPr>
            <w:tcW w:w="1460" w:type="dxa"/>
            <w:vAlign w:val="bottom"/>
            <w:gridSpan w:val="4"/>
          </w:tcPr>
          <w:p>
            <w:pPr>
              <w:jc w:val="right"/>
              <w:ind w:right="660"/>
              <w:spacing w:after="0"/>
              <w:rPr>
                <w:sz w:val="20"/>
                <w:szCs w:val="20"/>
                <w:color w:val="auto"/>
              </w:rPr>
            </w:pPr>
            <w:r>
              <w:rPr>
                <w:rFonts w:ascii="Arial" w:cs="Arial" w:eastAsia="Arial" w:hAnsi="Arial"/>
                <w:sz w:val="14"/>
                <w:szCs w:val="14"/>
                <w:color w:val="auto"/>
              </w:rPr>
              <w:t>Adjustment</w:t>
            </w:r>
          </w:p>
        </w:tc>
        <w:tc>
          <w:tcPr>
            <w:tcW w:w="200" w:type="dxa"/>
            <w:vAlign w:val="bottom"/>
          </w:tcPr>
          <w:p>
            <w:pPr>
              <w:spacing w:after="0"/>
              <w:rPr>
                <w:sz w:val="14"/>
                <w:szCs w:val="14"/>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4"/>
                <w:szCs w:val="14"/>
                <w:color w:val="auto"/>
                <w:w w:val="81"/>
              </w:rPr>
              <w:t>As Restated</w:t>
            </w: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5480" w:type="dxa"/>
            <w:vAlign w:val="bottom"/>
            <w:tcBorders>
              <w:top w:val="single" w:sz="8" w:color="CCEEFF"/>
            </w:tcBorders>
            <w:gridSpan w:val="2"/>
            <w:shd w:val="clear" w:color="auto" w:fill="CCEEFF"/>
          </w:tcPr>
          <w:p>
            <w:pPr>
              <w:spacing w:after="0" w:line="196" w:lineRule="exact"/>
              <w:rPr>
                <w:sz w:val="20"/>
                <w:szCs w:val="20"/>
                <w:color w:val="auto"/>
              </w:rPr>
            </w:pPr>
            <w:r>
              <w:rPr>
                <w:rFonts w:ascii="Arial" w:cs="Arial" w:eastAsia="Arial" w:hAnsi="Arial"/>
                <w:sz w:val="18"/>
                <w:szCs w:val="18"/>
                <w:color w:val="auto"/>
              </w:rPr>
              <w:t>Balance sheet:</w:t>
            </w:r>
          </w:p>
        </w:tc>
        <w:tc>
          <w:tcPr>
            <w:tcW w:w="100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CCEEFF"/>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right w:val="single" w:sz="8" w:color="CCEEFF"/>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5480" w:type="dxa"/>
            <w:vAlign w:val="bottom"/>
            <w:gridSpan w:val="2"/>
          </w:tcPr>
          <w:p>
            <w:pPr>
              <w:ind w:left="360"/>
              <w:spacing w:after="0"/>
              <w:rPr>
                <w:sz w:val="20"/>
                <w:szCs w:val="20"/>
                <w:color w:val="auto"/>
              </w:rPr>
            </w:pPr>
            <w:r>
              <w:rPr>
                <w:rFonts w:ascii="Arial" w:cs="Arial" w:eastAsia="Arial" w:hAnsi="Arial"/>
                <w:sz w:val="18"/>
                <w:szCs w:val="18"/>
                <w:color w:val="auto"/>
              </w:rPr>
              <w:t>Goodwill</w:t>
            </w:r>
          </w:p>
        </w:tc>
        <w:tc>
          <w:tcPr>
            <w:tcW w:w="1540" w:type="dxa"/>
            <w:vAlign w:val="bottom"/>
            <w:gridSpan w:val="2"/>
          </w:tcPr>
          <w:p>
            <w:pPr>
              <w:jc w:val="right"/>
              <w:ind w:right="540"/>
              <w:spacing w:after="0"/>
              <w:rPr>
                <w:sz w:val="20"/>
                <w:szCs w:val="20"/>
                <w:color w:val="auto"/>
              </w:rPr>
            </w:pPr>
            <w:r>
              <w:rPr>
                <w:rFonts w:ascii="Arial" w:cs="Arial" w:eastAsia="Arial" w:hAnsi="Arial"/>
                <w:sz w:val="18"/>
                <w:szCs w:val="18"/>
                <w:color w:val="auto"/>
                <w:w w:val="93"/>
              </w:rPr>
              <w:t>$ 39,131,563</w:t>
            </w:r>
          </w:p>
        </w:tc>
        <w:tc>
          <w:tcPr>
            <w:tcW w:w="1460" w:type="dxa"/>
            <w:vAlign w:val="bottom"/>
            <w:gridSpan w:val="4"/>
          </w:tcPr>
          <w:p>
            <w:pPr>
              <w:jc w:val="right"/>
              <w:ind w:right="540"/>
              <w:spacing w:after="0"/>
              <w:rPr>
                <w:sz w:val="20"/>
                <w:szCs w:val="20"/>
                <w:color w:val="auto"/>
              </w:rPr>
            </w:pPr>
            <w:r>
              <w:rPr>
                <w:rFonts w:ascii="Arial" w:cs="Arial" w:eastAsia="Arial" w:hAnsi="Arial"/>
                <w:sz w:val="18"/>
                <w:szCs w:val="18"/>
                <w:color w:val="auto"/>
                <w:w w:val="89"/>
              </w:rPr>
              <w:t>$10,814,694</w:t>
            </w:r>
          </w:p>
        </w:tc>
        <w:tc>
          <w:tcPr>
            <w:tcW w:w="1100" w:type="dxa"/>
            <w:vAlign w:val="bottom"/>
            <w:gridSpan w:val="3"/>
          </w:tcPr>
          <w:p>
            <w:pPr>
              <w:jc w:val="right"/>
              <w:ind w:right="100"/>
              <w:spacing w:after="0"/>
              <w:rPr>
                <w:sz w:val="20"/>
                <w:szCs w:val="20"/>
                <w:color w:val="auto"/>
              </w:rPr>
            </w:pPr>
            <w:r>
              <w:rPr>
                <w:rFonts w:ascii="Arial" w:cs="Arial" w:eastAsia="Arial" w:hAnsi="Arial"/>
                <w:sz w:val="18"/>
                <w:szCs w:val="18"/>
                <w:color w:val="auto"/>
                <w:w w:val="93"/>
              </w:rPr>
              <w:t>$ 49,946,257</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54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Other intangible assets</w:t>
            </w:r>
          </w:p>
        </w:tc>
        <w:tc>
          <w:tcPr>
            <w:tcW w:w="15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43,210,640</w:t>
            </w:r>
          </w:p>
        </w:tc>
        <w:tc>
          <w:tcPr>
            <w:tcW w:w="1460" w:type="dxa"/>
            <w:vAlign w:val="bottom"/>
            <w:gridSpan w:val="4"/>
            <w:shd w:val="clear" w:color="auto" w:fill="CCEEFF"/>
          </w:tcPr>
          <w:p>
            <w:pPr>
              <w:jc w:val="right"/>
              <w:ind w:right="540"/>
              <w:spacing w:after="0"/>
              <w:rPr>
                <w:sz w:val="20"/>
                <w:szCs w:val="20"/>
                <w:color w:val="auto"/>
              </w:rPr>
            </w:pPr>
            <w:r>
              <w:rPr>
                <w:rFonts w:ascii="Arial" w:cs="Arial" w:eastAsia="Arial" w:hAnsi="Arial"/>
                <w:sz w:val="18"/>
                <w:szCs w:val="18"/>
                <w:color w:val="auto"/>
              </w:rPr>
              <w:t>6,370,000</w:t>
            </w:r>
          </w:p>
        </w:tc>
        <w:tc>
          <w:tcPr>
            <w:tcW w:w="11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49,580,640</w:t>
            </w:r>
          </w:p>
        </w:tc>
        <w:tc>
          <w:tcPr>
            <w:tcW w:w="0" w:type="dxa"/>
            <w:vAlign w:val="bottom"/>
          </w:tcPr>
          <w:p>
            <w:pPr>
              <w:spacing w:after="0"/>
              <w:rPr>
                <w:sz w:val="1"/>
                <w:szCs w:val="1"/>
                <w:color w:val="auto"/>
              </w:rPr>
            </w:pPr>
          </w:p>
        </w:tc>
      </w:tr>
      <w:tr>
        <w:trPr>
          <w:trHeight w:val="230"/>
        </w:trPr>
        <w:tc>
          <w:tcPr>
            <w:tcW w:w="920" w:type="dxa"/>
            <w:vAlign w:val="bottom"/>
          </w:tcPr>
          <w:p>
            <w:pPr>
              <w:spacing w:after="0"/>
              <w:rPr>
                <w:sz w:val="20"/>
                <w:szCs w:val="20"/>
                <w:color w:val="auto"/>
              </w:rPr>
            </w:pPr>
          </w:p>
        </w:tc>
        <w:tc>
          <w:tcPr>
            <w:tcW w:w="5480" w:type="dxa"/>
            <w:vAlign w:val="bottom"/>
            <w:gridSpan w:val="2"/>
          </w:tcPr>
          <w:p>
            <w:pPr>
              <w:ind w:left="360"/>
              <w:spacing w:after="0"/>
              <w:rPr>
                <w:sz w:val="20"/>
                <w:szCs w:val="20"/>
                <w:color w:val="auto"/>
              </w:rPr>
            </w:pPr>
            <w:r>
              <w:rPr>
                <w:rFonts w:ascii="Arial" w:cs="Arial" w:eastAsia="Arial" w:hAnsi="Arial"/>
                <w:sz w:val="18"/>
                <w:szCs w:val="18"/>
                <w:color w:val="auto"/>
              </w:rPr>
              <w:t>Total assets</w:t>
            </w:r>
          </w:p>
        </w:tc>
        <w:tc>
          <w:tcPr>
            <w:tcW w:w="1540" w:type="dxa"/>
            <w:vAlign w:val="bottom"/>
            <w:gridSpan w:val="2"/>
          </w:tcPr>
          <w:p>
            <w:pPr>
              <w:jc w:val="right"/>
              <w:ind w:right="540"/>
              <w:spacing w:after="0"/>
              <w:rPr>
                <w:sz w:val="20"/>
                <w:szCs w:val="20"/>
                <w:color w:val="auto"/>
              </w:rPr>
            </w:pPr>
            <w:r>
              <w:rPr>
                <w:rFonts w:ascii="Arial" w:cs="Arial" w:eastAsia="Arial" w:hAnsi="Arial"/>
                <w:sz w:val="18"/>
                <w:szCs w:val="18"/>
                <w:color w:val="auto"/>
                <w:w w:val="97"/>
              </w:rPr>
              <w:t>177,069,046</w:t>
            </w:r>
          </w:p>
        </w:tc>
        <w:tc>
          <w:tcPr>
            <w:tcW w:w="1460" w:type="dxa"/>
            <w:vAlign w:val="bottom"/>
            <w:gridSpan w:val="4"/>
          </w:tcPr>
          <w:p>
            <w:pPr>
              <w:jc w:val="right"/>
              <w:ind w:right="540"/>
              <w:spacing w:after="0"/>
              <w:rPr>
                <w:sz w:val="20"/>
                <w:szCs w:val="20"/>
                <w:color w:val="auto"/>
              </w:rPr>
            </w:pPr>
            <w:r>
              <w:rPr>
                <w:rFonts w:ascii="Arial" w:cs="Arial" w:eastAsia="Arial" w:hAnsi="Arial"/>
                <w:sz w:val="18"/>
                <w:szCs w:val="18"/>
                <w:color w:val="auto"/>
                <w:w w:val="99"/>
              </w:rPr>
              <w:t>17,184,694</w:t>
            </w:r>
          </w:p>
        </w:tc>
        <w:tc>
          <w:tcPr>
            <w:tcW w:w="1100" w:type="dxa"/>
            <w:vAlign w:val="bottom"/>
            <w:gridSpan w:val="3"/>
          </w:tcPr>
          <w:p>
            <w:pPr>
              <w:jc w:val="right"/>
              <w:ind w:right="100"/>
              <w:spacing w:after="0"/>
              <w:rPr>
                <w:sz w:val="20"/>
                <w:szCs w:val="20"/>
                <w:color w:val="auto"/>
              </w:rPr>
            </w:pPr>
            <w:r>
              <w:rPr>
                <w:rFonts w:ascii="Arial" w:cs="Arial" w:eastAsia="Arial" w:hAnsi="Arial"/>
                <w:sz w:val="18"/>
                <w:szCs w:val="18"/>
                <w:color w:val="auto"/>
                <w:w w:val="97"/>
              </w:rPr>
              <w:t>194,253,740</w:t>
            </w:r>
          </w:p>
        </w:tc>
        <w:tc>
          <w:tcPr>
            <w:tcW w:w="0" w:type="dxa"/>
            <w:vAlign w:val="bottom"/>
          </w:tcPr>
          <w:p>
            <w:pPr>
              <w:spacing w:after="0"/>
              <w:rPr>
                <w:sz w:val="1"/>
                <w:szCs w:val="1"/>
                <w:color w:val="auto"/>
              </w:rPr>
            </w:pPr>
          </w:p>
        </w:tc>
      </w:tr>
      <w:tr>
        <w:trPr>
          <w:trHeight w:val="94"/>
        </w:trPr>
        <w:tc>
          <w:tcPr>
            <w:tcW w:w="920" w:type="dxa"/>
            <w:vAlign w:val="bottom"/>
          </w:tcPr>
          <w:p>
            <w:pPr>
              <w:spacing w:after="0"/>
              <w:rPr>
                <w:sz w:val="8"/>
                <w:szCs w:val="8"/>
                <w:color w:val="auto"/>
              </w:rPr>
            </w:pPr>
          </w:p>
        </w:tc>
        <w:tc>
          <w:tcPr>
            <w:tcW w:w="920" w:type="dxa"/>
            <w:vAlign w:val="bottom"/>
          </w:tcPr>
          <w:p>
            <w:pPr>
              <w:spacing w:after="0"/>
              <w:rPr>
                <w:sz w:val="8"/>
                <w:szCs w:val="8"/>
                <w:color w:val="auto"/>
              </w:rPr>
            </w:pPr>
          </w:p>
        </w:tc>
        <w:tc>
          <w:tcPr>
            <w:tcW w:w="4560" w:type="dxa"/>
            <w:vAlign w:val="bottom"/>
          </w:tcPr>
          <w:p>
            <w:pPr>
              <w:spacing w:after="0"/>
              <w:rPr>
                <w:sz w:val="8"/>
                <w:szCs w:val="8"/>
                <w:color w:val="auto"/>
              </w:rPr>
            </w:pPr>
          </w:p>
        </w:tc>
        <w:tc>
          <w:tcPr>
            <w:tcW w:w="1000" w:type="dxa"/>
            <w:vAlign w:val="bottom"/>
          </w:tcPr>
          <w:p>
            <w:pPr>
              <w:spacing w:after="0"/>
              <w:rPr>
                <w:sz w:val="8"/>
                <w:szCs w:val="8"/>
                <w:color w:val="auto"/>
              </w:rPr>
            </w:pPr>
          </w:p>
        </w:tc>
        <w:tc>
          <w:tcPr>
            <w:tcW w:w="5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54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Deferred income taxes</w:t>
            </w:r>
          </w:p>
        </w:tc>
        <w:tc>
          <w:tcPr>
            <w:tcW w:w="15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7,771,097</w:t>
            </w:r>
          </w:p>
        </w:tc>
        <w:tc>
          <w:tcPr>
            <w:tcW w:w="1460" w:type="dxa"/>
            <w:vAlign w:val="bottom"/>
            <w:gridSpan w:val="4"/>
            <w:shd w:val="clear" w:color="auto" w:fill="CCEEFF"/>
          </w:tcPr>
          <w:p>
            <w:pPr>
              <w:jc w:val="right"/>
              <w:ind w:right="540"/>
              <w:spacing w:after="0"/>
              <w:rPr>
                <w:sz w:val="20"/>
                <w:szCs w:val="20"/>
                <w:color w:val="auto"/>
              </w:rPr>
            </w:pPr>
            <w:r>
              <w:rPr>
                <w:rFonts w:ascii="Arial" w:cs="Arial" w:eastAsia="Arial" w:hAnsi="Arial"/>
                <w:sz w:val="18"/>
                <w:szCs w:val="18"/>
                <w:color w:val="auto"/>
              </w:rPr>
              <w:t>1,503,320</w:t>
            </w:r>
          </w:p>
        </w:tc>
        <w:tc>
          <w:tcPr>
            <w:tcW w:w="11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9,274,417</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5480" w:type="dxa"/>
            <w:vAlign w:val="bottom"/>
            <w:gridSpan w:val="2"/>
          </w:tcPr>
          <w:p>
            <w:pPr>
              <w:ind w:left="360"/>
              <w:spacing w:after="0"/>
              <w:rPr>
                <w:sz w:val="20"/>
                <w:szCs w:val="20"/>
                <w:color w:val="auto"/>
              </w:rPr>
            </w:pPr>
            <w:r>
              <w:rPr>
                <w:rFonts w:ascii="Arial" w:cs="Arial" w:eastAsia="Arial" w:hAnsi="Arial"/>
                <w:sz w:val="18"/>
                <w:szCs w:val="18"/>
                <w:color w:val="auto"/>
              </w:rPr>
              <w:t>Retained earnings (deficit)</w:t>
            </w:r>
          </w:p>
        </w:tc>
        <w:tc>
          <w:tcPr>
            <w:tcW w:w="1540" w:type="dxa"/>
            <w:vAlign w:val="bottom"/>
            <w:gridSpan w:val="2"/>
          </w:tcPr>
          <w:p>
            <w:pPr>
              <w:jc w:val="right"/>
              <w:ind w:right="480"/>
              <w:spacing w:after="0"/>
              <w:rPr>
                <w:sz w:val="20"/>
                <w:szCs w:val="20"/>
                <w:color w:val="auto"/>
              </w:rPr>
            </w:pPr>
            <w:r>
              <w:rPr>
                <w:rFonts w:ascii="Arial" w:cs="Arial" w:eastAsia="Arial" w:hAnsi="Arial"/>
                <w:sz w:val="18"/>
                <w:szCs w:val="18"/>
                <w:color w:val="auto"/>
              </w:rPr>
              <w:t>(19,120,114)</w:t>
            </w:r>
          </w:p>
        </w:tc>
        <w:tc>
          <w:tcPr>
            <w:tcW w:w="1460" w:type="dxa"/>
            <w:vAlign w:val="bottom"/>
            <w:gridSpan w:val="4"/>
          </w:tcPr>
          <w:p>
            <w:pPr>
              <w:jc w:val="right"/>
              <w:ind w:right="540"/>
              <w:spacing w:after="0"/>
              <w:rPr>
                <w:sz w:val="20"/>
                <w:szCs w:val="20"/>
                <w:color w:val="auto"/>
              </w:rPr>
            </w:pPr>
            <w:r>
              <w:rPr>
                <w:rFonts w:ascii="Arial" w:cs="Arial" w:eastAsia="Arial" w:hAnsi="Arial"/>
                <w:sz w:val="18"/>
                <w:szCs w:val="18"/>
                <w:color w:val="auto"/>
                <w:w w:val="99"/>
              </w:rPr>
              <w:t>15,681,374</w:t>
            </w:r>
          </w:p>
        </w:tc>
        <w:tc>
          <w:tcPr>
            <w:tcW w:w="1100" w:type="dxa"/>
            <w:vAlign w:val="bottom"/>
            <w:gridSpan w:val="3"/>
          </w:tcPr>
          <w:p>
            <w:pPr>
              <w:jc w:val="right"/>
              <w:ind w:right="40"/>
              <w:spacing w:after="0"/>
              <w:rPr>
                <w:sz w:val="20"/>
                <w:szCs w:val="20"/>
                <w:color w:val="auto"/>
              </w:rPr>
            </w:pPr>
            <w:r>
              <w:rPr>
                <w:rFonts w:ascii="Arial" w:cs="Arial" w:eastAsia="Arial" w:hAnsi="Arial"/>
                <w:sz w:val="18"/>
                <w:szCs w:val="18"/>
                <w:color w:val="auto"/>
              </w:rPr>
              <w:t>(3,438,740)</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54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Total liabilities and stockholders’ equity</w:t>
            </w:r>
          </w:p>
        </w:tc>
        <w:tc>
          <w:tcPr>
            <w:tcW w:w="15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w w:val="97"/>
              </w:rPr>
              <w:t>177,069,046</w:t>
            </w:r>
          </w:p>
        </w:tc>
        <w:tc>
          <w:tcPr>
            <w:tcW w:w="1460" w:type="dxa"/>
            <w:vAlign w:val="bottom"/>
            <w:gridSpan w:val="4"/>
            <w:shd w:val="clear" w:color="auto" w:fill="CCEEFF"/>
          </w:tcPr>
          <w:p>
            <w:pPr>
              <w:jc w:val="right"/>
              <w:ind w:right="540"/>
              <w:spacing w:after="0"/>
              <w:rPr>
                <w:sz w:val="20"/>
                <w:szCs w:val="20"/>
                <w:color w:val="auto"/>
              </w:rPr>
            </w:pPr>
            <w:r>
              <w:rPr>
                <w:rFonts w:ascii="Arial" w:cs="Arial" w:eastAsia="Arial" w:hAnsi="Arial"/>
                <w:sz w:val="18"/>
                <w:szCs w:val="18"/>
                <w:color w:val="auto"/>
                <w:w w:val="99"/>
              </w:rPr>
              <w:t>17,184,694</w:t>
            </w:r>
          </w:p>
        </w:tc>
        <w:tc>
          <w:tcPr>
            <w:tcW w:w="11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w w:val="97"/>
              </w:rPr>
              <w:t>194,253,740</w:t>
            </w:r>
          </w:p>
        </w:tc>
        <w:tc>
          <w:tcPr>
            <w:tcW w:w="0" w:type="dxa"/>
            <w:vAlign w:val="bottom"/>
          </w:tcPr>
          <w:p>
            <w:pPr>
              <w:spacing w:after="0"/>
              <w:rPr>
                <w:sz w:val="1"/>
                <w:szCs w:val="1"/>
                <w:color w:val="auto"/>
              </w:rPr>
            </w:pPr>
          </w:p>
        </w:tc>
      </w:tr>
      <w:tr>
        <w:trPr>
          <w:trHeight w:val="324"/>
        </w:trPr>
        <w:tc>
          <w:tcPr>
            <w:tcW w:w="920" w:type="dxa"/>
            <w:vAlign w:val="bottom"/>
          </w:tcPr>
          <w:p>
            <w:pPr>
              <w:spacing w:after="0"/>
              <w:rPr>
                <w:sz w:val="24"/>
                <w:szCs w:val="24"/>
                <w:color w:val="auto"/>
              </w:rPr>
            </w:pPr>
          </w:p>
        </w:tc>
        <w:tc>
          <w:tcPr>
            <w:tcW w:w="5480" w:type="dxa"/>
            <w:vAlign w:val="bottom"/>
            <w:gridSpan w:val="2"/>
          </w:tcPr>
          <w:p>
            <w:pPr>
              <w:spacing w:after="0"/>
              <w:rPr>
                <w:sz w:val="20"/>
                <w:szCs w:val="20"/>
                <w:color w:val="auto"/>
              </w:rPr>
            </w:pPr>
            <w:r>
              <w:rPr>
                <w:rFonts w:ascii="Arial" w:cs="Arial" w:eastAsia="Arial" w:hAnsi="Arial"/>
                <w:sz w:val="18"/>
                <w:szCs w:val="18"/>
                <w:color w:val="auto"/>
              </w:rPr>
              <w:t>Statement of income:</w:t>
            </w:r>
          </w:p>
        </w:tc>
        <w:tc>
          <w:tcPr>
            <w:tcW w:w="10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54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Amortization of intangible assets</w:t>
            </w:r>
          </w:p>
        </w:tc>
        <w:tc>
          <w:tcPr>
            <w:tcW w:w="15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9,544,560</w:t>
            </w:r>
          </w:p>
        </w:tc>
        <w:tc>
          <w:tcPr>
            <w:tcW w:w="1460" w:type="dxa"/>
            <w:vAlign w:val="bottom"/>
            <w:gridSpan w:val="4"/>
            <w:shd w:val="clear" w:color="auto" w:fill="CCEEFF"/>
          </w:tcPr>
          <w:p>
            <w:pPr>
              <w:jc w:val="right"/>
              <w:ind w:right="480"/>
              <w:spacing w:after="0"/>
              <w:rPr>
                <w:sz w:val="20"/>
                <w:szCs w:val="20"/>
                <w:color w:val="auto"/>
              </w:rPr>
            </w:pPr>
            <w:r>
              <w:rPr>
                <w:rFonts w:ascii="Arial" w:cs="Arial" w:eastAsia="Arial" w:hAnsi="Arial"/>
                <w:sz w:val="18"/>
                <w:szCs w:val="18"/>
                <w:color w:val="auto"/>
              </w:rPr>
              <w:t>(4,680,224)</w:t>
            </w:r>
          </w:p>
        </w:tc>
        <w:tc>
          <w:tcPr>
            <w:tcW w:w="11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4,864,336</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5480" w:type="dxa"/>
            <w:vAlign w:val="bottom"/>
            <w:gridSpan w:val="2"/>
          </w:tcPr>
          <w:p>
            <w:pPr>
              <w:ind w:left="360"/>
              <w:spacing w:after="0"/>
              <w:rPr>
                <w:sz w:val="20"/>
                <w:szCs w:val="20"/>
                <w:color w:val="auto"/>
              </w:rPr>
            </w:pPr>
            <w:r>
              <w:rPr>
                <w:rFonts w:ascii="Arial" w:cs="Arial" w:eastAsia="Arial" w:hAnsi="Arial"/>
                <w:sz w:val="18"/>
                <w:szCs w:val="18"/>
                <w:color w:val="auto"/>
              </w:rPr>
              <w:t>Income tax (credits)</w:t>
            </w:r>
          </w:p>
        </w:tc>
        <w:tc>
          <w:tcPr>
            <w:tcW w:w="1540" w:type="dxa"/>
            <w:vAlign w:val="bottom"/>
            <w:gridSpan w:val="2"/>
          </w:tcPr>
          <w:p>
            <w:pPr>
              <w:jc w:val="right"/>
              <w:ind w:right="480"/>
              <w:spacing w:after="0"/>
              <w:rPr>
                <w:sz w:val="20"/>
                <w:szCs w:val="20"/>
                <w:color w:val="auto"/>
              </w:rPr>
            </w:pPr>
            <w:r>
              <w:rPr>
                <w:rFonts w:ascii="Arial" w:cs="Arial" w:eastAsia="Arial" w:hAnsi="Arial"/>
                <w:sz w:val="18"/>
                <w:szCs w:val="18"/>
                <w:color w:val="auto"/>
              </w:rPr>
              <w:t>(6,169,769)</w:t>
            </w:r>
          </w:p>
        </w:tc>
        <w:tc>
          <w:tcPr>
            <w:tcW w:w="1460" w:type="dxa"/>
            <w:vAlign w:val="bottom"/>
            <w:gridSpan w:val="4"/>
          </w:tcPr>
          <w:p>
            <w:pPr>
              <w:jc w:val="right"/>
              <w:ind w:right="480"/>
              <w:spacing w:after="0"/>
              <w:rPr>
                <w:sz w:val="20"/>
                <w:szCs w:val="20"/>
                <w:color w:val="auto"/>
              </w:rPr>
            </w:pPr>
            <w:r>
              <w:rPr>
                <w:rFonts w:ascii="Arial" w:cs="Arial" w:eastAsia="Arial" w:hAnsi="Arial"/>
                <w:sz w:val="18"/>
                <w:szCs w:val="18"/>
                <w:color w:val="auto"/>
              </w:rPr>
              <w:t>(1,110,200)</w:t>
            </w:r>
          </w:p>
        </w:tc>
        <w:tc>
          <w:tcPr>
            <w:tcW w:w="1100" w:type="dxa"/>
            <w:vAlign w:val="bottom"/>
            <w:gridSpan w:val="3"/>
          </w:tcPr>
          <w:p>
            <w:pPr>
              <w:jc w:val="right"/>
              <w:ind w:right="40"/>
              <w:spacing w:after="0"/>
              <w:rPr>
                <w:sz w:val="20"/>
                <w:szCs w:val="20"/>
                <w:color w:val="auto"/>
              </w:rPr>
            </w:pPr>
            <w:r>
              <w:rPr>
                <w:rFonts w:ascii="Arial" w:cs="Arial" w:eastAsia="Arial" w:hAnsi="Arial"/>
                <w:sz w:val="18"/>
                <w:szCs w:val="18"/>
                <w:color w:val="auto"/>
              </w:rPr>
              <w:t>(7,279,969)</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54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Net income</w:t>
            </w:r>
          </w:p>
        </w:tc>
        <w:tc>
          <w:tcPr>
            <w:tcW w:w="15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1,504,701</w:t>
            </w:r>
          </w:p>
        </w:tc>
        <w:tc>
          <w:tcPr>
            <w:tcW w:w="1460" w:type="dxa"/>
            <w:vAlign w:val="bottom"/>
            <w:gridSpan w:val="4"/>
            <w:shd w:val="clear" w:color="auto" w:fill="CCEEFF"/>
          </w:tcPr>
          <w:p>
            <w:pPr>
              <w:jc w:val="right"/>
              <w:ind w:right="540"/>
              <w:spacing w:after="0"/>
              <w:rPr>
                <w:sz w:val="20"/>
                <w:szCs w:val="20"/>
                <w:color w:val="auto"/>
              </w:rPr>
            </w:pPr>
            <w:r>
              <w:rPr>
                <w:rFonts w:ascii="Arial" w:cs="Arial" w:eastAsia="Arial" w:hAnsi="Arial"/>
                <w:sz w:val="18"/>
                <w:szCs w:val="18"/>
                <w:color w:val="auto"/>
              </w:rPr>
              <w:t>5,790,424</w:t>
            </w:r>
          </w:p>
        </w:tc>
        <w:tc>
          <w:tcPr>
            <w:tcW w:w="11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7,295,125</w:t>
            </w:r>
          </w:p>
        </w:tc>
        <w:tc>
          <w:tcPr>
            <w:tcW w:w="0" w:type="dxa"/>
            <w:vAlign w:val="bottom"/>
          </w:tcPr>
          <w:p>
            <w:pPr>
              <w:spacing w:after="0"/>
              <w:rPr>
                <w:sz w:val="1"/>
                <w:szCs w:val="1"/>
                <w:color w:val="auto"/>
              </w:rPr>
            </w:pPr>
          </w:p>
        </w:tc>
      </w:tr>
      <w:tr>
        <w:trPr>
          <w:trHeight w:val="540"/>
        </w:trPr>
        <w:tc>
          <w:tcPr>
            <w:tcW w:w="6400" w:type="dxa"/>
            <w:vAlign w:val="bottom"/>
            <w:gridSpan w:val="3"/>
          </w:tcPr>
          <w:p>
            <w:pPr>
              <w:spacing w:after="0"/>
              <w:rPr>
                <w:sz w:val="20"/>
                <w:szCs w:val="20"/>
                <w:color w:val="auto"/>
              </w:rPr>
            </w:pPr>
            <w:r>
              <w:rPr>
                <w:rFonts w:ascii="Arial" w:cs="Arial" w:eastAsia="Arial" w:hAnsi="Arial"/>
                <w:sz w:val="18"/>
                <w:szCs w:val="18"/>
                <w:b w:val="1"/>
                <w:bCs w:val="1"/>
                <w:color w:val="auto"/>
              </w:rPr>
              <w:t>Note 3. Inventories</w:t>
            </w:r>
          </w:p>
        </w:tc>
        <w:tc>
          <w:tcPr>
            <w:tcW w:w="10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6400" w:type="dxa"/>
            <w:vAlign w:val="bottom"/>
            <w:gridSpan w:val="3"/>
          </w:tcPr>
          <w:p>
            <w:pPr>
              <w:spacing w:after="0"/>
              <w:rPr>
                <w:sz w:val="20"/>
                <w:szCs w:val="20"/>
                <w:color w:val="auto"/>
              </w:rPr>
            </w:pPr>
            <w:r>
              <w:rPr>
                <w:rFonts w:ascii="Arial" w:cs="Arial" w:eastAsia="Arial" w:hAnsi="Arial"/>
                <w:sz w:val="18"/>
                <w:szCs w:val="18"/>
                <w:color w:val="auto"/>
              </w:rPr>
              <w:t>At December 31, 2017 inventories consisted of the following:</w:t>
            </w:r>
          </w:p>
        </w:tc>
        <w:tc>
          <w:tcPr>
            <w:tcW w:w="10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920" w:type="dxa"/>
            <w:vAlign w:val="bottom"/>
          </w:tcPr>
          <w:p>
            <w:pPr>
              <w:spacing w:after="0"/>
              <w:rPr>
                <w:sz w:val="21"/>
                <w:szCs w:val="21"/>
                <w:color w:val="auto"/>
              </w:rPr>
            </w:pPr>
          </w:p>
        </w:tc>
        <w:tc>
          <w:tcPr>
            <w:tcW w:w="920" w:type="dxa"/>
            <w:vAlign w:val="bottom"/>
            <w:vMerge w:val="restart"/>
          </w:tcPr>
          <w:p>
            <w:pPr>
              <w:spacing w:after="0"/>
              <w:rPr>
                <w:sz w:val="21"/>
                <w:szCs w:val="21"/>
                <w:color w:val="auto"/>
              </w:rPr>
            </w:pPr>
          </w:p>
        </w:tc>
        <w:tc>
          <w:tcPr>
            <w:tcW w:w="45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40" w:type="dxa"/>
            <w:vAlign w:val="bottom"/>
            <w:gridSpan w:val="3"/>
          </w:tcPr>
          <w:p>
            <w:pPr>
              <w:spacing w:after="0"/>
              <w:rPr>
                <w:sz w:val="21"/>
                <w:szCs w:val="21"/>
                <w:color w:val="auto"/>
              </w:rPr>
            </w:pPr>
          </w:p>
        </w:tc>
        <w:tc>
          <w:tcPr>
            <w:tcW w:w="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920" w:type="dxa"/>
            <w:vAlign w:val="bottom"/>
            <w:vMerge w:val="continue"/>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Raw materials</w:t>
            </w:r>
          </w:p>
        </w:tc>
        <w:tc>
          <w:tcPr>
            <w:tcW w:w="10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60" w:type="dxa"/>
            <w:vAlign w:val="bottom"/>
            <w:tcBorders>
              <w:right w:val="single" w:sz="8" w:color="CCEEFF"/>
            </w:tcBorders>
            <w:gridSpan w:val="5"/>
            <w:shd w:val="clear" w:color="auto" w:fill="CCEEFF"/>
          </w:tcPr>
          <w:p>
            <w:pPr>
              <w:jc w:val="right"/>
              <w:spacing w:after="0"/>
              <w:rPr>
                <w:sz w:val="20"/>
                <w:szCs w:val="20"/>
                <w:color w:val="auto"/>
              </w:rPr>
            </w:pPr>
            <w:r>
              <w:rPr>
                <w:rFonts w:ascii="Arial" w:cs="Arial" w:eastAsia="Arial" w:hAnsi="Arial"/>
                <w:sz w:val="18"/>
                <w:szCs w:val="18"/>
                <w:color w:val="auto"/>
              </w:rPr>
              <w:t>$ 5,313,198</w:t>
            </w: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Work in process</w:t>
            </w:r>
          </w:p>
        </w:tc>
        <w:tc>
          <w:tcPr>
            <w:tcW w:w="10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60" w:type="dxa"/>
            <w:vAlign w:val="bottom"/>
            <w:gridSpan w:val="5"/>
          </w:tcPr>
          <w:p>
            <w:pPr>
              <w:jc w:val="right"/>
              <w:spacing w:after="0"/>
              <w:rPr>
                <w:sz w:val="20"/>
                <w:szCs w:val="20"/>
                <w:color w:val="auto"/>
              </w:rPr>
            </w:pPr>
            <w:r>
              <w:rPr>
                <w:rFonts w:ascii="Arial" w:cs="Arial" w:eastAsia="Arial" w:hAnsi="Arial"/>
                <w:sz w:val="18"/>
                <w:szCs w:val="18"/>
                <w:color w:val="auto"/>
              </w:rPr>
              <w:t>9,416,146</w:t>
            </w: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Finished goods</w:t>
            </w:r>
          </w:p>
        </w:tc>
        <w:tc>
          <w:tcPr>
            <w:tcW w:w="10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60" w:type="dxa"/>
            <w:vAlign w:val="bottom"/>
            <w:tcBorders>
              <w:right w:val="single" w:sz="8" w:color="CCEEFF"/>
            </w:tcBorders>
            <w:gridSpan w:val="5"/>
            <w:shd w:val="clear" w:color="auto" w:fill="CCEEFF"/>
          </w:tcPr>
          <w:p>
            <w:pPr>
              <w:jc w:val="right"/>
              <w:spacing w:after="0"/>
              <w:rPr>
                <w:sz w:val="20"/>
                <w:szCs w:val="20"/>
                <w:color w:val="auto"/>
              </w:rPr>
            </w:pPr>
            <w:r>
              <w:rPr>
                <w:rFonts w:ascii="Arial" w:cs="Arial" w:eastAsia="Arial" w:hAnsi="Arial"/>
                <w:sz w:val="18"/>
                <w:szCs w:val="18"/>
                <w:color w:val="auto"/>
              </w:rPr>
              <w:t>5,646,854</w:t>
            </w: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9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45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94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u w:val="single" w:color="auto"/>
                <w:color w:val="auto"/>
                <w:w w:val="85"/>
              </w:rPr>
              <w:t>$</w:t>
            </w:r>
            <w:r>
              <w:rPr>
                <w:rFonts w:ascii="Arial" w:cs="Arial" w:eastAsia="Arial" w:hAnsi="Arial"/>
                <w:sz w:val="18"/>
                <w:szCs w:val="18"/>
                <w:color w:val="auto"/>
                <w:w w:val="85"/>
              </w:rPr>
              <w:t>20,376,198</w:t>
            </w: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Property, Equipment and Leasehold Improvements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cost of leasehold improvements and equipment and the related accumulated depreciation at December 31, 2017 are as follows:</w:t>
      </w:r>
    </w:p>
    <w:p>
      <w:pPr>
        <w:spacing w:after="0" w:line="267" w:lineRule="exact"/>
        <w:rPr>
          <w:sz w:val="20"/>
          <w:szCs w:val="20"/>
          <w:color w:val="auto"/>
        </w:rPr>
      </w:pPr>
    </w:p>
    <w:tbl>
      <w:tblPr>
        <w:tblLayout w:type="fixed"/>
        <w:tblInd w:w="1840" w:type="dxa"/>
        <w:tblCellMar>
          <w:top w:w="0" w:type="dxa"/>
          <w:left w:w="0" w:type="dxa"/>
          <w:bottom w:w="0" w:type="dxa"/>
          <w:right w:w="0" w:type="dxa"/>
        </w:tblCellMar>
      </w:tblPr>
      <w:tr>
        <w:trPr>
          <w:trHeight w:val="216"/>
        </w:trPr>
        <w:tc>
          <w:tcPr>
            <w:tcW w:w="6800" w:type="dxa"/>
            <w:vAlign w:val="bottom"/>
            <w:shd w:val="clear" w:color="auto" w:fill="CCEEFF"/>
          </w:tcPr>
          <w:p>
            <w:pPr>
              <w:spacing w:after="0"/>
              <w:rPr>
                <w:sz w:val="20"/>
                <w:szCs w:val="20"/>
                <w:color w:val="auto"/>
              </w:rPr>
            </w:pPr>
            <w:r>
              <w:rPr>
                <w:rFonts w:ascii="Arial" w:cs="Arial" w:eastAsia="Arial" w:hAnsi="Arial"/>
                <w:sz w:val="18"/>
                <w:szCs w:val="18"/>
                <w:color w:val="auto"/>
              </w:rPr>
              <w:t>Land and building</w:t>
            </w:r>
          </w:p>
        </w:tc>
        <w:tc>
          <w:tcPr>
            <w:tcW w:w="8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551,315</w:t>
            </w:r>
          </w:p>
        </w:tc>
        <w:tc>
          <w:tcPr>
            <w:tcW w:w="60" w:type="dxa"/>
            <w:vAlign w:val="bottom"/>
            <w:shd w:val="clear" w:color="auto" w:fill="CCEEFF"/>
          </w:tcPr>
          <w:p>
            <w:pPr>
              <w:spacing w:after="0"/>
              <w:rPr>
                <w:sz w:val="18"/>
                <w:szCs w:val="18"/>
                <w:color w:val="auto"/>
              </w:rPr>
            </w:pPr>
          </w:p>
        </w:tc>
      </w:tr>
      <w:tr>
        <w:trPr>
          <w:trHeight w:val="216"/>
        </w:trPr>
        <w:tc>
          <w:tcPr>
            <w:tcW w:w="6800" w:type="dxa"/>
            <w:vAlign w:val="bottom"/>
          </w:tcPr>
          <w:p>
            <w:pPr>
              <w:spacing w:after="0"/>
              <w:rPr>
                <w:sz w:val="20"/>
                <w:szCs w:val="20"/>
                <w:color w:val="auto"/>
              </w:rPr>
            </w:pPr>
            <w:r>
              <w:rPr>
                <w:rFonts w:ascii="Arial" w:cs="Arial" w:eastAsia="Arial" w:hAnsi="Arial"/>
                <w:sz w:val="18"/>
                <w:szCs w:val="18"/>
                <w:color w:val="auto"/>
              </w:rPr>
              <w:t>Leasehold improvements</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99"/>
              </w:rPr>
              <w:t>7,557,171</w:t>
            </w:r>
          </w:p>
        </w:tc>
        <w:tc>
          <w:tcPr>
            <w:tcW w:w="60" w:type="dxa"/>
            <w:vAlign w:val="bottom"/>
          </w:tcPr>
          <w:p>
            <w:pPr>
              <w:spacing w:after="0"/>
              <w:rPr>
                <w:sz w:val="18"/>
                <w:szCs w:val="18"/>
                <w:color w:val="auto"/>
              </w:rPr>
            </w:pPr>
          </w:p>
        </w:tc>
      </w:tr>
      <w:tr>
        <w:trPr>
          <w:trHeight w:val="216"/>
        </w:trPr>
        <w:tc>
          <w:tcPr>
            <w:tcW w:w="6800" w:type="dxa"/>
            <w:vAlign w:val="bottom"/>
            <w:shd w:val="clear" w:color="auto" w:fill="CCEEFF"/>
          </w:tcPr>
          <w:p>
            <w:pPr>
              <w:spacing w:after="0"/>
              <w:rPr>
                <w:sz w:val="20"/>
                <w:szCs w:val="20"/>
                <w:color w:val="auto"/>
              </w:rPr>
            </w:pPr>
            <w:r>
              <w:rPr>
                <w:rFonts w:ascii="Arial" w:cs="Arial" w:eastAsia="Arial" w:hAnsi="Arial"/>
                <w:sz w:val="18"/>
                <w:szCs w:val="18"/>
                <w:color w:val="auto"/>
              </w:rPr>
              <w:t>Machinery and equipment</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53,621,848</w:t>
            </w:r>
          </w:p>
        </w:tc>
        <w:tc>
          <w:tcPr>
            <w:tcW w:w="60" w:type="dxa"/>
            <w:vAlign w:val="bottom"/>
            <w:shd w:val="clear" w:color="auto" w:fill="CCEEFF"/>
          </w:tcPr>
          <w:p>
            <w:pPr>
              <w:spacing w:after="0"/>
              <w:rPr>
                <w:sz w:val="18"/>
                <w:szCs w:val="18"/>
                <w:color w:val="auto"/>
              </w:rPr>
            </w:pPr>
          </w:p>
        </w:tc>
      </w:tr>
      <w:tr>
        <w:trPr>
          <w:trHeight w:val="216"/>
        </w:trPr>
        <w:tc>
          <w:tcPr>
            <w:tcW w:w="6800" w:type="dxa"/>
            <w:vAlign w:val="bottom"/>
          </w:tcPr>
          <w:p>
            <w:pPr>
              <w:spacing w:after="0"/>
              <w:rPr>
                <w:sz w:val="20"/>
                <w:szCs w:val="20"/>
                <w:color w:val="auto"/>
              </w:rPr>
            </w:pPr>
            <w:r>
              <w:rPr>
                <w:rFonts w:ascii="Arial" w:cs="Arial" w:eastAsia="Arial" w:hAnsi="Arial"/>
                <w:sz w:val="18"/>
                <w:szCs w:val="18"/>
                <w:color w:val="auto"/>
              </w:rPr>
              <w:t>Furniture and fixtures</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99"/>
              </w:rPr>
              <w:t>1,200,917</w:t>
            </w:r>
          </w:p>
        </w:tc>
        <w:tc>
          <w:tcPr>
            <w:tcW w:w="60" w:type="dxa"/>
            <w:vAlign w:val="bottom"/>
          </w:tcPr>
          <w:p>
            <w:pPr>
              <w:spacing w:after="0"/>
              <w:rPr>
                <w:sz w:val="18"/>
                <w:szCs w:val="18"/>
                <w:color w:val="auto"/>
              </w:rPr>
            </w:pPr>
          </w:p>
        </w:tc>
      </w:tr>
      <w:tr>
        <w:trPr>
          <w:trHeight w:val="216"/>
        </w:trPr>
        <w:tc>
          <w:tcPr>
            <w:tcW w:w="6800" w:type="dxa"/>
            <w:vAlign w:val="bottom"/>
            <w:shd w:val="clear" w:color="auto" w:fill="CCEEFF"/>
          </w:tcPr>
          <w:p>
            <w:pPr>
              <w:spacing w:after="0"/>
              <w:rPr>
                <w:sz w:val="20"/>
                <w:szCs w:val="20"/>
                <w:color w:val="auto"/>
              </w:rPr>
            </w:pPr>
            <w:r>
              <w:rPr>
                <w:rFonts w:ascii="Arial" w:cs="Arial" w:eastAsia="Arial" w:hAnsi="Arial"/>
                <w:sz w:val="18"/>
                <w:szCs w:val="18"/>
                <w:color w:val="auto"/>
              </w:rPr>
              <w:t>Computer equipment</w:t>
            </w:r>
          </w:p>
        </w:tc>
        <w:tc>
          <w:tcPr>
            <w:tcW w:w="20" w:type="dxa"/>
            <w:vAlign w:val="bottom"/>
            <w:shd w:val="clear" w:color="auto" w:fill="CCEEFF"/>
          </w:tcPr>
          <w:p>
            <w:pPr>
              <w:spacing w:after="0"/>
              <w:rPr>
                <w:sz w:val="18"/>
                <w:szCs w:val="18"/>
                <w:color w:val="auto"/>
              </w:rPr>
            </w:pPr>
          </w:p>
        </w:tc>
        <w:tc>
          <w:tcPr>
            <w:tcW w:w="6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6,625,517</w:t>
            </w:r>
          </w:p>
        </w:tc>
        <w:tc>
          <w:tcPr>
            <w:tcW w:w="60" w:type="dxa"/>
            <w:vAlign w:val="bottom"/>
            <w:shd w:val="clear" w:color="auto" w:fill="CCEEFF"/>
          </w:tcPr>
          <w:p>
            <w:pPr>
              <w:spacing w:after="0"/>
              <w:rPr>
                <w:sz w:val="18"/>
                <w:szCs w:val="18"/>
                <w:color w:val="auto"/>
              </w:rPr>
            </w:pPr>
          </w:p>
        </w:tc>
      </w:tr>
      <w:tr>
        <w:trPr>
          <w:trHeight w:val="223"/>
        </w:trPr>
        <w:tc>
          <w:tcPr>
            <w:tcW w:w="68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88"/>
              </w:rPr>
              <w:t>69,556,768</w:t>
            </w:r>
          </w:p>
        </w:tc>
        <w:tc>
          <w:tcPr>
            <w:tcW w:w="60" w:type="dxa"/>
            <w:vAlign w:val="bottom"/>
          </w:tcPr>
          <w:p>
            <w:pPr>
              <w:spacing w:after="0"/>
              <w:rPr>
                <w:sz w:val="19"/>
                <w:szCs w:val="19"/>
                <w:color w:val="auto"/>
              </w:rPr>
            </w:pPr>
          </w:p>
        </w:tc>
      </w:tr>
      <w:tr>
        <w:trPr>
          <w:trHeight w:val="216"/>
        </w:trPr>
        <w:tc>
          <w:tcPr>
            <w:tcW w:w="6800" w:type="dxa"/>
            <w:vAlign w:val="bottom"/>
            <w:shd w:val="clear" w:color="auto" w:fill="CCEEFF"/>
          </w:tcPr>
          <w:p>
            <w:pPr>
              <w:spacing w:after="0"/>
              <w:rPr>
                <w:sz w:val="20"/>
                <w:szCs w:val="20"/>
                <w:color w:val="auto"/>
              </w:rPr>
            </w:pPr>
            <w:r>
              <w:rPr>
                <w:rFonts w:ascii="Arial" w:cs="Arial" w:eastAsia="Arial" w:hAnsi="Arial"/>
                <w:sz w:val="18"/>
                <w:szCs w:val="18"/>
                <w:color w:val="auto"/>
              </w:rPr>
              <w:t>Less accumulated depreciation</w:t>
            </w:r>
          </w:p>
        </w:tc>
        <w:tc>
          <w:tcPr>
            <w:tcW w:w="20" w:type="dxa"/>
            <w:vAlign w:val="bottom"/>
            <w:shd w:val="clear" w:color="auto" w:fill="CCEEFF"/>
          </w:tcPr>
          <w:p>
            <w:pPr>
              <w:spacing w:after="0"/>
              <w:rPr>
                <w:sz w:val="18"/>
                <w:szCs w:val="18"/>
                <w:color w:val="auto"/>
              </w:rPr>
            </w:pPr>
          </w:p>
        </w:tc>
        <w:tc>
          <w:tcPr>
            <w:tcW w:w="6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36,663,514</w:t>
            </w:r>
          </w:p>
        </w:tc>
        <w:tc>
          <w:tcPr>
            <w:tcW w:w="60" w:type="dxa"/>
            <w:vAlign w:val="bottom"/>
            <w:shd w:val="clear" w:color="auto" w:fill="CCEEFF"/>
          </w:tcPr>
          <w:p>
            <w:pPr>
              <w:spacing w:after="0"/>
              <w:rPr>
                <w:sz w:val="18"/>
                <w:szCs w:val="18"/>
                <w:color w:val="auto"/>
              </w:rPr>
            </w:pPr>
          </w:p>
        </w:tc>
      </w:tr>
      <w:tr>
        <w:trPr>
          <w:trHeight w:val="223"/>
        </w:trPr>
        <w:tc>
          <w:tcPr>
            <w:tcW w:w="68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jc w:val="right"/>
              <w:spacing w:after="0"/>
              <w:rPr>
                <w:sz w:val="20"/>
                <w:szCs w:val="20"/>
                <w:color w:val="auto"/>
              </w:rPr>
            </w:pPr>
            <w:r>
              <w:rPr>
                <w:rFonts w:ascii="Arial" w:cs="Arial" w:eastAsia="Arial" w:hAnsi="Arial"/>
                <w:sz w:val="10"/>
                <w:szCs w:val="10"/>
                <w:u w:val="single" w:color="auto"/>
                <w:color w:val="auto"/>
                <w:w w:val="71"/>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8"/>
              </w:rPr>
              <w:t>32,893,254</w:t>
            </w:r>
          </w:p>
        </w:tc>
        <w:tc>
          <w:tcPr>
            <w:tcW w:w="60" w:type="dxa"/>
            <w:vAlign w:val="bottom"/>
          </w:tcPr>
          <w:p>
            <w:pPr>
              <w:spacing w:after="0"/>
              <w:rPr>
                <w:sz w:val="19"/>
                <w:szCs w:val="19"/>
                <w:color w:val="auto"/>
              </w:rPr>
            </w:pPr>
          </w:p>
        </w:tc>
      </w:tr>
      <w:tr>
        <w:trPr>
          <w:trHeight w:val="20"/>
        </w:trPr>
        <w:tc>
          <w:tcPr>
            <w:tcW w:w="6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15"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Future commitments to complete the construction of assets listed as construction in progress are approximately $1,488,000 at December 31, 2017. Construction in progress totaled approximately $3,612,000 at December 31, 2017, and is included primarily in machinery and equipment and computer equipment in the above table.</w:t>
      </w:r>
    </w:p>
    <w:p>
      <w:pPr>
        <w:spacing w:after="0" w:line="114" w:lineRule="exact"/>
        <w:rPr>
          <w:sz w:val="20"/>
          <w:szCs w:val="20"/>
          <w:color w:val="auto"/>
        </w:rPr>
      </w:pPr>
    </w:p>
    <w:p>
      <w:pPr>
        <w:jc w:val="center"/>
        <w:ind w:right="-5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0920"/>
          </w:cols>
          <w:pgMar w:left="240" w:top="270" w:right="739" w:bottom="1440" w:gutter="0" w:footer="0" w:header="0"/>
        </w:sectPr>
      </w:pPr>
    </w:p>
    <w:bookmarkStart w:id="19" w:name="page20"/>
    <w:bookmarkEnd w:id="19"/>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PMG Intermediate Holding Corporation and Subsidiaries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206375</wp:posOffset>
            </wp:positionV>
            <wp:extent cx="724662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Intangible Assets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Intangible assets at December 31, 2017 consist of the following:</w:t>
      </w:r>
    </w:p>
    <w:p>
      <w:pPr>
        <w:spacing w:after="0" w:line="235"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60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40" w:type="dxa"/>
            <w:vAlign w:val="bottom"/>
            <w:gridSpan w:val="2"/>
          </w:tcPr>
          <w:p>
            <w:pPr>
              <w:jc w:val="center"/>
              <w:ind w:right="60"/>
              <w:spacing w:after="0"/>
              <w:rPr>
                <w:sz w:val="20"/>
                <w:szCs w:val="20"/>
                <w:color w:val="auto"/>
              </w:rPr>
            </w:pPr>
            <w:r>
              <w:rPr>
                <w:rFonts w:ascii="Arial" w:cs="Arial" w:eastAsia="Arial" w:hAnsi="Arial"/>
                <w:sz w:val="14"/>
                <w:szCs w:val="14"/>
                <w:color w:val="auto"/>
                <w:w w:val="93"/>
              </w:rPr>
              <w:t>Estimated</w:t>
            </w:r>
          </w:p>
        </w:tc>
      </w:tr>
      <w:tr>
        <w:trPr>
          <w:trHeight w:val="149"/>
        </w:trPr>
        <w:tc>
          <w:tcPr>
            <w:tcW w:w="60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80" w:type="dxa"/>
            <w:vAlign w:val="bottom"/>
            <w:gridSpan w:val="2"/>
          </w:tcPr>
          <w:p>
            <w:pPr>
              <w:ind w:left="80"/>
              <w:spacing w:after="0" w:line="149" w:lineRule="exact"/>
              <w:rPr>
                <w:sz w:val="20"/>
                <w:szCs w:val="20"/>
                <w:color w:val="auto"/>
              </w:rPr>
            </w:pPr>
            <w:r>
              <w:rPr>
                <w:rFonts w:ascii="Arial" w:cs="Arial" w:eastAsia="Arial" w:hAnsi="Arial"/>
                <w:sz w:val="14"/>
                <w:szCs w:val="14"/>
                <w:color w:val="auto"/>
              </w:rPr>
              <w:t>Accumulated</w:t>
            </w:r>
          </w:p>
        </w:tc>
        <w:tc>
          <w:tcPr>
            <w:tcW w:w="1260" w:type="dxa"/>
            <w:vAlign w:val="bottom"/>
            <w:gridSpan w:val="2"/>
          </w:tcPr>
          <w:p>
            <w:pPr>
              <w:jc w:val="right"/>
              <w:ind w:right="700"/>
              <w:spacing w:after="0" w:line="149" w:lineRule="exact"/>
              <w:rPr>
                <w:sz w:val="20"/>
                <w:szCs w:val="20"/>
                <w:color w:val="auto"/>
              </w:rPr>
            </w:pPr>
            <w:r>
              <w:rPr>
                <w:rFonts w:ascii="Arial" w:cs="Arial" w:eastAsia="Arial" w:hAnsi="Arial"/>
                <w:sz w:val="14"/>
                <w:szCs w:val="14"/>
                <w:color w:val="auto"/>
              </w:rPr>
              <w:t>Net</w:t>
            </w:r>
          </w:p>
        </w:tc>
        <w:tc>
          <w:tcPr>
            <w:tcW w:w="640" w:type="dxa"/>
            <w:vAlign w:val="bottom"/>
            <w:gridSpan w:val="2"/>
          </w:tcPr>
          <w:p>
            <w:pPr>
              <w:jc w:val="center"/>
              <w:ind w:right="60"/>
              <w:spacing w:after="0" w:line="149" w:lineRule="exact"/>
              <w:rPr>
                <w:sz w:val="20"/>
                <w:szCs w:val="20"/>
                <w:color w:val="auto"/>
              </w:rPr>
            </w:pPr>
            <w:r>
              <w:rPr>
                <w:rFonts w:ascii="Arial" w:cs="Arial" w:eastAsia="Arial" w:hAnsi="Arial"/>
                <w:sz w:val="14"/>
                <w:szCs w:val="14"/>
                <w:color w:val="auto"/>
                <w:w w:val="95"/>
              </w:rPr>
              <w:t>Useful</w:t>
            </w:r>
          </w:p>
        </w:tc>
      </w:tr>
      <w:tr>
        <w:trPr>
          <w:trHeight w:val="167"/>
        </w:trPr>
        <w:tc>
          <w:tcPr>
            <w:tcW w:w="6060" w:type="dxa"/>
            <w:vAlign w:val="bottom"/>
          </w:tcPr>
          <w:p>
            <w:pPr>
              <w:spacing w:after="0"/>
              <w:rPr>
                <w:sz w:val="14"/>
                <w:szCs w:val="14"/>
                <w:color w:val="auto"/>
              </w:rPr>
            </w:pPr>
          </w:p>
        </w:tc>
        <w:tc>
          <w:tcPr>
            <w:tcW w:w="1080" w:type="dxa"/>
            <w:vAlign w:val="bottom"/>
            <w:gridSpan w:val="2"/>
          </w:tcPr>
          <w:p>
            <w:pPr>
              <w:jc w:val="right"/>
              <w:ind w:right="500"/>
              <w:spacing w:after="0"/>
              <w:rPr>
                <w:sz w:val="20"/>
                <w:szCs w:val="20"/>
                <w:color w:val="auto"/>
              </w:rPr>
            </w:pPr>
            <w:r>
              <w:rPr>
                <w:rFonts w:ascii="Arial" w:cs="Arial" w:eastAsia="Arial" w:hAnsi="Arial"/>
                <w:sz w:val="14"/>
                <w:szCs w:val="14"/>
                <w:color w:val="auto"/>
              </w:rPr>
              <w:t>Cost</w:t>
            </w:r>
          </w:p>
        </w:tc>
        <w:tc>
          <w:tcPr>
            <w:tcW w:w="180" w:type="dxa"/>
            <w:vAlign w:val="bottom"/>
          </w:tcPr>
          <w:p>
            <w:pPr>
              <w:spacing w:after="0"/>
              <w:rPr>
                <w:sz w:val="14"/>
                <w:szCs w:val="14"/>
                <w:color w:val="auto"/>
              </w:rPr>
            </w:pPr>
          </w:p>
        </w:tc>
        <w:tc>
          <w:tcPr>
            <w:tcW w:w="1280" w:type="dxa"/>
            <w:vAlign w:val="bottom"/>
            <w:gridSpan w:val="2"/>
          </w:tcPr>
          <w:p>
            <w:pPr>
              <w:ind w:left="80"/>
              <w:spacing w:after="0"/>
              <w:rPr>
                <w:sz w:val="20"/>
                <w:szCs w:val="20"/>
                <w:color w:val="auto"/>
              </w:rPr>
            </w:pPr>
            <w:r>
              <w:rPr>
                <w:rFonts w:ascii="Arial" w:cs="Arial" w:eastAsia="Arial" w:hAnsi="Arial"/>
                <w:sz w:val="14"/>
                <w:szCs w:val="14"/>
                <w:color w:val="auto"/>
              </w:rPr>
              <w:t>Amortization</w:t>
            </w:r>
          </w:p>
        </w:tc>
        <w:tc>
          <w:tcPr>
            <w:tcW w:w="1260" w:type="dxa"/>
            <w:vAlign w:val="bottom"/>
            <w:gridSpan w:val="2"/>
          </w:tcPr>
          <w:p>
            <w:pPr>
              <w:jc w:val="right"/>
              <w:ind w:right="480"/>
              <w:spacing w:after="0"/>
              <w:rPr>
                <w:sz w:val="20"/>
                <w:szCs w:val="20"/>
                <w:color w:val="auto"/>
              </w:rPr>
            </w:pPr>
            <w:r>
              <w:rPr>
                <w:rFonts w:ascii="Arial" w:cs="Arial" w:eastAsia="Arial" w:hAnsi="Arial"/>
                <w:sz w:val="14"/>
                <w:szCs w:val="14"/>
                <w:color w:val="auto"/>
              </w:rPr>
              <w:t>Book Value</w:t>
            </w:r>
          </w:p>
        </w:tc>
        <w:tc>
          <w:tcPr>
            <w:tcW w:w="640" w:type="dxa"/>
            <w:vAlign w:val="bottom"/>
            <w:gridSpan w:val="2"/>
          </w:tcPr>
          <w:p>
            <w:pPr>
              <w:jc w:val="center"/>
              <w:ind w:right="40"/>
              <w:spacing w:after="0"/>
              <w:rPr>
                <w:sz w:val="20"/>
                <w:szCs w:val="20"/>
                <w:color w:val="auto"/>
              </w:rPr>
            </w:pPr>
            <w:r>
              <w:rPr>
                <w:rFonts w:ascii="Arial" w:cs="Arial" w:eastAsia="Arial" w:hAnsi="Arial"/>
                <w:sz w:val="14"/>
                <w:szCs w:val="14"/>
                <w:color w:val="auto"/>
                <w:w w:val="97"/>
              </w:rPr>
              <w:t>Lives</w:t>
            </w:r>
          </w:p>
        </w:tc>
      </w:tr>
      <w:tr>
        <w:trPr>
          <w:trHeight w:val="210"/>
        </w:trPr>
        <w:tc>
          <w:tcPr>
            <w:tcW w:w="60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Customer base</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$59,600,000</w:t>
            </w:r>
          </w:p>
        </w:tc>
        <w:tc>
          <w:tcPr>
            <w:tcW w:w="1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$16,441,044</w:t>
            </w:r>
          </w:p>
        </w:tc>
        <w:tc>
          <w:tcPr>
            <w:tcW w:w="36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$43,158,956</w:t>
            </w:r>
          </w:p>
        </w:tc>
        <w:tc>
          <w:tcPr>
            <w:tcW w:w="36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10-15</w:t>
            </w: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6060" w:type="dxa"/>
            <w:vAlign w:val="bottom"/>
          </w:tcPr>
          <w:p>
            <w:pPr>
              <w:spacing w:after="0"/>
              <w:rPr>
                <w:sz w:val="20"/>
                <w:szCs w:val="20"/>
                <w:color w:val="auto"/>
              </w:rPr>
            </w:pPr>
            <w:r>
              <w:rPr>
                <w:rFonts w:ascii="Arial" w:cs="Arial" w:eastAsia="Arial" w:hAnsi="Arial"/>
                <w:sz w:val="18"/>
                <w:szCs w:val="18"/>
                <w:color w:val="auto"/>
              </w:rPr>
              <w:t>Trade name</w:t>
            </w:r>
          </w:p>
        </w:tc>
        <w:tc>
          <w:tcPr>
            <w:tcW w:w="900" w:type="dxa"/>
            <w:vAlign w:val="bottom"/>
          </w:tcPr>
          <w:p>
            <w:pPr>
              <w:jc w:val="right"/>
              <w:spacing w:after="0"/>
              <w:rPr>
                <w:sz w:val="20"/>
                <w:szCs w:val="20"/>
                <w:color w:val="auto"/>
              </w:rPr>
            </w:pPr>
            <w:r>
              <w:rPr>
                <w:rFonts w:ascii="Arial" w:cs="Arial" w:eastAsia="Arial" w:hAnsi="Arial"/>
                <w:sz w:val="18"/>
                <w:szCs w:val="18"/>
                <w:color w:val="auto"/>
              </w:rPr>
              <w:t>8,815,000</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2,393,316</w:t>
            </w:r>
          </w:p>
        </w:tc>
        <w:tc>
          <w:tcPr>
            <w:tcW w:w="360" w:type="dxa"/>
            <w:vAlign w:val="bottom"/>
          </w:tcPr>
          <w:p>
            <w:pPr>
              <w:spacing w:after="0"/>
              <w:rPr>
                <w:sz w:val="18"/>
                <w:szCs w:val="18"/>
                <w:color w:val="auto"/>
              </w:rPr>
            </w:pPr>
          </w:p>
        </w:tc>
        <w:tc>
          <w:tcPr>
            <w:tcW w:w="1260" w:type="dxa"/>
            <w:vAlign w:val="bottom"/>
            <w:gridSpan w:val="2"/>
          </w:tcPr>
          <w:p>
            <w:pPr>
              <w:jc w:val="right"/>
              <w:ind w:right="360"/>
              <w:spacing w:after="0"/>
              <w:rPr>
                <w:sz w:val="20"/>
                <w:szCs w:val="20"/>
                <w:color w:val="auto"/>
              </w:rPr>
            </w:pPr>
            <w:r>
              <w:rPr>
                <w:rFonts w:ascii="Arial" w:cs="Arial" w:eastAsia="Arial" w:hAnsi="Arial"/>
                <w:sz w:val="18"/>
                <w:szCs w:val="18"/>
                <w:color w:val="auto"/>
              </w:rPr>
              <w:t>6,421,684</w:t>
            </w: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rPr>
              <w:t>15</w:t>
            </w:r>
          </w:p>
        </w:tc>
      </w:tr>
      <w:tr>
        <w:trPr>
          <w:trHeight w:val="27"/>
        </w:trPr>
        <w:tc>
          <w:tcPr>
            <w:tcW w:w="606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580" w:type="dxa"/>
            <w:vAlign w:val="bottom"/>
          </w:tcPr>
          <w:p>
            <w:pPr>
              <w:spacing w:after="0"/>
              <w:rPr>
                <w:sz w:val="2"/>
                <w:szCs w:val="2"/>
                <w:color w:val="auto"/>
              </w:rPr>
            </w:pPr>
          </w:p>
        </w:tc>
        <w:tc>
          <w:tcPr>
            <w:tcW w:w="60" w:type="dxa"/>
            <w:vAlign w:val="bottom"/>
          </w:tcPr>
          <w:p>
            <w:pPr>
              <w:spacing w:after="0"/>
              <w:rPr>
                <w:sz w:val="2"/>
                <w:szCs w:val="2"/>
                <w:color w:val="auto"/>
              </w:rPr>
            </w:pPr>
          </w:p>
        </w:tc>
      </w:tr>
      <w:tr>
        <w:trPr>
          <w:trHeight w:val="216"/>
        </w:trPr>
        <w:tc>
          <w:tcPr>
            <w:tcW w:w="60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other intangible assets</w:t>
            </w: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68,415,000</w:t>
            </w:r>
          </w:p>
        </w:tc>
        <w:tc>
          <w:tcPr>
            <w:tcW w:w="146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18,834,360</w:t>
            </w:r>
          </w:p>
        </w:tc>
        <w:tc>
          <w:tcPr>
            <w:tcW w:w="12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49,580,640</w:t>
            </w:r>
          </w:p>
        </w:tc>
        <w:tc>
          <w:tcPr>
            <w:tcW w:w="5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0"/>
        </w:trPr>
        <w:tc>
          <w:tcPr>
            <w:tcW w:w="606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15"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Aggregate amortization expense of intangible assets for the year ended December 31, 2017 was approximately $4,864,000. Annual amortization of intangible assets for the years ending December 31, 2018 through 2022 and thereafter is as follows: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840" w:type="dxa"/>
            <w:vAlign w:val="bottom"/>
          </w:tcPr>
          <w:p>
            <w:pPr>
              <w:spacing w:after="0"/>
              <w:rPr>
                <w:sz w:val="18"/>
                <w:szCs w:val="18"/>
                <w:color w:val="auto"/>
              </w:rPr>
            </w:pPr>
          </w:p>
        </w:tc>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2018</w:t>
            </w:r>
          </w:p>
        </w:tc>
        <w:tc>
          <w:tcPr>
            <w:tcW w:w="29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$ 4,864,334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40" w:type="dxa"/>
            <w:vAlign w:val="bottom"/>
          </w:tcPr>
          <w:p>
            <w:pPr>
              <w:spacing w:after="0"/>
              <w:rPr>
                <w:sz w:val="18"/>
                <w:szCs w:val="18"/>
                <w:color w:val="auto"/>
              </w:rPr>
            </w:pPr>
          </w:p>
        </w:tc>
        <w:tc>
          <w:tcPr>
            <w:tcW w:w="4760" w:type="dxa"/>
            <w:vAlign w:val="bottom"/>
          </w:tcPr>
          <w:p>
            <w:pPr>
              <w:spacing w:after="0"/>
              <w:rPr>
                <w:sz w:val="20"/>
                <w:szCs w:val="20"/>
                <w:color w:val="auto"/>
              </w:rPr>
            </w:pPr>
            <w:r>
              <w:rPr>
                <w:rFonts w:ascii="Arial" w:cs="Arial" w:eastAsia="Arial" w:hAnsi="Arial"/>
                <w:sz w:val="18"/>
                <w:szCs w:val="18"/>
                <w:color w:val="auto"/>
              </w:rPr>
              <w:t>2019</w:t>
            </w:r>
          </w:p>
        </w:tc>
        <w:tc>
          <w:tcPr>
            <w:tcW w:w="2940" w:type="dxa"/>
            <w:vAlign w:val="bottom"/>
            <w:gridSpan w:val="3"/>
          </w:tcPr>
          <w:p>
            <w:pPr>
              <w:jc w:val="right"/>
              <w:spacing w:after="0"/>
              <w:rPr>
                <w:sz w:val="20"/>
                <w:szCs w:val="20"/>
                <w:color w:val="auto"/>
              </w:rPr>
            </w:pPr>
            <w:r>
              <w:rPr>
                <w:rFonts w:ascii="Arial" w:cs="Arial" w:eastAsia="Arial" w:hAnsi="Arial"/>
                <w:sz w:val="18"/>
                <w:szCs w:val="18"/>
                <w:color w:val="auto"/>
              </w:rPr>
              <w:t>4,864,334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40" w:type="dxa"/>
            <w:vAlign w:val="bottom"/>
          </w:tcPr>
          <w:p>
            <w:pPr>
              <w:spacing w:after="0"/>
              <w:rPr>
                <w:sz w:val="18"/>
                <w:szCs w:val="18"/>
                <w:color w:val="auto"/>
              </w:rPr>
            </w:pPr>
          </w:p>
        </w:tc>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2020</w:t>
            </w:r>
          </w:p>
        </w:tc>
        <w:tc>
          <w:tcPr>
            <w:tcW w:w="29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4,864,334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40" w:type="dxa"/>
            <w:vAlign w:val="bottom"/>
          </w:tcPr>
          <w:p>
            <w:pPr>
              <w:spacing w:after="0"/>
              <w:rPr>
                <w:sz w:val="18"/>
                <w:szCs w:val="18"/>
                <w:color w:val="auto"/>
              </w:rPr>
            </w:pPr>
          </w:p>
        </w:tc>
        <w:tc>
          <w:tcPr>
            <w:tcW w:w="4760" w:type="dxa"/>
            <w:vAlign w:val="bottom"/>
          </w:tcPr>
          <w:p>
            <w:pPr>
              <w:spacing w:after="0"/>
              <w:rPr>
                <w:sz w:val="20"/>
                <w:szCs w:val="20"/>
                <w:color w:val="auto"/>
              </w:rPr>
            </w:pPr>
            <w:r>
              <w:rPr>
                <w:rFonts w:ascii="Arial" w:cs="Arial" w:eastAsia="Arial" w:hAnsi="Arial"/>
                <w:sz w:val="18"/>
                <w:szCs w:val="18"/>
                <w:color w:val="auto"/>
              </w:rPr>
              <w:t>2021</w:t>
            </w:r>
          </w:p>
        </w:tc>
        <w:tc>
          <w:tcPr>
            <w:tcW w:w="2940" w:type="dxa"/>
            <w:vAlign w:val="bottom"/>
            <w:gridSpan w:val="3"/>
          </w:tcPr>
          <w:p>
            <w:pPr>
              <w:jc w:val="right"/>
              <w:spacing w:after="0"/>
              <w:rPr>
                <w:sz w:val="20"/>
                <w:szCs w:val="20"/>
                <w:color w:val="auto"/>
              </w:rPr>
            </w:pPr>
            <w:r>
              <w:rPr>
                <w:rFonts w:ascii="Arial" w:cs="Arial" w:eastAsia="Arial" w:hAnsi="Arial"/>
                <w:sz w:val="18"/>
                <w:szCs w:val="18"/>
                <w:color w:val="auto"/>
              </w:rPr>
              <w:t>4,864,334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40" w:type="dxa"/>
            <w:vAlign w:val="bottom"/>
          </w:tcPr>
          <w:p>
            <w:pPr>
              <w:spacing w:after="0"/>
              <w:rPr>
                <w:sz w:val="18"/>
                <w:szCs w:val="18"/>
                <w:color w:val="auto"/>
              </w:rPr>
            </w:pPr>
          </w:p>
        </w:tc>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2022</w:t>
            </w:r>
          </w:p>
        </w:tc>
        <w:tc>
          <w:tcPr>
            <w:tcW w:w="29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4,864,334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840" w:type="dxa"/>
            <w:vAlign w:val="bottom"/>
          </w:tcPr>
          <w:p>
            <w:pPr>
              <w:spacing w:after="0"/>
              <w:rPr>
                <w:sz w:val="19"/>
                <w:szCs w:val="19"/>
                <w:color w:val="auto"/>
              </w:rPr>
            </w:pPr>
          </w:p>
        </w:tc>
        <w:tc>
          <w:tcPr>
            <w:tcW w:w="4760" w:type="dxa"/>
            <w:vAlign w:val="bottom"/>
          </w:tcPr>
          <w:p>
            <w:pPr>
              <w:spacing w:after="0"/>
              <w:rPr>
                <w:sz w:val="20"/>
                <w:szCs w:val="20"/>
                <w:color w:val="auto"/>
              </w:rPr>
            </w:pPr>
            <w:r>
              <w:rPr>
                <w:rFonts w:ascii="Arial" w:cs="Arial" w:eastAsia="Arial" w:hAnsi="Arial"/>
                <w:sz w:val="18"/>
                <w:szCs w:val="18"/>
                <w:color w:val="auto"/>
              </w:rPr>
              <w:t>Thereafter</w:t>
            </w:r>
          </w:p>
        </w:tc>
        <w:tc>
          <w:tcPr>
            <w:tcW w:w="2040" w:type="dxa"/>
            <w:vAlign w:val="bottom"/>
          </w:tcPr>
          <w:p>
            <w:pPr>
              <w:spacing w:after="0"/>
              <w:rPr>
                <w:sz w:val="19"/>
                <w:szCs w:val="19"/>
                <w:color w:val="auto"/>
              </w:rPr>
            </w:pPr>
          </w:p>
        </w:tc>
        <w:tc>
          <w:tcPr>
            <w:tcW w:w="9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97"/>
              </w:rPr>
              <w:t>25,258,970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840" w:type="dxa"/>
            <w:vAlign w:val="bottom"/>
          </w:tcPr>
          <w:p>
            <w:pPr>
              <w:spacing w:after="0"/>
              <w:rPr>
                <w:sz w:val="18"/>
                <w:szCs w:val="18"/>
                <w:color w:val="auto"/>
              </w:rPr>
            </w:pPr>
          </w:p>
        </w:tc>
        <w:tc>
          <w:tcPr>
            <w:tcW w:w="4760" w:type="dxa"/>
            <w:vAlign w:val="bottom"/>
            <w:shd w:val="clear" w:color="auto" w:fill="CCEEFF"/>
          </w:tcPr>
          <w:p>
            <w:pPr>
              <w:spacing w:after="0"/>
              <w:rPr>
                <w:sz w:val="18"/>
                <w:szCs w:val="18"/>
                <w:color w:val="auto"/>
              </w:rPr>
            </w:pPr>
          </w:p>
        </w:tc>
        <w:tc>
          <w:tcPr>
            <w:tcW w:w="2940" w:type="dxa"/>
            <w:vAlign w:val="bottom"/>
            <w:gridSpan w:val="3"/>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49,580,640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6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Note 6. Other Assets</w:t>
            </w:r>
          </w:p>
        </w:tc>
        <w:tc>
          <w:tcPr>
            <w:tcW w:w="20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4"/>
        </w:trPr>
        <w:tc>
          <w:tcPr>
            <w:tcW w:w="6600" w:type="dxa"/>
            <w:vAlign w:val="bottom"/>
            <w:gridSpan w:val="2"/>
            <w:vMerge w:val="continue"/>
          </w:tcPr>
          <w:p>
            <w:pPr>
              <w:spacing w:after="0"/>
              <w:rPr>
                <w:sz w:val="24"/>
                <w:szCs w:val="24"/>
                <w:color w:val="auto"/>
              </w:rPr>
            </w:pPr>
          </w:p>
        </w:tc>
        <w:tc>
          <w:tcPr>
            <w:tcW w:w="20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6600" w:type="dxa"/>
            <w:vAlign w:val="bottom"/>
            <w:gridSpan w:val="2"/>
          </w:tcPr>
          <w:p>
            <w:pPr>
              <w:spacing w:after="0"/>
              <w:rPr>
                <w:sz w:val="20"/>
                <w:szCs w:val="20"/>
                <w:color w:val="auto"/>
              </w:rPr>
            </w:pPr>
            <w:r>
              <w:rPr>
                <w:rFonts w:ascii="Arial" w:cs="Arial" w:eastAsia="Arial" w:hAnsi="Arial"/>
                <w:sz w:val="18"/>
                <w:szCs w:val="18"/>
                <w:color w:val="auto"/>
              </w:rPr>
              <w:t>Other assets at December 31, 2017 are as follows:</w:t>
            </w:r>
          </w:p>
        </w:tc>
        <w:tc>
          <w:tcPr>
            <w:tcW w:w="20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1840" w:type="dxa"/>
            <w:vAlign w:val="bottom"/>
            <w:vMerge w:val="restart"/>
          </w:tcPr>
          <w:p>
            <w:pPr>
              <w:spacing w:after="0"/>
              <w:rPr>
                <w:sz w:val="21"/>
                <w:szCs w:val="21"/>
                <w:color w:val="auto"/>
              </w:rPr>
            </w:pPr>
          </w:p>
        </w:tc>
        <w:tc>
          <w:tcPr>
            <w:tcW w:w="4760" w:type="dxa"/>
            <w:vAlign w:val="bottom"/>
          </w:tcPr>
          <w:p>
            <w:pPr>
              <w:spacing w:after="0"/>
              <w:rPr>
                <w:sz w:val="21"/>
                <w:szCs w:val="21"/>
                <w:color w:val="auto"/>
              </w:rPr>
            </w:pPr>
          </w:p>
        </w:tc>
        <w:tc>
          <w:tcPr>
            <w:tcW w:w="2120" w:type="dxa"/>
            <w:vAlign w:val="bottom"/>
            <w:gridSpan w:val="2"/>
          </w:tcPr>
          <w:p>
            <w:pPr>
              <w:spacing w:after="0"/>
              <w:rPr>
                <w:sz w:val="21"/>
                <w:szCs w:val="21"/>
                <w:color w:val="auto"/>
              </w:rPr>
            </w:pPr>
          </w:p>
        </w:tc>
        <w:tc>
          <w:tcPr>
            <w:tcW w:w="8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1840" w:type="dxa"/>
            <w:vAlign w:val="bottom"/>
            <w:vMerge w:val="continue"/>
          </w:tcPr>
          <w:p>
            <w:pPr>
              <w:spacing w:after="0"/>
              <w:rPr>
                <w:sz w:val="18"/>
                <w:szCs w:val="18"/>
                <w:color w:val="auto"/>
              </w:rPr>
            </w:pPr>
          </w:p>
        </w:tc>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Cash surrender value of life insurance</w:t>
            </w:r>
          </w:p>
        </w:tc>
        <w:tc>
          <w:tcPr>
            <w:tcW w:w="29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$2,623,721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840" w:type="dxa"/>
            <w:vAlign w:val="bottom"/>
          </w:tcPr>
          <w:p>
            <w:pPr>
              <w:spacing w:after="0"/>
              <w:rPr>
                <w:sz w:val="19"/>
                <w:szCs w:val="19"/>
                <w:color w:val="auto"/>
              </w:rPr>
            </w:pPr>
          </w:p>
        </w:tc>
        <w:tc>
          <w:tcPr>
            <w:tcW w:w="4760" w:type="dxa"/>
            <w:vAlign w:val="bottom"/>
          </w:tcPr>
          <w:p>
            <w:pPr>
              <w:spacing w:after="0"/>
              <w:rPr>
                <w:sz w:val="20"/>
                <w:szCs w:val="20"/>
                <w:color w:val="auto"/>
              </w:rPr>
            </w:pPr>
            <w:r>
              <w:rPr>
                <w:rFonts w:ascii="Arial" w:cs="Arial" w:eastAsia="Arial" w:hAnsi="Arial"/>
                <w:sz w:val="18"/>
                <w:szCs w:val="18"/>
                <w:color w:val="auto"/>
              </w:rPr>
              <w:t>Other</w:t>
            </w:r>
          </w:p>
        </w:tc>
        <w:tc>
          <w:tcPr>
            <w:tcW w:w="2120" w:type="dxa"/>
            <w:vAlign w:val="bottom"/>
            <w:gridSpan w:val="2"/>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1,149,598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840" w:type="dxa"/>
            <w:vAlign w:val="bottom"/>
          </w:tcPr>
          <w:p>
            <w:pPr>
              <w:spacing w:after="0"/>
              <w:rPr>
                <w:sz w:val="18"/>
                <w:szCs w:val="18"/>
                <w:color w:val="auto"/>
              </w:rPr>
            </w:pPr>
          </w:p>
        </w:tc>
        <w:tc>
          <w:tcPr>
            <w:tcW w:w="4760" w:type="dxa"/>
            <w:vAlign w:val="bottom"/>
            <w:shd w:val="clear" w:color="auto" w:fill="CCEEFF"/>
          </w:tcPr>
          <w:p>
            <w:pPr>
              <w:spacing w:after="0"/>
              <w:rPr>
                <w:sz w:val="18"/>
                <w:szCs w:val="18"/>
                <w:color w:val="auto"/>
              </w:rPr>
            </w:pPr>
          </w:p>
        </w:tc>
        <w:tc>
          <w:tcPr>
            <w:tcW w:w="2940" w:type="dxa"/>
            <w:vAlign w:val="bottom"/>
            <w:gridSpan w:val="3"/>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3,773,319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840" w:type="dxa"/>
            <w:vAlign w:val="bottom"/>
          </w:tcPr>
          <w:p>
            <w:pPr>
              <w:spacing w:after="0" w:line="20" w:lineRule="exact"/>
              <w:rPr>
                <w:sz w:val="1"/>
                <w:szCs w:val="1"/>
                <w:color w:val="auto"/>
              </w:rPr>
            </w:pPr>
          </w:p>
        </w:tc>
        <w:tc>
          <w:tcPr>
            <w:tcW w:w="476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Line of Credit and Long-Term Debt</w:t>
      </w:r>
    </w:p>
    <w:p>
      <w:pPr>
        <w:spacing w:after="0" w:line="121"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Effective May 22, 2017, the Company refinanced its existing debt and entered into a credit agreement with two financial institutions which included a term loan for $88 million, a revolving loan for $7.5 million and a swing loan for $2.0 million. This credit agreement requires quarterly principal payments for $220,000 per quarter and matures in May 2022. The Company has the option of electing the LIBOR interest rate or the Prime interest rate as the base for determining the interest rate on the term loan. The interest rate on borrowings is 5.25 percent plus the prime base rate, or 6.25 percent plus LIBOR rate, with a minimum LIBOR rate of 1.0 percent. In addition, a non-use fee payable monthly is charged at an annual rate of .5 percent. The credit agreement contains various restrictive covenants including limits on investments, acquisitions, capital distributions and capital leases. It also requires that the Company maintain a minimum Debt to EBITDA ratio for each reporting quarter. The effective aggregate interest rate was 7.6 percent at December 31, 2017.</w:t>
      </w:r>
    </w:p>
    <w:p>
      <w:pPr>
        <w:spacing w:after="0" w:line="167"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As a result of this refinancing, approximately $1,099,000 of deferred financing costs were written off representing the unamortized balance from the previous financing. Fees related to the new refinancing agreement totaling $2,486,382 were capitalized in May 2017 and will be amortized over the five year term of the loan.</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00"/>
          </w:cols>
          <w:pgMar w:left="240" w:top="270" w:right="259" w:bottom="1440" w:gutter="0" w:footer="0" w:header="0"/>
        </w:sectPr>
      </w:pPr>
    </w:p>
    <w:bookmarkStart w:id="20" w:name="page21"/>
    <w:bookmarkEnd w:id="20"/>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PMG Intermediate Holding Corporation and Subsidiaries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206375</wp:posOffset>
            </wp:positionV>
            <wp:extent cx="724662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93"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Prior to the refinancing in May 2017, the Company was under credit agreements with five lending institutions including a senior credit loan, a senior Term B loan and a revolving line of credit with a maturity date of December 5, 2018. The term loan interest was determined based on an incentive pricing schedule whereby the interest rate decreased as the ratio of debt to EBITDA decreases. The Company had the option of electing the LIBOR interest rate or the Prime interest rate as the base for determining the interest rate on the term loan and interest is payable monthly. The revolving line of credit provided for borrowings up to $20,000,000. The amended term loan provided for quarterly principal payments on the original term loan and the Term Loan B of $475,000 in 2015 through the third quarter of 2016, $693,750 in the fourth quarter of 2016 and in 2017, and $912,500 in 2018, with the outstanding balance of $48,278,750 due at maturity on December 5, 2018, less any excess cash flow payments made prior to maturity. The Term A Loan, including the U.S. dollar and Euro loan tranches, provides for quarterly principal payments of $269,040 in 2015 through the third quarter of 2016, $395,217 in the fourth quarter of 2016 and in 2017, and $538,079 in 2018, with the outstanding balance of $21,699,633 due at maturity on December 5, 2018.</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960" w:type="dxa"/>
            <w:vAlign w:val="bottom"/>
            <w:gridSpan w:val="2"/>
          </w:tcPr>
          <w:p>
            <w:pPr>
              <w:spacing w:after="0"/>
              <w:rPr>
                <w:sz w:val="20"/>
                <w:szCs w:val="20"/>
                <w:color w:val="auto"/>
              </w:rPr>
            </w:pPr>
            <w:r>
              <w:rPr>
                <w:rFonts w:ascii="Arial" w:cs="Arial" w:eastAsia="Arial" w:hAnsi="Arial"/>
                <w:sz w:val="18"/>
                <w:szCs w:val="18"/>
                <w:color w:val="auto"/>
              </w:rPr>
              <w:t>Long-term debt at December 31, 2017 is as follows:</w:t>
            </w:r>
          </w:p>
        </w:tc>
        <w:tc>
          <w:tcPr>
            <w:tcW w:w="6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1840" w:type="dxa"/>
            <w:vAlign w:val="bottom"/>
            <w:vMerge w:val="restart"/>
          </w:tcPr>
          <w:p>
            <w:pPr>
              <w:spacing w:after="0"/>
              <w:rPr>
                <w:sz w:val="21"/>
                <w:szCs w:val="21"/>
                <w:color w:val="auto"/>
              </w:rPr>
            </w:pPr>
          </w:p>
        </w:tc>
        <w:tc>
          <w:tcPr>
            <w:tcW w:w="61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1840" w:type="dxa"/>
            <w:vAlign w:val="bottom"/>
            <w:vMerge w:val="continue"/>
          </w:tcPr>
          <w:p>
            <w:pPr>
              <w:spacing w:after="0"/>
              <w:rPr>
                <w:sz w:val="18"/>
                <w:szCs w:val="18"/>
                <w:color w:val="auto"/>
              </w:rPr>
            </w:pPr>
          </w:p>
        </w:tc>
        <w:tc>
          <w:tcPr>
            <w:tcW w:w="6120" w:type="dxa"/>
            <w:vAlign w:val="bottom"/>
            <w:shd w:val="clear" w:color="auto" w:fill="CCEEFF"/>
          </w:tcPr>
          <w:p>
            <w:pPr>
              <w:spacing w:after="0"/>
              <w:rPr>
                <w:sz w:val="20"/>
                <w:szCs w:val="20"/>
                <w:color w:val="auto"/>
              </w:rPr>
            </w:pPr>
            <w:r>
              <w:rPr>
                <w:rFonts w:ascii="Arial" w:cs="Arial" w:eastAsia="Arial" w:hAnsi="Arial"/>
                <w:sz w:val="18"/>
                <w:szCs w:val="18"/>
                <w:color w:val="auto"/>
              </w:rPr>
              <w:t>Revolving line of credit</w:t>
            </w:r>
          </w:p>
        </w:tc>
        <w:tc>
          <w:tcPr>
            <w:tcW w:w="76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3"/>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1840" w:type="dxa"/>
            <w:vAlign w:val="bottom"/>
          </w:tcPr>
          <w:p>
            <w:pPr>
              <w:spacing w:after="0"/>
              <w:rPr>
                <w:sz w:val="19"/>
                <w:szCs w:val="19"/>
                <w:color w:val="auto"/>
              </w:rPr>
            </w:pPr>
          </w:p>
        </w:tc>
        <w:tc>
          <w:tcPr>
            <w:tcW w:w="6120" w:type="dxa"/>
            <w:vAlign w:val="bottom"/>
          </w:tcPr>
          <w:p>
            <w:pPr>
              <w:spacing w:after="0"/>
              <w:rPr>
                <w:sz w:val="20"/>
                <w:szCs w:val="20"/>
                <w:color w:val="auto"/>
              </w:rPr>
            </w:pPr>
            <w:r>
              <w:rPr>
                <w:rFonts w:ascii="Arial" w:cs="Arial" w:eastAsia="Arial" w:hAnsi="Arial"/>
                <w:sz w:val="18"/>
                <w:szCs w:val="18"/>
                <w:color w:val="auto"/>
              </w:rPr>
              <w:t>Term loans, net of deferred financing costs</w:t>
            </w:r>
          </w:p>
        </w:tc>
        <w:tc>
          <w:tcPr>
            <w:tcW w:w="620" w:type="dxa"/>
            <w:vAlign w:val="bottom"/>
          </w:tcPr>
          <w:p>
            <w:pPr>
              <w:spacing w:after="0"/>
              <w:rPr>
                <w:sz w:val="19"/>
                <w:szCs w:val="19"/>
                <w:color w:val="auto"/>
              </w:rPr>
            </w:pPr>
          </w:p>
        </w:tc>
        <w:tc>
          <w:tcPr>
            <w:tcW w:w="90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color w:val="auto"/>
                <w:w w:val="97"/>
              </w:rPr>
              <w:t>86,030,000</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840" w:type="dxa"/>
            <w:vAlign w:val="bottom"/>
          </w:tcPr>
          <w:p>
            <w:pPr>
              <w:spacing w:after="0"/>
              <w:rPr>
                <w:sz w:val="18"/>
                <w:szCs w:val="18"/>
                <w:color w:val="auto"/>
              </w:rPr>
            </w:pPr>
          </w:p>
        </w:tc>
        <w:tc>
          <w:tcPr>
            <w:tcW w:w="6120" w:type="dxa"/>
            <w:vAlign w:val="bottom"/>
            <w:shd w:val="clear" w:color="auto" w:fill="CCEEFF"/>
          </w:tcPr>
          <w:p>
            <w:pPr>
              <w:spacing w:after="0"/>
              <w:rPr>
                <w:sz w:val="18"/>
                <w:szCs w:val="18"/>
                <w:color w:val="auto"/>
              </w:rPr>
            </w:pPr>
          </w:p>
        </w:tc>
        <w:tc>
          <w:tcPr>
            <w:tcW w:w="152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86,030,000</w:t>
            </w: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40" w:type="dxa"/>
            <w:vAlign w:val="bottom"/>
          </w:tcPr>
          <w:p>
            <w:pPr>
              <w:spacing w:after="0"/>
              <w:rPr>
                <w:sz w:val="18"/>
                <w:szCs w:val="18"/>
                <w:color w:val="auto"/>
              </w:rPr>
            </w:pPr>
          </w:p>
        </w:tc>
        <w:tc>
          <w:tcPr>
            <w:tcW w:w="6120" w:type="dxa"/>
            <w:vAlign w:val="bottom"/>
          </w:tcPr>
          <w:p>
            <w:pPr>
              <w:spacing w:after="0"/>
              <w:rPr>
                <w:sz w:val="20"/>
                <w:szCs w:val="20"/>
                <w:color w:val="auto"/>
              </w:rPr>
            </w:pPr>
            <w:r>
              <w:rPr>
                <w:rFonts w:ascii="Arial" w:cs="Arial" w:eastAsia="Arial" w:hAnsi="Arial"/>
                <w:sz w:val="18"/>
                <w:szCs w:val="18"/>
                <w:color w:val="auto"/>
              </w:rPr>
              <w:t>Less deferred financing costs (net of $348,783 of accumulated amortization)</w:t>
            </w:r>
          </w:p>
        </w:tc>
        <w:tc>
          <w:tcPr>
            <w:tcW w:w="1580" w:type="dxa"/>
            <w:vAlign w:val="bottom"/>
            <w:gridSpan w:val="6"/>
          </w:tcPr>
          <w:p>
            <w:pPr>
              <w:jc w:val="right"/>
              <w:spacing w:after="0"/>
              <w:rPr>
                <w:sz w:val="20"/>
                <w:szCs w:val="20"/>
                <w:color w:val="auto"/>
              </w:rPr>
            </w:pPr>
            <w:r>
              <w:rPr>
                <w:rFonts w:ascii="Arial" w:cs="Arial" w:eastAsia="Arial" w:hAnsi="Arial"/>
                <w:sz w:val="18"/>
                <w:szCs w:val="18"/>
                <w:color w:val="auto"/>
              </w:rPr>
              <w:t>(2,137,639)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40" w:type="dxa"/>
            <w:vAlign w:val="bottom"/>
          </w:tcPr>
          <w:p>
            <w:pPr>
              <w:spacing w:after="0"/>
              <w:rPr>
                <w:sz w:val="18"/>
                <w:szCs w:val="18"/>
                <w:color w:val="auto"/>
              </w:rPr>
            </w:pPr>
          </w:p>
        </w:tc>
        <w:tc>
          <w:tcPr>
            <w:tcW w:w="6120" w:type="dxa"/>
            <w:vAlign w:val="bottom"/>
            <w:shd w:val="clear" w:color="auto" w:fill="CCEEFF"/>
          </w:tcPr>
          <w:p>
            <w:pPr>
              <w:spacing w:after="0"/>
              <w:rPr>
                <w:sz w:val="20"/>
                <w:szCs w:val="20"/>
                <w:color w:val="auto"/>
              </w:rPr>
            </w:pPr>
            <w:r>
              <w:rPr>
                <w:rFonts w:ascii="Arial" w:cs="Arial" w:eastAsia="Arial" w:hAnsi="Arial"/>
                <w:sz w:val="18"/>
                <w:szCs w:val="18"/>
                <w:color w:val="auto"/>
              </w:rPr>
              <w:t>Less current maturities</w:t>
            </w:r>
          </w:p>
        </w:tc>
        <w:tc>
          <w:tcPr>
            <w:tcW w:w="6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(880,000)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840" w:type="dxa"/>
            <w:vAlign w:val="bottom"/>
          </w:tcPr>
          <w:p>
            <w:pPr>
              <w:spacing w:after="0"/>
              <w:rPr>
                <w:sz w:val="19"/>
                <w:szCs w:val="19"/>
                <w:color w:val="auto"/>
              </w:rPr>
            </w:pPr>
          </w:p>
        </w:tc>
        <w:tc>
          <w:tcPr>
            <w:tcW w:w="6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900" w:type="dxa"/>
            <w:vAlign w:val="bottom"/>
            <w:tcBorders>
              <w:top w:val="single" w:sz="8" w:color="auto"/>
              <w:bottom w:val="single" w:sz="8" w:color="auto"/>
            </w:tcBorders>
            <w:gridSpan w:val="4"/>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83,012,361</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960" w:type="dxa"/>
            <w:vAlign w:val="bottom"/>
            <w:gridSpan w:val="2"/>
            <w:vMerge w:val="restart"/>
          </w:tcPr>
          <w:p>
            <w:pPr>
              <w:spacing w:after="0"/>
              <w:rPr>
                <w:sz w:val="20"/>
                <w:szCs w:val="20"/>
                <w:color w:val="auto"/>
              </w:rPr>
            </w:pPr>
            <w:r>
              <w:rPr>
                <w:rFonts w:ascii="Arial" w:cs="Arial" w:eastAsia="Arial" w:hAnsi="Arial"/>
                <w:sz w:val="18"/>
                <w:szCs w:val="18"/>
                <w:color w:val="auto"/>
              </w:rPr>
              <w:t>Maturities of long-term debt are as follows:</w:t>
            </w:r>
          </w:p>
        </w:tc>
        <w:tc>
          <w:tcPr>
            <w:tcW w:w="6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7960" w:type="dxa"/>
            <w:vAlign w:val="bottom"/>
            <w:gridSpan w:val="2"/>
            <w:vMerge w:val="continue"/>
          </w:tcPr>
          <w:p>
            <w:pPr>
              <w:spacing w:after="0"/>
              <w:rPr>
                <w:sz w:val="24"/>
                <w:szCs w:val="24"/>
                <w:color w:val="auto"/>
              </w:rPr>
            </w:pPr>
          </w:p>
        </w:tc>
        <w:tc>
          <w:tcPr>
            <w:tcW w:w="6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1840" w:type="dxa"/>
            <w:vAlign w:val="bottom"/>
            <w:vMerge w:val="restart"/>
          </w:tcPr>
          <w:p>
            <w:pPr>
              <w:spacing w:after="0"/>
              <w:rPr>
                <w:sz w:val="21"/>
                <w:szCs w:val="21"/>
                <w:color w:val="auto"/>
              </w:rPr>
            </w:pPr>
          </w:p>
        </w:tc>
        <w:tc>
          <w:tcPr>
            <w:tcW w:w="6120" w:type="dxa"/>
            <w:vAlign w:val="bottom"/>
          </w:tcPr>
          <w:p>
            <w:pPr>
              <w:spacing w:after="0"/>
              <w:rPr>
                <w:sz w:val="21"/>
                <w:szCs w:val="21"/>
                <w:color w:val="auto"/>
              </w:rPr>
            </w:pPr>
          </w:p>
        </w:tc>
        <w:tc>
          <w:tcPr>
            <w:tcW w:w="680" w:type="dxa"/>
            <w:vAlign w:val="bottom"/>
            <w:gridSpan w:val="2"/>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20" w:type="dxa"/>
            <w:vAlign w:val="bottom"/>
            <w:gridSpan w:val="2"/>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1840" w:type="dxa"/>
            <w:vAlign w:val="bottom"/>
            <w:vMerge w:val="continue"/>
          </w:tcPr>
          <w:p>
            <w:pPr>
              <w:spacing w:after="0"/>
              <w:rPr>
                <w:sz w:val="18"/>
                <w:szCs w:val="18"/>
                <w:color w:val="auto"/>
              </w:rPr>
            </w:pPr>
          </w:p>
        </w:tc>
        <w:tc>
          <w:tcPr>
            <w:tcW w:w="6120" w:type="dxa"/>
            <w:vAlign w:val="bottom"/>
            <w:shd w:val="clear" w:color="auto" w:fill="CCEEFF"/>
          </w:tcPr>
          <w:p>
            <w:pPr>
              <w:spacing w:after="0"/>
              <w:rPr>
                <w:sz w:val="20"/>
                <w:szCs w:val="20"/>
                <w:color w:val="auto"/>
              </w:rPr>
            </w:pPr>
            <w:r>
              <w:rPr>
                <w:rFonts w:ascii="Arial" w:cs="Arial" w:eastAsia="Arial" w:hAnsi="Arial"/>
                <w:sz w:val="18"/>
                <w:szCs w:val="18"/>
                <w:color w:val="auto"/>
              </w:rPr>
              <w:t>2018</w:t>
            </w:r>
          </w:p>
        </w:tc>
        <w:tc>
          <w:tcPr>
            <w:tcW w:w="76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880,000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40" w:type="dxa"/>
            <w:vAlign w:val="bottom"/>
          </w:tcPr>
          <w:p>
            <w:pPr>
              <w:spacing w:after="0"/>
              <w:rPr>
                <w:sz w:val="18"/>
                <w:szCs w:val="18"/>
                <w:color w:val="auto"/>
              </w:rPr>
            </w:pPr>
          </w:p>
        </w:tc>
        <w:tc>
          <w:tcPr>
            <w:tcW w:w="6120" w:type="dxa"/>
            <w:vAlign w:val="bottom"/>
          </w:tcPr>
          <w:p>
            <w:pPr>
              <w:spacing w:after="0"/>
              <w:rPr>
                <w:sz w:val="20"/>
                <w:szCs w:val="20"/>
                <w:color w:val="auto"/>
              </w:rPr>
            </w:pPr>
            <w:r>
              <w:rPr>
                <w:rFonts w:ascii="Arial" w:cs="Arial" w:eastAsia="Arial" w:hAnsi="Arial"/>
                <w:sz w:val="18"/>
                <w:szCs w:val="18"/>
                <w:color w:val="auto"/>
              </w:rPr>
              <w:t>2019</w:t>
            </w:r>
          </w:p>
        </w:tc>
        <w:tc>
          <w:tcPr>
            <w:tcW w:w="6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880,000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40" w:type="dxa"/>
            <w:vAlign w:val="bottom"/>
          </w:tcPr>
          <w:p>
            <w:pPr>
              <w:spacing w:after="0"/>
              <w:rPr>
                <w:sz w:val="18"/>
                <w:szCs w:val="18"/>
                <w:color w:val="auto"/>
              </w:rPr>
            </w:pPr>
          </w:p>
        </w:tc>
        <w:tc>
          <w:tcPr>
            <w:tcW w:w="6120" w:type="dxa"/>
            <w:vAlign w:val="bottom"/>
            <w:shd w:val="clear" w:color="auto" w:fill="CCEEFF"/>
          </w:tcPr>
          <w:p>
            <w:pPr>
              <w:spacing w:after="0"/>
              <w:rPr>
                <w:sz w:val="20"/>
                <w:szCs w:val="20"/>
                <w:color w:val="auto"/>
              </w:rPr>
            </w:pPr>
            <w:r>
              <w:rPr>
                <w:rFonts w:ascii="Arial" w:cs="Arial" w:eastAsia="Arial" w:hAnsi="Arial"/>
                <w:sz w:val="18"/>
                <w:szCs w:val="18"/>
                <w:color w:val="auto"/>
              </w:rPr>
              <w:t>2020</w:t>
            </w:r>
          </w:p>
        </w:tc>
        <w:tc>
          <w:tcPr>
            <w:tcW w:w="6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880,000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40" w:type="dxa"/>
            <w:vAlign w:val="bottom"/>
          </w:tcPr>
          <w:p>
            <w:pPr>
              <w:spacing w:after="0"/>
              <w:rPr>
                <w:sz w:val="18"/>
                <w:szCs w:val="18"/>
                <w:color w:val="auto"/>
              </w:rPr>
            </w:pPr>
          </w:p>
        </w:tc>
        <w:tc>
          <w:tcPr>
            <w:tcW w:w="6120" w:type="dxa"/>
            <w:vAlign w:val="bottom"/>
          </w:tcPr>
          <w:p>
            <w:pPr>
              <w:spacing w:after="0"/>
              <w:rPr>
                <w:sz w:val="20"/>
                <w:szCs w:val="20"/>
                <w:color w:val="auto"/>
              </w:rPr>
            </w:pPr>
            <w:r>
              <w:rPr>
                <w:rFonts w:ascii="Arial" w:cs="Arial" w:eastAsia="Arial" w:hAnsi="Arial"/>
                <w:sz w:val="18"/>
                <w:szCs w:val="18"/>
                <w:color w:val="auto"/>
              </w:rPr>
              <w:t>2021</w:t>
            </w:r>
          </w:p>
        </w:tc>
        <w:tc>
          <w:tcPr>
            <w:tcW w:w="6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880,000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40" w:type="dxa"/>
            <w:vAlign w:val="bottom"/>
          </w:tcPr>
          <w:p>
            <w:pPr>
              <w:spacing w:after="0"/>
              <w:rPr>
                <w:sz w:val="18"/>
                <w:szCs w:val="18"/>
                <w:color w:val="auto"/>
              </w:rPr>
            </w:pPr>
          </w:p>
        </w:tc>
        <w:tc>
          <w:tcPr>
            <w:tcW w:w="6120" w:type="dxa"/>
            <w:vAlign w:val="bottom"/>
            <w:shd w:val="clear" w:color="auto" w:fill="CCEEFF"/>
          </w:tcPr>
          <w:p>
            <w:pPr>
              <w:spacing w:after="0"/>
              <w:rPr>
                <w:sz w:val="20"/>
                <w:szCs w:val="20"/>
                <w:color w:val="auto"/>
              </w:rPr>
            </w:pPr>
            <w:r>
              <w:rPr>
                <w:rFonts w:ascii="Arial" w:cs="Arial" w:eastAsia="Arial" w:hAnsi="Arial"/>
                <w:sz w:val="18"/>
                <w:szCs w:val="18"/>
                <w:color w:val="auto"/>
              </w:rPr>
              <w:t>2022</w:t>
            </w:r>
          </w:p>
        </w:tc>
        <w:tc>
          <w:tcPr>
            <w:tcW w:w="6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88"/>
              </w:rPr>
              <w:t>82,510,000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840" w:type="dxa"/>
            <w:vAlign w:val="bottom"/>
          </w:tcPr>
          <w:p>
            <w:pPr>
              <w:spacing w:after="0"/>
              <w:rPr>
                <w:sz w:val="19"/>
                <w:szCs w:val="19"/>
                <w:color w:val="auto"/>
              </w:rPr>
            </w:pPr>
          </w:p>
        </w:tc>
        <w:tc>
          <w:tcPr>
            <w:tcW w:w="6120" w:type="dxa"/>
            <w:vAlign w:val="bottom"/>
          </w:tcPr>
          <w:p>
            <w:pPr>
              <w:spacing w:after="0"/>
              <w:rPr>
                <w:sz w:val="19"/>
                <w:szCs w:val="19"/>
                <w:color w:val="auto"/>
              </w:rPr>
            </w:pPr>
          </w:p>
        </w:tc>
        <w:tc>
          <w:tcPr>
            <w:tcW w:w="680" w:type="dxa"/>
            <w:vAlign w:val="bottom"/>
            <w:gridSpan w:val="2"/>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u w:val="single" w:color="auto"/>
                <w:color w:val="auto"/>
                <w:w w:val="85"/>
              </w:rPr>
              <w:t>$</w:t>
            </w:r>
            <w:r>
              <w:rPr>
                <w:rFonts w:ascii="Arial" w:cs="Arial" w:eastAsia="Arial" w:hAnsi="Arial"/>
                <w:sz w:val="18"/>
                <w:szCs w:val="18"/>
                <w:color w:val="auto"/>
                <w:w w:val="85"/>
              </w:rPr>
              <w:t>86,030,000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840" w:type="dxa"/>
            <w:vAlign w:val="bottom"/>
          </w:tcPr>
          <w:p>
            <w:pPr>
              <w:spacing w:after="0" w:line="20" w:lineRule="exact"/>
              <w:rPr>
                <w:sz w:val="1"/>
                <w:szCs w:val="1"/>
                <w:color w:val="auto"/>
              </w:rPr>
            </w:pPr>
          </w:p>
        </w:tc>
        <w:tc>
          <w:tcPr>
            <w:tcW w:w="61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Interest Rate Cap and Fair Value Measurements</w:t>
      </w:r>
    </w:p>
    <w:p>
      <w:pPr>
        <w:spacing w:after="0" w:line="117" w:lineRule="exact"/>
        <w:rPr>
          <w:sz w:val="20"/>
          <w:szCs w:val="20"/>
          <w:color w:val="auto"/>
        </w:rPr>
      </w:pPr>
    </w:p>
    <w:p>
      <w:pPr>
        <w:ind w:right="700"/>
        <w:spacing w:after="0" w:line="282" w:lineRule="auto"/>
        <w:rPr>
          <w:sz w:val="20"/>
          <w:szCs w:val="20"/>
          <w:color w:val="auto"/>
        </w:rPr>
      </w:pPr>
      <w:r>
        <w:rPr>
          <w:rFonts w:ascii="Arial" w:cs="Arial" w:eastAsia="Arial" w:hAnsi="Arial"/>
          <w:sz w:val="18"/>
          <w:szCs w:val="18"/>
          <w:b w:val="1"/>
          <w:bCs w:val="1"/>
          <w:color w:val="auto"/>
        </w:rPr>
        <w:t xml:space="preserve">Interest rate cap: </w:t>
      </w:r>
      <w:r>
        <w:rPr>
          <w:rFonts w:ascii="Arial" w:cs="Arial" w:eastAsia="Arial" w:hAnsi="Arial"/>
          <w:sz w:val="18"/>
          <w:szCs w:val="18"/>
          <w:color w:val="auto"/>
        </w:rPr>
        <w:t>The Company maintains an interest rate risk management strategy that uses an interest rate cap derivative instrument to minimize</w:t>
      </w:r>
      <w:r>
        <w:rPr>
          <w:rFonts w:ascii="Arial" w:cs="Arial" w:eastAsia="Arial" w:hAnsi="Arial"/>
          <w:sz w:val="18"/>
          <w:szCs w:val="18"/>
          <w:b w:val="1"/>
          <w:bCs w:val="1"/>
          <w:color w:val="auto"/>
        </w:rPr>
        <w:t xml:space="preserve"> </w:t>
      </w:r>
      <w:r>
        <w:rPr>
          <w:rFonts w:ascii="Arial" w:cs="Arial" w:eastAsia="Arial" w:hAnsi="Arial"/>
          <w:sz w:val="18"/>
          <w:szCs w:val="18"/>
          <w:color w:val="auto"/>
        </w:rPr>
        <w:t>significant, unanticipated earnings fluctuations caused by interest-rate volatility.</w:t>
      </w:r>
    </w:p>
    <w:p>
      <w:pPr>
        <w:spacing w:after="0" w:line="166" w:lineRule="exact"/>
        <w:rPr>
          <w:sz w:val="20"/>
          <w:szCs w:val="20"/>
          <w:color w:val="auto"/>
        </w:rPr>
      </w:pPr>
    </w:p>
    <w:p>
      <w:pPr>
        <w:ind w:right="380"/>
        <w:spacing w:after="0" w:line="264" w:lineRule="auto"/>
        <w:rPr>
          <w:sz w:val="20"/>
          <w:szCs w:val="20"/>
          <w:color w:val="auto"/>
        </w:rPr>
      </w:pPr>
      <w:r>
        <w:rPr>
          <w:rFonts w:ascii="Arial" w:cs="Arial" w:eastAsia="Arial" w:hAnsi="Arial"/>
          <w:sz w:val="18"/>
          <w:szCs w:val="18"/>
          <w:color w:val="auto"/>
        </w:rPr>
        <w:t>In February 2015, the Company entered into an interest rate cap agreement with an original notional principal amount of $21,829,450 which increased to $39,486,202 in March 2017 and then amortizes down to $35,613,918 by the maturity date in December 2018. The maximum rate for this agreement is 4.0 percent.</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00"/>
          </w:cols>
          <w:pgMar w:left="240" w:top="270" w:right="259" w:bottom="1440" w:gutter="0" w:footer="0" w:header="0"/>
        </w:sectPr>
      </w:pPr>
    </w:p>
    <w:bookmarkStart w:id="21" w:name="page22"/>
    <w:bookmarkEnd w:id="21"/>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PMG Intermediate Holding Corporation and Subsidiaries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206375</wp:posOffset>
            </wp:positionV>
            <wp:extent cx="724662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93" w:lineRule="exact"/>
        <w:rPr>
          <w:sz w:val="20"/>
          <w:szCs w:val="20"/>
          <w:color w:val="auto"/>
        </w:rPr>
      </w:pPr>
    </w:p>
    <w:p>
      <w:pPr>
        <w:ind w:right="100"/>
        <w:spacing w:after="0" w:line="297" w:lineRule="auto"/>
        <w:rPr>
          <w:sz w:val="20"/>
          <w:szCs w:val="20"/>
          <w:color w:val="auto"/>
        </w:rPr>
      </w:pPr>
      <w:r>
        <w:rPr>
          <w:rFonts w:ascii="Arial" w:cs="Arial" w:eastAsia="Arial" w:hAnsi="Arial"/>
          <w:sz w:val="16"/>
          <w:szCs w:val="16"/>
          <w:color w:val="auto"/>
        </w:rPr>
        <w:t>Under the agreement, the Company’s interest rate is capped for the entire term of the hedge at a maximum stated rate plus the LIBOR margin which varies based upon the debt to EBITDA ratio as of the end of each quarter. The Company is exposed to credit loss in the event of nonperformance by the counter party to the interest rate cap agreement. However, the Company does not anticipate nonperformance by the counter party. Although the cap is an interest rate hedge, the Company has chosen not to account for the cap as a “cash-flow” hedge instrument, as defined by accounting principles generally accepted in the United States of America, and therefore the gain or loss on the cap is recognized in the statement of income as interest expense in the period of change.</w:t>
      </w:r>
    </w:p>
    <w:p>
      <w:pPr>
        <w:spacing w:after="0" w:line="154" w:lineRule="exact"/>
        <w:rPr>
          <w:sz w:val="20"/>
          <w:szCs w:val="20"/>
          <w:color w:val="auto"/>
        </w:rPr>
      </w:pPr>
    </w:p>
    <w:p>
      <w:pPr>
        <w:ind w:right="60"/>
        <w:spacing w:after="0" w:line="295" w:lineRule="auto"/>
        <w:rPr>
          <w:sz w:val="20"/>
          <w:szCs w:val="20"/>
          <w:color w:val="auto"/>
        </w:rPr>
      </w:pPr>
      <w:r>
        <w:rPr>
          <w:rFonts w:ascii="Arial" w:cs="Arial" w:eastAsia="Arial" w:hAnsi="Arial"/>
          <w:sz w:val="16"/>
          <w:szCs w:val="16"/>
          <w:b w:val="1"/>
          <w:bCs w:val="1"/>
          <w:color w:val="auto"/>
        </w:rPr>
        <w:t xml:space="preserve">Fair value measurements: </w:t>
      </w:r>
      <w:r>
        <w:rPr>
          <w:rFonts w:ascii="Arial" w:cs="Arial" w:eastAsia="Arial" w:hAnsi="Arial"/>
          <w:sz w:val="16"/>
          <w:szCs w:val="16"/>
          <w:color w:val="auto"/>
        </w:rPr>
        <w:t>The Company uses a framework for measuring fair value of all financial instruments that are being measured and reported on a</w:t>
      </w:r>
      <w:r>
        <w:rPr>
          <w:rFonts w:ascii="Arial" w:cs="Arial" w:eastAsia="Arial" w:hAnsi="Arial"/>
          <w:sz w:val="16"/>
          <w:szCs w:val="16"/>
          <w:b w:val="1"/>
          <w:bCs w:val="1"/>
          <w:color w:val="auto"/>
        </w:rPr>
        <w:t xml:space="preserve"> </w:t>
      </w:r>
      <w:r>
        <w:rPr>
          <w:rFonts w:ascii="Arial" w:cs="Arial" w:eastAsia="Arial" w:hAnsi="Arial"/>
          <w:sz w:val="16"/>
          <w:szCs w:val="16"/>
          <w:color w:val="auto"/>
        </w:rPr>
        <w:t>fair value basis. Fair value is defined as the price that would be received to sell an asset or paid to transfer a liability in an orderly transaction between market participants at the measurement date. In determining fair value, the Company uses various methods including market, income and cost approaches. Based on these approaches, the Company often utilizes certain assumptions that market participants would use in pricing the asset or liability, including assumptions about risk and/or the risks inherent in the inputs to the valuation technique. These inputs can be readily observable, market corroborated, or generally unobservable inputs. The Company utilizes valuation techniques that maximize the use of observable inputs and minimize the use of unobservable inputs.</w:t>
      </w:r>
    </w:p>
    <w:p>
      <w:pPr>
        <w:spacing w:after="0" w:line="160"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Based on the observability of the inputs used in the valuation techniques, the Company is required to provide the following information according to the fair value hierarchy. The fair value hierarchy ranks the quality and reliability of the information used to determine fair values. Financial assets and liabilities carried at fair value will be classified and disclosed in one of the following three categories:</w:t>
      </w:r>
    </w:p>
    <w:p>
      <w:pPr>
        <w:spacing w:after="0" w:line="204"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Level 1</w:t>
      </w:r>
      <w:r>
        <w:rPr>
          <w:sz w:val="20"/>
          <w:szCs w:val="20"/>
          <w:color w:val="auto"/>
        </w:rPr>
        <w:tab/>
      </w:r>
      <w:r>
        <w:rPr>
          <w:rFonts w:ascii="Arial" w:cs="Arial" w:eastAsia="Arial" w:hAnsi="Arial"/>
          <w:sz w:val="16"/>
          <w:szCs w:val="16"/>
          <w:color w:val="auto"/>
        </w:rPr>
        <w:t>Valuations for assets and liabilities traded in active exchange markets, such as the New York Stock Exchange. Level 1 also includes U.S.</w:t>
      </w:r>
    </w:p>
    <w:p>
      <w:pPr>
        <w:spacing w:after="0" w:line="27" w:lineRule="exact"/>
        <w:rPr>
          <w:sz w:val="20"/>
          <w:szCs w:val="20"/>
          <w:color w:val="auto"/>
        </w:rPr>
      </w:pPr>
    </w:p>
    <w:p>
      <w:pPr>
        <w:ind w:left="1040"/>
        <w:spacing w:after="0"/>
        <w:rPr>
          <w:sz w:val="20"/>
          <w:szCs w:val="20"/>
          <w:color w:val="auto"/>
        </w:rPr>
      </w:pPr>
      <w:r>
        <w:rPr>
          <w:rFonts w:ascii="Arial" w:cs="Arial" w:eastAsia="Arial" w:hAnsi="Arial"/>
          <w:sz w:val="16"/>
          <w:szCs w:val="16"/>
          <w:color w:val="auto"/>
        </w:rPr>
        <w:t>Treasury and federal agency securities and federal agency mortgage-backed securities, which are traded by dealers or brokers in active markets.</w:t>
      </w:r>
    </w:p>
    <w:p>
      <w:pPr>
        <w:spacing w:after="0" w:line="32"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Valuations are obtained from readily available pricing sources for market transactions involving identical assets or liabilities.</w:t>
      </w:r>
    </w:p>
    <w:p>
      <w:pPr>
        <w:spacing w:after="0" w:line="99" w:lineRule="exact"/>
        <w:rPr>
          <w:sz w:val="20"/>
          <w:szCs w:val="20"/>
          <w:color w:val="auto"/>
        </w:rPr>
      </w:pPr>
    </w:p>
    <w:p>
      <w:pPr>
        <w:ind w:left="1040" w:right="160" w:hanging="1039"/>
        <w:spacing w:after="0" w:line="277" w:lineRule="auto"/>
        <w:tabs>
          <w:tab w:leader="none" w:pos="1020" w:val="left"/>
        </w:tabs>
        <w:rPr>
          <w:sz w:val="20"/>
          <w:szCs w:val="20"/>
          <w:color w:val="auto"/>
        </w:rPr>
      </w:pPr>
      <w:r>
        <w:rPr>
          <w:rFonts w:ascii="Arial" w:cs="Arial" w:eastAsia="Arial" w:hAnsi="Arial"/>
          <w:sz w:val="18"/>
          <w:szCs w:val="18"/>
          <w:b w:val="1"/>
          <w:bCs w:val="1"/>
          <w:color w:val="auto"/>
        </w:rPr>
        <w:t>Level 2</w:t>
      </w:r>
      <w:r>
        <w:rPr>
          <w:sz w:val="20"/>
          <w:szCs w:val="20"/>
          <w:color w:val="auto"/>
        </w:rPr>
        <w:tab/>
      </w:r>
      <w:r>
        <w:rPr>
          <w:rFonts w:ascii="Arial" w:cs="Arial" w:eastAsia="Arial" w:hAnsi="Arial"/>
          <w:sz w:val="18"/>
          <w:szCs w:val="18"/>
          <w:color w:val="auto"/>
        </w:rPr>
        <w:t>Valuations for assets and liabilities traded in less active dealer or broker markets. Valuations are obtained from third party pricing services for identical or similar assets or liabilities.</w:t>
      </w:r>
    </w:p>
    <w:p>
      <w:pPr>
        <w:spacing w:after="0" w:line="62" w:lineRule="exact"/>
        <w:rPr>
          <w:sz w:val="20"/>
          <w:szCs w:val="20"/>
          <w:color w:val="auto"/>
        </w:rPr>
      </w:pPr>
    </w:p>
    <w:p>
      <w:pPr>
        <w:jc w:val="both"/>
        <w:ind w:left="1040" w:right="60" w:hanging="1039"/>
        <w:spacing w:after="0" w:line="286" w:lineRule="auto"/>
        <w:tabs>
          <w:tab w:leader="none" w:pos="1020" w:val="left"/>
        </w:tabs>
        <w:rPr>
          <w:sz w:val="20"/>
          <w:szCs w:val="20"/>
          <w:color w:val="auto"/>
        </w:rPr>
      </w:pPr>
      <w:r>
        <w:rPr>
          <w:rFonts w:ascii="Arial" w:cs="Arial" w:eastAsia="Arial" w:hAnsi="Arial"/>
          <w:sz w:val="18"/>
          <w:szCs w:val="18"/>
          <w:b w:val="1"/>
          <w:bCs w:val="1"/>
          <w:color w:val="auto"/>
        </w:rPr>
        <w:t>Level 3</w:t>
      </w:r>
      <w:r>
        <w:rPr>
          <w:sz w:val="20"/>
          <w:szCs w:val="20"/>
          <w:color w:val="auto"/>
        </w:rPr>
        <w:tab/>
      </w:r>
      <w:r>
        <w:rPr>
          <w:rFonts w:ascii="Arial" w:cs="Arial" w:eastAsia="Arial" w:hAnsi="Arial"/>
          <w:sz w:val="17"/>
          <w:szCs w:val="17"/>
          <w:color w:val="auto"/>
        </w:rPr>
        <w:t>Valuations for assets and liabilities that are derived from other valuation methodologies, including option pricing models, discounted cash flow models and similar techniques, and not based on market exchange, dealer, or broker traded transactions. Level 3 valuations incorporate certain assumptions and projections in determining the fair value assigned to such assets or liabilities.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For the year ended December 31, 2017, the application of valuation techniques applied to similar assets and liabilities has been consistent.</w:t>
      </w:r>
    </w:p>
    <w:p>
      <w:pPr>
        <w:spacing w:after="0" w:line="225" w:lineRule="exact"/>
        <w:rPr>
          <w:sz w:val="20"/>
          <w:szCs w:val="20"/>
          <w:color w:val="auto"/>
        </w:rPr>
      </w:pPr>
    </w:p>
    <w:p>
      <w:pPr>
        <w:ind w:right="340"/>
        <w:spacing w:after="0" w:line="308" w:lineRule="auto"/>
        <w:rPr>
          <w:sz w:val="20"/>
          <w:szCs w:val="20"/>
          <w:color w:val="auto"/>
        </w:rPr>
      </w:pPr>
      <w:r>
        <w:rPr>
          <w:rFonts w:ascii="Arial" w:cs="Arial" w:eastAsia="Arial" w:hAnsi="Arial"/>
          <w:sz w:val="17"/>
          <w:szCs w:val="17"/>
          <w:color w:val="auto"/>
        </w:rPr>
        <w:t>The fair value and change in fair value of the interest rate cap was immaterial as of and for the year ended December 31, 2017. The interest rate cap is the only asset or liability measured at fair value on a recurring basis and has been classified as Level 3 at December 31, 2017.</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00"/>
          </w:cols>
          <w:pgMar w:left="240" w:top="270" w:right="259" w:bottom="1440" w:gutter="0" w:footer="0" w:header="0"/>
        </w:sectPr>
      </w:pPr>
    </w:p>
    <w:bookmarkStart w:id="22" w:name="page23"/>
    <w:bookmarkEnd w:id="22"/>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PMG Intermediate Holding Corporation and Subsidiaries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206375</wp:posOffset>
            </wp:positionV>
            <wp:extent cx="724662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Operating Leases</w:t>
      </w:r>
    </w:p>
    <w:p>
      <w:pPr>
        <w:spacing w:after="0" w:line="121"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The Company leases facilities under operating leases, which expire at various dates through December 2028. Monthly lease payments range from $1,696 to $44,333 per month. The Company is required to pay all taxes, insurance, repairs and maintenance on the leased premises. In addition, the leases include various options to extend the lease terms. The Company also leases vehicles and equipment under operating leases, which expire at various dates through December 2018. Monthly lease payments range from $38 to $5,000 per month.</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780" w:type="dxa"/>
            <w:vAlign w:val="bottom"/>
            <w:gridSpan w:val="2"/>
          </w:tcPr>
          <w:p>
            <w:pPr>
              <w:spacing w:after="0"/>
              <w:rPr>
                <w:sz w:val="20"/>
                <w:szCs w:val="20"/>
                <w:color w:val="auto"/>
              </w:rPr>
            </w:pPr>
            <w:r>
              <w:rPr>
                <w:rFonts w:ascii="Arial" w:cs="Arial" w:eastAsia="Arial" w:hAnsi="Arial"/>
                <w:sz w:val="18"/>
                <w:szCs w:val="18"/>
                <w:color w:val="auto"/>
              </w:rPr>
              <w:t>Future minimum lease payments for operating leases are as follows:</w:t>
            </w:r>
          </w:p>
        </w:tc>
        <w:tc>
          <w:tcPr>
            <w:tcW w:w="18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1840" w:type="dxa"/>
            <w:vAlign w:val="bottom"/>
            <w:vMerge w:val="restart"/>
          </w:tcPr>
          <w:p>
            <w:pPr>
              <w:spacing w:after="0"/>
              <w:rPr>
                <w:sz w:val="21"/>
                <w:szCs w:val="21"/>
                <w:color w:val="auto"/>
              </w:rPr>
            </w:pPr>
          </w:p>
        </w:tc>
        <w:tc>
          <w:tcPr>
            <w:tcW w:w="4940" w:type="dxa"/>
            <w:vAlign w:val="bottom"/>
          </w:tcPr>
          <w:p>
            <w:pPr>
              <w:spacing w:after="0"/>
              <w:rPr>
                <w:sz w:val="21"/>
                <w:szCs w:val="21"/>
                <w:color w:val="auto"/>
              </w:rPr>
            </w:pPr>
          </w:p>
        </w:tc>
        <w:tc>
          <w:tcPr>
            <w:tcW w:w="18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1840" w:type="dxa"/>
            <w:vAlign w:val="bottom"/>
            <w:vMerge w:val="continue"/>
          </w:tcPr>
          <w:p>
            <w:pPr>
              <w:spacing w:after="0"/>
              <w:rPr>
                <w:sz w:val="18"/>
                <w:szCs w:val="18"/>
                <w:color w:val="auto"/>
              </w:rPr>
            </w:pPr>
          </w:p>
        </w:tc>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rPr>
              <w:t>2018</w:t>
            </w:r>
          </w:p>
        </w:tc>
        <w:tc>
          <w:tcPr>
            <w:tcW w:w="1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2,507,334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40" w:type="dxa"/>
            <w:vAlign w:val="bottom"/>
          </w:tcPr>
          <w:p>
            <w:pPr>
              <w:spacing w:after="0"/>
              <w:rPr>
                <w:sz w:val="18"/>
                <w:szCs w:val="18"/>
                <w:color w:val="auto"/>
              </w:rPr>
            </w:pPr>
          </w:p>
        </w:tc>
        <w:tc>
          <w:tcPr>
            <w:tcW w:w="4940" w:type="dxa"/>
            <w:vAlign w:val="bottom"/>
          </w:tcPr>
          <w:p>
            <w:pPr>
              <w:spacing w:after="0"/>
              <w:rPr>
                <w:sz w:val="20"/>
                <w:szCs w:val="20"/>
                <w:color w:val="auto"/>
              </w:rPr>
            </w:pPr>
            <w:r>
              <w:rPr>
                <w:rFonts w:ascii="Arial" w:cs="Arial" w:eastAsia="Arial" w:hAnsi="Arial"/>
                <w:sz w:val="18"/>
                <w:szCs w:val="18"/>
                <w:color w:val="auto"/>
              </w:rPr>
              <w:t>2019</w:t>
            </w:r>
          </w:p>
        </w:tc>
        <w:tc>
          <w:tcPr>
            <w:tcW w:w="1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99"/>
              </w:rPr>
              <w:t>2,360,104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40" w:type="dxa"/>
            <w:vAlign w:val="bottom"/>
          </w:tcPr>
          <w:p>
            <w:pPr>
              <w:spacing w:after="0"/>
              <w:rPr>
                <w:sz w:val="18"/>
                <w:szCs w:val="18"/>
                <w:color w:val="auto"/>
              </w:rPr>
            </w:pPr>
          </w:p>
        </w:tc>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rPr>
              <w:t>2020</w:t>
            </w:r>
          </w:p>
        </w:tc>
        <w:tc>
          <w:tcPr>
            <w:tcW w:w="18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2,308,957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40" w:type="dxa"/>
            <w:vAlign w:val="bottom"/>
          </w:tcPr>
          <w:p>
            <w:pPr>
              <w:spacing w:after="0"/>
              <w:rPr>
                <w:sz w:val="18"/>
                <w:szCs w:val="18"/>
                <w:color w:val="auto"/>
              </w:rPr>
            </w:pPr>
          </w:p>
        </w:tc>
        <w:tc>
          <w:tcPr>
            <w:tcW w:w="4940" w:type="dxa"/>
            <w:vAlign w:val="bottom"/>
          </w:tcPr>
          <w:p>
            <w:pPr>
              <w:spacing w:after="0"/>
              <w:rPr>
                <w:sz w:val="20"/>
                <w:szCs w:val="20"/>
                <w:color w:val="auto"/>
              </w:rPr>
            </w:pPr>
            <w:r>
              <w:rPr>
                <w:rFonts w:ascii="Arial" w:cs="Arial" w:eastAsia="Arial" w:hAnsi="Arial"/>
                <w:sz w:val="18"/>
                <w:szCs w:val="18"/>
                <w:color w:val="auto"/>
              </w:rPr>
              <w:t>2021</w:t>
            </w:r>
          </w:p>
        </w:tc>
        <w:tc>
          <w:tcPr>
            <w:tcW w:w="1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99"/>
              </w:rPr>
              <w:t>2,279,796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40" w:type="dxa"/>
            <w:vAlign w:val="bottom"/>
          </w:tcPr>
          <w:p>
            <w:pPr>
              <w:spacing w:after="0"/>
              <w:rPr>
                <w:sz w:val="18"/>
                <w:szCs w:val="18"/>
                <w:color w:val="auto"/>
              </w:rPr>
            </w:pPr>
          </w:p>
        </w:tc>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rPr>
              <w:t>2022</w:t>
            </w:r>
          </w:p>
        </w:tc>
        <w:tc>
          <w:tcPr>
            <w:tcW w:w="18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2,257,617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840" w:type="dxa"/>
            <w:vAlign w:val="bottom"/>
          </w:tcPr>
          <w:p>
            <w:pPr>
              <w:spacing w:after="0"/>
              <w:rPr>
                <w:sz w:val="19"/>
                <w:szCs w:val="19"/>
                <w:color w:val="auto"/>
              </w:rPr>
            </w:pPr>
          </w:p>
        </w:tc>
        <w:tc>
          <w:tcPr>
            <w:tcW w:w="4940" w:type="dxa"/>
            <w:vAlign w:val="bottom"/>
          </w:tcPr>
          <w:p>
            <w:pPr>
              <w:spacing w:after="0"/>
              <w:rPr>
                <w:sz w:val="20"/>
                <w:szCs w:val="20"/>
                <w:color w:val="auto"/>
              </w:rPr>
            </w:pPr>
            <w:r>
              <w:rPr>
                <w:rFonts w:ascii="Arial" w:cs="Arial" w:eastAsia="Arial" w:hAnsi="Arial"/>
                <w:sz w:val="18"/>
                <w:szCs w:val="18"/>
                <w:color w:val="auto"/>
              </w:rPr>
              <w:t>Thereafter</w:t>
            </w:r>
          </w:p>
        </w:tc>
        <w:tc>
          <w:tcPr>
            <w:tcW w:w="186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8"/>
              </w:rPr>
              <w:t>10,170,846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840" w:type="dxa"/>
            <w:vAlign w:val="bottom"/>
          </w:tcPr>
          <w:p>
            <w:pPr>
              <w:spacing w:after="0"/>
              <w:rPr>
                <w:sz w:val="18"/>
                <w:szCs w:val="18"/>
                <w:color w:val="auto"/>
              </w:rPr>
            </w:pPr>
          </w:p>
        </w:tc>
        <w:tc>
          <w:tcPr>
            <w:tcW w:w="4940" w:type="dxa"/>
            <w:vAlign w:val="bottom"/>
            <w:shd w:val="clear" w:color="auto" w:fill="CCEEFF"/>
          </w:tcPr>
          <w:p>
            <w:pPr>
              <w:spacing w:after="0"/>
              <w:rPr>
                <w:sz w:val="18"/>
                <w:szCs w:val="18"/>
                <w:color w:val="auto"/>
              </w:rPr>
            </w:pPr>
          </w:p>
        </w:tc>
        <w:tc>
          <w:tcPr>
            <w:tcW w:w="194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21,884,654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840" w:type="dxa"/>
            <w:vAlign w:val="bottom"/>
          </w:tcPr>
          <w:p>
            <w:pPr>
              <w:spacing w:after="0" w:line="20" w:lineRule="exact"/>
              <w:rPr>
                <w:sz w:val="1"/>
                <w:szCs w:val="1"/>
                <w:color w:val="auto"/>
              </w:rPr>
            </w:pPr>
          </w:p>
        </w:tc>
        <w:tc>
          <w:tcPr>
            <w:tcW w:w="494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During 2017 the Company reported rent expense of approximately $2,478,000.</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Equity Incentive Plan</w:t>
      </w:r>
    </w:p>
    <w:p>
      <w:pPr>
        <w:spacing w:after="0" w:line="121" w:lineRule="exact"/>
        <w:rPr>
          <w:sz w:val="20"/>
          <w:szCs w:val="20"/>
          <w:color w:val="auto"/>
        </w:rPr>
      </w:pPr>
    </w:p>
    <w:p>
      <w:pPr>
        <w:spacing w:after="0"/>
        <w:rPr>
          <w:sz w:val="20"/>
          <w:szCs w:val="20"/>
          <w:color w:val="auto"/>
        </w:rPr>
      </w:pPr>
      <w:r>
        <w:rPr>
          <w:rFonts w:ascii="Arial" w:cs="Arial" w:eastAsia="Arial" w:hAnsi="Arial"/>
          <w:sz w:val="16"/>
          <w:szCs w:val="16"/>
          <w:color w:val="auto"/>
        </w:rPr>
        <w:t>The Company has an equity incentive plan for executives and directors that granted Class C and P common units of the Parent at no cost to the recipients.</w:t>
      </w:r>
    </w:p>
    <w:p>
      <w:pPr>
        <w:spacing w:after="0" w:line="248" w:lineRule="exact"/>
        <w:rPr>
          <w:sz w:val="20"/>
          <w:szCs w:val="20"/>
          <w:color w:val="auto"/>
        </w:rPr>
      </w:pPr>
    </w:p>
    <w:p>
      <w:pPr>
        <w:ind w:right="120"/>
        <w:spacing w:after="0" w:line="279" w:lineRule="auto"/>
        <w:rPr>
          <w:sz w:val="20"/>
          <w:szCs w:val="20"/>
          <w:color w:val="auto"/>
        </w:rPr>
      </w:pPr>
      <w:r>
        <w:rPr>
          <w:rFonts w:ascii="Arial" w:cs="Arial" w:eastAsia="Arial" w:hAnsi="Arial"/>
          <w:sz w:val="17"/>
          <w:szCs w:val="17"/>
          <w:color w:val="auto"/>
        </w:rPr>
        <w:t>Certain of these units vest annually over a five year period of time and the rest are subject to performance vesting upon a sale of the Company based upon a sales cash multiple realization. For the time based units, vesting is accelerated upon a sale of the Company. For the year ended December 31, 2017, expenses recognized associated with vesting of the grants issued to executives and directors was $256,305. Unrecognized compensation cost at December 31, 2017 related to the non-vested class P units for executives and directors is approximately $115,441.</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Income Taxes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New Tax Legislation</w:t>
      </w:r>
    </w:p>
    <w:p>
      <w:pPr>
        <w:spacing w:after="0" w:line="117"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On December 22, 2017, the President of the United States signed into law the Tax Cuts and Jobs Act tax reform legislation (“TCJA”). This legislation makes significant changes in U.S. tax law including a reduction in the corporate tax rates, changes to net operating loss carryforwards and carrybacks, and a repeal of the corporate alternative minimum tax. The legislation did reduce the U.S. corporate tax rate from the current rate of 35 percent to 21 percent effective January 1, 2018. As a result of the enacted law, the Company was required to revalue deferred tax assets and liabilities at the rate in effect during their scheduled reversal. This revaluation resulted in a benefit of approximately $7,226,000 to income tax expense and a corresponding reduction in net deferred tax liabilities. The new legislation will require the Company to pay tax on the unremitted earnings of its foreign subsidiaries through December 31, 2017. Because of the complexities involved in determining the previously unremitted earnings and profits of all our foreign subsidiaries, the Company is still in the process of obtaining, preparing, and analyzing the required information and expects to finalize and record its estimate of the impact in its 2018 consolidated financial statements. The other provisions of the Tax Cuts and Jobs Act did not have a material impact on the consolidated financial statements.</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270" w:right="239" w:bottom="1440" w:gutter="0" w:footer="0" w:header="0"/>
        </w:sectPr>
      </w:pPr>
    </w:p>
    <w:bookmarkStart w:id="23" w:name="page24"/>
    <w:bookmarkEnd w:id="23"/>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PMG Intermediate Holding Corporation and Subsidiaries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206375</wp:posOffset>
            </wp:positionV>
            <wp:extent cx="724662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600" w:type="dxa"/>
            <w:vAlign w:val="bottom"/>
            <w:gridSpan w:val="2"/>
          </w:tcPr>
          <w:p>
            <w:pPr>
              <w:spacing w:after="0"/>
              <w:rPr>
                <w:sz w:val="20"/>
                <w:szCs w:val="20"/>
                <w:color w:val="auto"/>
              </w:rPr>
            </w:pPr>
            <w:r>
              <w:rPr>
                <w:rFonts w:ascii="Arial" w:cs="Arial" w:eastAsia="Arial" w:hAnsi="Arial"/>
                <w:sz w:val="18"/>
                <w:szCs w:val="18"/>
                <w:color w:val="auto"/>
                <w:w w:val="94"/>
              </w:rPr>
              <w:t>The components of the provision for income taxes for the year ended December 31, 2017 consist of the following:</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1840" w:type="dxa"/>
            <w:vAlign w:val="bottom"/>
            <w:vMerge w:val="restart"/>
          </w:tcPr>
          <w:p>
            <w:pPr>
              <w:spacing w:after="0"/>
              <w:rPr>
                <w:sz w:val="21"/>
                <w:szCs w:val="21"/>
                <w:color w:val="auto"/>
              </w:rPr>
            </w:pPr>
          </w:p>
        </w:tc>
        <w:tc>
          <w:tcPr>
            <w:tcW w:w="67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1840" w:type="dxa"/>
            <w:vAlign w:val="bottom"/>
            <w:vMerge w:val="continue"/>
          </w:tcPr>
          <w:p>
            <w:pPr>
              <w:spacing w:after="0"/>
              <w:rPr>
                <w:sz w:val="18"/>
                <w:szCs w:val="18"/>
                <w:color w:val="auto"/>
              </w:rPr>
            </w:pPr>
          </w:p>
        </w:tc>
        <w:tc>
          <w:tcPr>
            <w:tcW w:w="6760" w:type="dxa"/>
            <w:vAlign w:val="bottom"/>
            <w:shd w:val="clear" w:color="auto" w:fill="CCEEFF"/>
          </w:tcPr>
          <w:p>
            <w:pPr>
              <w:spacing w:after="0"/>
              <w:rPr>
                <w:sz w:val="20"/>
                <w:szCs w:val="20"/>
                <w:color w:val="auto"/>
              </w:rPr>
            </w:pPr>
            <w:r>
              <w:rPr>
                <w:rFonts w:ascii="Arial" w:cs="Arial" w:eastAsia="Arial" w:hAnsi="Arial"/>
                <w:sz w:val="18"/>
                <w:szCs w:val="18"/>
                <w:color w:val="auto"/>
              </w:rPr>
              <w:t>Current: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40" w:type="dxa"/>
            <w:vAlign w:val="bottom"/>
          </w:tcPr>
          <w:p>
            <w:pPr>
              <w:spacing w:after="0"/>
              <w:rPr>
                <w:sz w:val="18"/>
                <w:szCs w:val="18"/>
                <w:color w:val="auto"/>
              </w:rPr>
            </w:pPr>
          </w:p>
        </w:tc>
        <w:tc>
          <w:tcPr>
            <w:tcW w:w="6760" w:type="dxa"/>
            <w:vAlign w:val="bottom"/>
          </w:tcPr>
          <w:p>
            <w:pPr>
              <w:ind w:left="360"/>
              <w:spacing w:after="0"/>
              <w:rPr>
                <w:sz w:val="20"/>
                <w:szCs w:val="20"/>
                <w:color w:val="auto"/>
              </w:rPr>
            </w:pPr>
            <w:r>
              <w:rPr>
                <w:rFonts w:ascii="Arial" w:cs="Arial" w:eastAsia="Arial" w:hAnsi="Arial"/>
                <w:sz w:val="18"/>
                <w:szCs w:val="18"/>
                <w:color w:val="auto"/>
              </w:rPr>
              <w:t>Federal</w:t>
            </w:r>
          </w:p>
        </w:tc>
        <w:tc>
          <w:tcPr>
            <w:tcW w:w="10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484,294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40" w:type="dxa"/>
            <w:vAlign w:val="bottom"/>
          </w:tcPr>
          <w:p>
            <w:pPr>
              <w:spacing w:after="0"/>
              <w:rPr>
                <w:sz w:val="18"/>
                <w:szCs w:val="18"/>
                <w:color w:val="auto"/>
              </w:rPr>
            </w:pPr>
          </w:p>
        </w:tc>
        <w:tc>
          <w:tcPr>
            <w:tcW w:w="67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Foreign</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1,353,123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840" w:type="dxa"/>
            <w:vAlign w:val="bottom"/>
          </w:tcPr>
          <w:p>
            <w:pPr>
              <w:spacing w:after="0"/>
              <w:rPr>
                <w:sz w:val="19"/>
                <w:szCs w:val="19"/>
                <w:color w:val="auto"/>
              </w:rPr>
            </w:pPr>
          </w:p>
        </w:tc>
        <w:tc>
          <w:tcPr>
            <w:tcW w:w="6760" w:type="dxa"/>
            <w:vAlign w:val="bottom"/>
          </w:tcPr>
          <w:p>
            <w:pPr>
              <w:ind w:left="360"/>
              <w:spacing w:after="0"/>
              <w:rPr>
                <w:sz w:val="20"/>
                <w:szCs w:val="20"/>
                <w:color w:val="auto"/>
              </w:rPr>
            </w:pPr>
            <w:r>
              <w:rPr>
                <w:rFonts w:ascii="Arial" w:cs="Arial" w:eastAsia="Arial" w:hAnsi="Arial"/>
                <w:sz w:val="18"/>
                <w:szCs w:val="18"/>
                <w:color w:val="auto"/>
              </w:rPr>
              <w:t>State</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(28,274)</w:t>
            </w:r>
          </w:p>
        </w:tc>
        <w:tc>
          <w:tcPr>
            <w:tcW w:w="0" w:type="dxa"/>
            <w:vAlign w:val="bottom"/>
          </w:tcPr>
          <w:p>
            <w:pPr>
              <w:spacing w:after="0"/>
              <w:rPr>
                <w:sz w:val="1"/>
                <w:szCs w:val="1"/>
                <w:color w:val="auto"/>
              </w:rPr>
            </w:pPr>
          </w:p>
        </w:tc>
      </w:tr>
      <w:tr>
        <w:trPr>
          <w:trHeight w:val="216"/>
        </w:trPr>
        <w:tc>
          <w:tcPr>
            <w:tcW w:w="1840" w:type="dxa"/>
            <w:vAlign w:val="bottom"/>
          </w:tcPr>
          <w:p>
            <w:pPr>
              <w:spacing w:after="0"/>
              <w:rPr>
                <w:sz w:val="18"/>
                <w:szCs w:val="18"/>
                <w:color w:val="auto"/>
              </w:rPr>
            </w:pPr>
          </w:p>
        </w:tc>
        <w:tc>
          <w:tcPr>
            <w:tcW w:w="67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1,809,143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8600" w:type="dxa"/>
            <w:vAlign w:val="bottom"/>
            <w:gridSpan w:val="2"/>
          </w:tcPr>
          <w:p>
            <w:pPr>
              <w:ind w:left="1840"/>
              <w:spacing w:after="0"/>
              <w:rPr>
                <w:sz w:val="20"/>
                <w:szCs w:val="20"/>
                <w:color w:val="auto"/>
              </w:rPr>
            </w:pPr>
            <w:r>
              <w:rPr>
                <w:rFonts w:ascii="Arial" w:cs="Arial" w:eastAsia="Arial" w:hAnsi="Arial"/>
                <w:sz w:val="18"/>
                <w:szCs w:val="18"/>
                <w:color w:val="auto"/>
              </w:rPr>
              <w:t>Deferred:</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840" w:type="dxa"/>
            <w:vAlign w:val="bottom"/>
          </w:tcPr>
          <w:p>
            <w:pPr>
              <w:spacing w:after="0"/>
              <w:rPr>
                <w:sz w:val="18"/>
                <w:szCs w:val="18"/>
                <w:color w:val="auto"/>
              </w:rPr>
            </w:pPr>
          </w:p>
        </w:tc>
        <w:tc>
          <w:tcPr>
            <w:tcW w:w="67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Federal</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9"/>
              </w:rPr>
              <w:t>(9,526,038)</w:t>
            </w:r>
          </w:p>
        </w:tc>
        <w:tc>
          <w:tcPr>
            <w:tcW w:w="0" w:type="dxa"/>
            <w:vAlign w:val="bottom"/>
          </w:tcPr>
          <w:p>
            <w:pPr>
              <w:spacing w:after="0"/>
              <w:rPr>
                <w:sz w:val="1"/>
                <w:szCs w:val="1"/>
                <w:color w:val="auto"/>
              </w:rPr>
            </w:pPr>
          </w:p>
        </w:tc>
      </w:tr>
      <w:tr>
        <w:trPr>
          <w:trHeight w:val="216"/>
        </w:trPr>
        <w:tc>
          <w:tcPr>
            <w:tcW w:w="1840" w:type="dxa"/>
            <w:vAlign w:val="bottom"/>
          </w:tcPr>
          <w:p>
            <w:pPr>
              <w:spacing w:after="0"/>
              <w:rPr>
                <w:sz w:val="18"/>
                <w:szCs w:val="18"/>
                <w:color w:val="auto"/>
              </w:rPr>
            </w:pPr>
          </w:p>
        </w:tc>
        <w:tc>
          <w:tcPr>
            <w:tcW w:w="6760" w:type="dxa"/>
            <w:vAlign w:val="bottom"/>
          </w:tcPr>
          <w:p>
            <w:pPr>
              <w:ind w:left="360"/>
              <w:spacing w:after="0"/>
              <w:rPr>
                <w:sz w:val="20"/>
                <w:szCs w:val="20"/>
                <w:color w:val="auto"/>
              </w:rPr>
            </w:pPr>
            <w:r>
              <w:rPr>
                <w:rFonts w:ascii="Arial" w:cs="Arial" w:eastAsia="Arial" w:hAnsi="Arial"/>
                <w:sz w:val="18"/>
                <w:szCs w:val="18"/>
                <w:color w:val="auto"/>
              </w:rPr>
              <w:t>Foreign</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488,555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40" w:type="dxa"/>
            <w:vAlign w:val="bottom"/>
          </w:tcPr>
          <w:p>
            <w:pPr>
              <w:spacing w:after="0"/>
              <w:rPr>
                <w:sz w:val="18"/>
                <w:szCs w:val="18"/>
                <w:color w:val="auto"/>
              </w:rPr>
            </w:pPr>
          </w:p>
        </w:tc>
        <w:tc>
          <w:tcPr>
            <w:tcW w:w="67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State</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(51,629)</w:t>
            </w:r>
          </w:p>
        </w:tc>
        <w:tc>
          <w:tcPr>
            <w:tcW w:w="0" w:type="dxa"/>
            <w:vAlign w:val="bottom"/>
          </w:tcPr>
          <w:p>
            <w:pPr>
              <w:spacing w:after="0"/>
              <w:rPr>
                <w:sz w:val="1"/>
                <w:szCs w:val="1"/>
                <w:color w:val="auto"/>
              </w:rPr>
            </w:pPr>
          </w:p>
        </w:tc>
      </w:tr>
      <w:tr>
        <w:trPr>
          <w:trHeight w:val="230"/>
        </w:trPr>
        <w:tc>
          <w:tcPr>
            <w:tcW w:w="1840" w:type="dxa"/>
            <w:vAlign w:val="bottom"/>
          </w:tcPr>
          <w:p>
            <w:pPr>
              <w:spacing w:after="0"/>
              <w:rPr>
                <w:sz w:val="20"/>
                <w:szCs w:val="20"/>
                <w:color w:val="auto"/>
              </w:rPr>
            </w:pPr>
          </w:p>
        </w:tc>
        <w:tc>
          <w:tcPr>
            <w:tcW w:w="67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(9,089,112</w:t>
            </w:r>
          </w:p>
        </w:tc>
        <w:tc>
          <w:tcPr>
            <w:tcW w:w="12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16"/>
        </w:trPr>
        <w:tc>
          <w:tcPr>
            <w:tcW w:w="1840" w:type="dxa"/>
            <w:vAlign w:val="bottom"/>
          </w:tcPr>
          <w:p>
            <w:pPr>
              <w:spacing w:after="0"/>
              <w:rPr>
                <w:sz w:val="18"/>
                <w:szCs w:val="18"/>
                <w:color w:val="auto"/>
              </w:rPr>
            </w:pPr>
          </w:p>
        </w:tc>
        <w:tc>
          <w:tcPr>
            <w:tcW w:w="6760" w:type="dxa"/>
            <w:vAlign w:val="bottom"/>
            <w:shd w:val="clear" w:color="auto" w:fill="CCEEFF"/>
          </w:tcPr>
          <w:p>
            <w:pPr>
              <w:spacing w:after="0"/>
              <w:rPr>
                <w:sz w:val="18"/>
                <w:szCs w:val="18"/>
                <w:color w:val="auto"/>
              </w:rPr>
            </w:pP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9"/>
              </w:rPr>
              <w:t>(7,279,969)</w:t>
            </w:r>
          </w:p>
        </w:tc>
        <w:tc>
          <w:tcPr>
            <w:tcW w:w="0" w:type="dxa"/>
            <w:vAlign w:val="bottom"/>
          </w:tcPr>
          <w:p>
            <w:pPr>
              <w:spacing w:after="0"/>
              <w:rPr>
                <w:sz w:val="1"/>
                <w:szCs w:val="1"/>
                <w:color w:val="auto"/>
              </w:rPr>
            </w:pPr>
          </w:p>
        </w:tc>
      </w:tr>
      <w:tr>
        <w:trPr>
          <w:trHeight w:val="20"/>
        </w:trPr>
        <w:tc>
          <w:tcPr>
            <w:tcW w:w="8600" w:type="dxa"/>
            <w:vAlign w:val="bottom"/>
            <w:gridSpan w:val="2"/>
            <w:vMerge w:val="restart"/>
          </w:tcPr>
          <w:p>
            <w:pPr>
              <w:ind w:left="1840"/>
              <w:spacing w:after="0"/>
              <w:rPr>
                <w:sz w:val="20"/>
                <w:szCs w:val="20"/>
                <w:color w:val="auto"/>
              </w:rPr>
            </w:pPr>
            <w:r>
              <w:rPr>
                <w:rFonts w:ascii="Arial" w:cs="Arial" w:eastAsia="Arial" w:hAnsi="Arial"/>
                <w:sz w:val="18"/>
                <w:szCs w:val="18"/>
                <w:color w:val="auto"/>
              </w:rPr>
              <w:t>Total:</w:t>
            </w: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600" w:type="dxa"/>
            <w:vAlign w:val="bottom"/>
            <w:gridSpan w:val="2"/>
            <w:vMerge w:val="continue"/>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40" w:type="dxa"/>
            <w:vAlign w:val="bottom"/>
          </w:tcPr>
          <w:p>
            <w:pPr>
              <w:spacing w:after="0"/>
              <w:rPr>
                <w:sz w:val="18"/>
                <w:szCs w:val="18"/>
                <w:color w:val="auto"/>
              </w:rPr>
            </w:pPr>
          </w:p>
        </w:tc>
        <w:tc>
          <w:tcPr>
            <w:tcW w:w="67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Federal</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9"/>
              </w:rPr>
              <w:t>(9,041,744)</w:t>
            </w:r>
          </w:p>
        </w:tc>
        <w:tc>
          <w:tcPr>
            <w:tcW w:w="0" w:type="dxa"/>
            <w:vAlign w:val="bottom"/>
          </w:tcPr>
          <w:p>
            <w:pPr>
              <w:spacing w:after="0"/>
              <w:rPr>
                <w:sz w:val="1"/>
                <w:szCs w:val="1"/>
                <w:color w:val="auto"/>
              </w:rPr>
            </w:pPr>
          </w:p>
        </w:tc>
      </w:tr>
      <w:tr>
        <w:trPr>
          <w:trHeight w:val="216"/>
        </w:trPr>
        <w:tc>
          <w:tcPr>
            <w:tcW w:w="1840" w:type="dxa"/>
            <w:vAlign w:val="bottom"/>
          </w:tcPr>
          <w:p>
            <w:pPr>
              <w:spacing w:after="0"/>
              <w:rPr>
                <w:sz w:val="18"/>
                <w:szCs w:val="18"/>
                <w:color w:val="auto"/>
              </w:rPr>
            </w:pPr>
          </w:p>
        </w:tc>
        <w:tc>
          <w:tcPr>
            <w:tcW w:w="6760" w:type="dxa"/>
            <w:vAlign w:val="bottom"/>
          </w:tcPr>
          <w:p>
            <w:pPr>
              <w:ind w:left="360"/>
              <w:spacing w:after="0"/>
              <w:rPr>
                <w:sz w:val="20"/>
                <w:szCs w:val="20"/>
                <w:color w:val="auto"/>
              </w:rPr>
            </w:pPr>
            <w:r>
              <w:rPr>
                <w:rFonts w:ascii="Arial" w:cs="Arial" w:eastAsia="Arial" w:hAnsi="Arial"/>
                <w:sz w:val="18"/>
                <w:szCs w:val="18"/>
                <w:color w:val="auto"/>
              </w:rPr>
              <w:t>Foreign</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w w:val="94"/>
              </w:rPr>
              <w:t>1,841,678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40" w:type="dxa"/>
            <w:vAlign w:val="bottom"/>
          </w:tcPr>
          <w:p>
            <w:pPr>
              <w:spacing w:after="0"/>
              <w:rPr>
                <w:sz w:val="18"/>
                <w:szCs w:val="18"/>
                <w:color w:val="auto"/>
              </w:rPr>
            </w:pPr>
          </w:p>
        </w:tc>
        <w:tc>
          <w:tcPr>
            <w:tcW w:w="67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State</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(79,903)</w:t>
            </w:r>
          </w:p>
        </w:tc>
        <w:tc>
          <w:tcPr>
            <w:tcW w:w="0" w:type="dxa"/>
            <w:vAlign w:val="bottom"/>
          </w:tcPr>
          <w:p>
            <w:pPr>
              <w:spacing w:after="0"/>
              <w:rPr>
                <w:sz w:val="1"/>
                <w:szCs w:val="1"/>
                <w:color w:val="auto"/>
              </w:rPr>
            </w:pPr>
          </w:p>
        </w:tc>
      </w:tr>
      <w:tr>
        <w:trPr>
          <w:trHeight w:val="223"/>
        </w:trPr>
        <w:tc>
          <w:tcPr>
            <w:tcW w:w="1840" w:type="dxa"/>
            <w:vAlign w:val="bottom"/>
          </w:tcPr>
          <w:p>
            <w:pPr>
              <w:spacing w:after="0"/>
              <w:rPr>
                <w:sz w:val="19"/>
                <w:szCs w:val="19"/>
                <w:color w:val="auto"/>
              </w:rPr>
            </w:pPr>
          </w:p>
        </w:tc>
        <w:tc>
          <w:tcPr>
            <w:tcW w:w="676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(7,279,969</w:t>
            </w:r>
          </w:p>
        </w:tc>
        <w:tc>
          <w:tcPr>
            <w:tcW w:w="12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1840" w:type="dxa"/>
            <w:vAlign w:val="bottom"/>
          </w:tcPr>
          <w:p>
            <w:pPr>
              <w:spacing w:after="0" w:line="20" w:lineRule="exact"/>
              <w:rPr>
                <w:sz w:val="1"/>
                <w:szCs w:val="1"/>
                <w:color w:val="auto"/>
              </w:rPr>
            </w:pPr>
          </w:p>
        </w:tc>
        <w:tc>
          <w:tcPr>
            <w:tcW w:w="6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provisions for federal and state income taxes are different from the amounts that would otherwise be computed by applying a graduated federal statutory rate of 34 percent to income before income taxes.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700" w:type="dxa"/>
            <w:vAlign w:val="bottom"/>
            <w:gridSpan w:val="2"/>
          </w:tcPr>
          <w:p>
            <w:pPr>
              <w:jc w:val="right"/>
              <w:ind w:right="5150"/>
              <w:spacing w:after="0"/>
              <w:rPr>
                <w:sz w:val="20"/>
                <w:szCs w:val="20"/>
                <w:color w:val="auto"/>
              </w:rPr>
            </w:pPr>
            <w:r>
              <w:rPr>
                <w:rFonts w:ascii="Arial" w:cs="Arial" w:eastAsia="Arial" w:hAnsi="Arial"/>
                <w:sz w:val="18"/>
                <w:szCs w:val="18"/>
                <w:color w:val="auto"/>
                <w:w w:val="92"/>
              </w:rPr>
              <w:t>A reconciliation of the differences is as follows:</w:t>
            </w:r>
          </w:p>
        </w:tc>
        <w:tc>
          <w:tcPr>
            <w:tcW w:w="7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1840" w:type="dxa"/>
            <w:vAlign w:val="bottom"/>
            <w:vMerge w:val="restart"/>
          </w:tcPr>
          <w:p>
            <w:pPr>
              <w:spacing w:after="0"/>
              <w:rPr>
                <w:sz w:val="21"/>
                <w:szCs w:val="21"/>
                <w:color w:val="auto"/>
              </w:rPr>
            </w:pPr>
          </w:p>
        </w:tc>
        <w:tc>
          <w:tcPr>
            <w:tcW w:w="68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1840" w:type="dxa"/>
            <w:vAlign w:val="bottom"/>
            <w:vMerge w:val="continue"/>
          </w:tcPr>
          <w:p>
            <w:pPr>
              <w:spacing w:after="0"/>
              <w:rPr>
                <w:sz w:val="18"/>
                <w:szCs w:val="18"/>
                <w:color w:val="auto"/>
              </w:rPr>
            </w:pPr>
          </w:p>
        </w:tc>
        <w:tc>
          <w:tcPr>
            <w:tcW w:w="6860" w:type="dxa"/>
            <w:vAlign w:val="bottom"/>
            <w:shd w:val="clear" w:color="auto" w:fill="CCEEFF"/>
          </w:tcPr>
          <w:p>
            <w:pPr>
              <w:spacing w:after="0"/>
              <w:rPr>
                <w:sz w:val="20"/>
                <w:szCs w:val="20"/>
                <w:color w:val="auto"/>
              </w:rPr>
            </w:pPr>
            <w:r>
              <w:rPr>
                <w:rFonts w:ascii="Arial" w:cs="Arial" w:eastAsia="Arial" w:hAnsi="Arial"/>
                <w:sz w:val="18"/>
                <w:szCs w:val="18"/>
                <w:color w:val="auto"/>
              </w:rPr>
              <w:t>Federal statutory rate</w:t>
            </w: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34.0%</w:t>
            </w:r>
          </w:p>
        </w:tc>
        <w:tc>
          <w:tcPr>
            <w:tcW w:w="0" w:type="dxa"/>
            <w:vAlign w:val="bottom"/>
          </w:tcPr>
          <w:p>
            <w:pPr>
              <w:spacing w:after="0"/>
              <w:rPr>
                <w:sz w:val="1"/>
                <w:szCs w:val="1"/>
                <w:color w:val="auto"/>
              </w:rPr>
            </w:pPr>
          </w:p>
        </w:tc>
      </w:tr>
      <w:tr>
        <w:trPr>
          <w:trHeight w:val="216"/>
        </w:trPr>
        <w:tc>
          <w:tcPr>
            <w:tcW w:w="1840" w:type="dxa"/>
            <w:vAlign w:val="bottom"/>
          </w:tcPr>
          <w:p>
            <w:pPr>
              <w:spacing w:after="0"/>
              <w:rPr>
                <w:sz w:val="18"/>
                <w:szCs w:val="18"/>
                <w:color w:val="auto"/>
              </w:rPr>
            </w:pPr>
          </w:p>
        </w:tc>
        <w:tc>
          <w:tcPr>
            <w:tcW w:w="6860" w:type="dxa"/>
            <w:vAlign w:val="bottom"/>
          </w:tcPr>
          <w:p>
            <w:pPr>
              <w:spacing w:after="0"/>
              <w:rPr>
                <w:sz w:val="20"/>
                <w:szCs w:val="20"/>
                <w:color w:val="auto"/>
              </w:rPr>
            </w:pPr>
            <w:r>
              <w:rPr>
                <w:rFonts w:ascii="Arial" w:cs="Arial" w:eastAsia="Arial" w:hAnsi="Arial"/>
                <w:sz w:val="18"/>
                <w:szCs w:val="18"/>
                <w:color w:val="auto"/>
              </w:rPr>
              <w:t>State taxes, net of federal benefit</w:t>
            </w: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-762.3%</w:t>
            </w:r>
          </w:p>
        </w:tc>
        <w:tc>
          <w:tcPr>
            <w:tcW w:w="0" w:type="dxa"/>
            <w:vAlign w:val="bottom"/>
          </w:tcPr>
          <w:p>
            <w:pPr>
              <w:spacing w:after="0"/>
              <w:rPr>
                <w:sz w:val="1"/>
                <w:szCs w:val="1"/>
                <w:color w:val="auto"/>
              </w:rPr>
            </w:pPr>
          </w:p>
        </w:tc>
      </w:tr>
      <w:tr>
        <w:trPr>
          <w:trHeight w:val="216"/>
        </w:trPr>
        <w:tc>
          <w:tcPr>
            <w:tcW w:w="1840" w:type="dxa"/>
            <w:vAlign w:val="bottom"/>
          </w:tcPr>
          <w:p>
            <w:pPr>
              <w:spacing w:after="0"/>
              <w:rPr>
                <w:sz w:val="18"/>
                <w:szCs w:val="18"/>
                <w:color w:val="auto"/>
              </w:rPr>
            </w:pPr>
          </w:p>
        </w:tc>
        <w:tc>
          <w:tcPr>
            <w:tcW w:w="6860" w:type="dxa"/>
            <w:vAlign w:val="bottom"/>
            <w:shd w:val="clear" w:color="auto" w:fill="CCEEFF"/>
          </w:tcPr>
          <w:p>
            <w:pPr>
              <w:spacing w:after="0"/>
              <w:rPr>
                <w:sz w:val="20"/>
                <w:szCs w:val="20"/>
                <w:color w:val="auto"/>
              </w:rPr>
            </w:pPr>
            <w:r>
              <w:rPr>
                <w:rFonts w:ascii="Arial" w:cs="Arial" w:eastAsia="Arial" w:hAnsi="Arial"/>
                <w:sz w:val="18"/>
                <w:szCs w:val="18"/>
                <w:color w:val="auto"/>
              </w:rPr>
              <w:t>Difference between foreign and U.S. tax rates</w:t>
            </w: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-8184.0%</w:t>
            </w:r>
          </w:p>
        </w:tc>
        <w:tc>
          <w:tcPr>
            <w:tcW w:w="0" w:type="dxa"/>
            <w:vAlign w:val="bottom"/>
          </w:tcPr>
          <w:p>
            <w:pPr>
              <w:spacing w:after="0"/>
              <w:rPr>
                <w:sz w:val="1"/>
                <w:szCs w:val="1"/>
                <w:color w:val="auto"/>
              </w:rPr>
            </w:pPr>
          </w:p>
        </w:tc>
      </w:tr>
      <w:tr>
        <w:trPr>
          <w:trHeight w:val="216"/>
        </w:trPr>
        <w:tc>
          <w:tcPr>
            <w:tcW w:w="1840" w:type="dxa"/>
            <w:vAlign w:val="bottom"/>
          </w:tcPr>
          <w:p>
            <w:pPr>
              <w:spacing w:after="0"/>
              <w:rPr>
                <w:sz w:val="18"/>
                <w:szCs w:val="18"/>
                <w:color w:val="auto"/>
              </w:rPr>
            </w:pPr>
          </w:p>
        </w:tc>
        <w:tc>
          <w:tcPr>
            <w:tcW w:w="6860" w:type="dxa"/>
            <w:vAlign w:val="bottom"/>
          </w:tcPr>
          <w:p>
            <w:pPr>
              <w:spacing w:after="0"/>
              <w:rPr>
                <w:sz w:val="20"/>
                <w:szCs w:val="20"/>
                <w:color w:val="auto"/>
              </w:rPr>
            </w:pPr>
            <w:r>
              <w:rPr>
                <w:rFonts w:ascii="Arial" w:cs="Arial" w:eastAsia="Arial" w:hAnsi="Arial"/>
                <w:sz w:val="18"/>
                <w:szCs w:val="18"/>
                <w:color w:val="auto"/>
              </w:rPr>
              <w:t>Foreign income inclusions</w:t>
            </w: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12253.8%</w:t>
            </w:r>
          </w:p>
        </w:tc>
        <w:tc>
          <w:tcPr>
            <w:tcW w:w="0" w:type="dxa"/>
            <w:vAlign w:val="bottom"/>
          </w:tcPr>
          <w:p>
            <w:pPr>
              <w:spacing w:after="0"/>
              <w:rPr>
                <w:sz w:val="1"/>
                <w:szCs w:val="1"/>
                <w:color w:val="auto"/>
              </w:rPr>
            </w:pPr>
          </w:p>
        </w:tc>
      </w:tr>
      <w:tr>
        <w:trPr>
          <w:trHeight w:val="216"/>
        </w:trPr>
        <w:tc>
          <w:tcPr>
            <w:tcW w:w="1840" w:type="dxa"/>
            <w:vAlign w:val="bottom"/>
          </w:tcPr>
          <w:p>
            <w:pPr>
              <w:spacing w:after="0"/>
              <w:rPr>
                <w:sz w:val="18"/>
                <w:szCs w:val="18"/>
                <w:color w:val="auto"/>
              </w:rPr>
            </w:pPr>
          </w:p>
        </w:tc>
        <w:tc>
          <w:tcPr>
            <w:tcW w:w="6860" w:type="dxa"/>
            <w:vAlign w:val="bottom"/>
            <w:shd w:val="clear" w:color="auto" w:fill="CCEEFF"/>
          </w:tcPr>
          <w:p>
            <w:pPr>
              <w:spacing w:after="0"/>
              <w:rPr>
                <w:sz w:val="20"/>
                <w:szCs w:val="20"/>
                <w:color w:val="auto"/>
              </w:rPr>
            </w:pPr>
            <w:r>
              <w:rPr>
                <w:rFonts w:ascii="Arial" w:cs="Arial" w:eastAsia="Arial" w:hAnsi="Arial"/>
                <w:sz w:val="18"/>
                <w:szCs w:val="18"/>
                <w:color w:val="auto"/>
              </w:rPr>
              <w:t>Other permanent differences</w:t>
            </w: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1261.2%</w:t>
            </w:r>
          </w:p>
        </w:tc>
        <w:tc>
          <w:tcPr>
            <w:tcW w:w="0" w:type="dxa"/>
            <w:vAlign w:val="bottom"/>
          </w:tcPr>
          <w:p>
            <w:pPr>
              <w:spacing w:after="0"/>
              <w:rPr>
                <w:sz w:val="1"/>
                <w:szCs w:val="1"/>
                <w:color w:val="auto"/>
              </w:rPr>
            </w:pPr>
          </w:p>
        </w:tc>
      </w:tr>
      <w:tr>
        <w:trPr>
          <w:trHeight w:val="216"/>
        </w:trPr>
        <w:tc>
          <w:tcPr>
            <w:tcW w:w="1840" w:type="dxa"/>
            <w:vAlign w:val="bottom"/>
          </w:tcPr>
          <w:p>
            <w:pPr>
              <w:spacing w:after="0"/>
              <w:rPr>
                <w:sz w:val="18"/>
                <w:szCs w:val="18"/>
                <w:color w:val="auto"/>
              </w:rPr>
            </w:pPr>
          </w:p>
        </w:tc>
        <w:tc>
          <w:tcPr>
            <w:tcW w:w="6860" w:type="dxa"/>
            <w:vAlign w:val="bottom"/>
          </w:tcPr>
          <w:p>
            <w:pPr>
              <w:spacing w:after="0"/>
              <w:rPr>
                <w:sz w:val="20"/>
                <w:szCs w:val="20"/>
                <w:color w:val="auto"/>
              </w:rPr>
            </w:pPr>
            <w:r>
              <w:rPr>
                <w:rFonts w:ascii="Arial" w:cs="Arial" w:eastAsia="Arial" w:hAnsi="Arial"/>
                <w:sz w:val="18"/>
                <w:szCs w:val="18"/>
                <w:color w:val="auto"/>
              </w:rPr>
              <w:t>Cumulative effect of change in state tax rate</w:t>
            </w: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767.3%</w:t>
            </w:r>
          </w:p>
        </w:tc>
        <w:tc>
          <w:tcPr>
            <w:tcW w:w="0" w:type="dxa"/>
            <w:vAlign w:val="bottom"/>
          </w:tcPr>
          <w:p>
            <w:pPr>
              <w:spacing w:after="0"/>
              <w:rPr>
                <w:sz w:val="1"/>
                <w:szCs w:val="1"/>
                <w:color w:val="auto"/>
              </w:rPr>
            </w:pPr>
          </w:p>
        </w:tc>
      </w:tr>
      <w:tr>
        <w:trPr>
          <w:trHeight w:val="216"/>
        </w:trPr>
        <w:tc>
          <w:tcPr>
            <w:tcW w:w="1840" w:type="dxa"/>
            <w:vAlign w:val="bottom"/>
          </w:tcPr>
          <w:p>
            <w:pPr>
              <w:spacing w:after="0"/>
              <w:rPr>
                <w:sz w:val="18"/>
                <w:szCs w:val="18"/>
                <w:color w:val="auto"/>
              </w:rPr>
            </w:pPr>
          </w:p>
        </w:tc>
        <w:tc>
          <w:tcPr>
            <w:tcW w:w="6860" w:type="dxa"/>
            <w:vAlign w:val="bottom"/>
            <w:shd w:val="clear" w:color="auto" w:fill="CCEEFF"/>
          </w:tcPr>
          <w:p>
            <w:pPr>
              <w:spacing w:after="0"/>
              <w:rPr>
                <w:sz w:val="20"/>
                <w:szCs w:val="20"/>
                <w:color w:val="auto"/>
              </w:rPr>
            </w:pPr>
            <w:r>
              <w:rPr>
                <w:rFonts w:ascii="Arial" w:cs="Arial" w:eastAsia="Arial" w:hAnsi="Arial"/>
                <w:sz w:val="18"/>
                <w:szCs w:val="18"/>
                <w:color w:val="auto"/>
              </w:rPr>
              <w:t>Federal tax credits</w:t>
            </w: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-5730.5%</w:t>
            </w:r>
          </w:p>
        </w:tc>
        <w:tc>
          <w:tcPr>
            <w:tcW w:w="0" w:type="dxa"/>
            <w:vAlign w:val="bottom"/>
          </w:tcPr>
          <w:p>
            <w:pPr>
              <w:spacing w:after="0"/>
              <w:rPr>
                <w:sz w:val="1"/>
                <w:szCs w:val="1"/>
                <w:color w:val="auto"/>
              </w:rPr>
            </w:pPr>
          </w:p>
        </w:tc>
      </w:tr>
      <w:tr>
        <w:trPr>
          <w:trHeight w:val="216"/>
        </w:trPr>
        <w:tc>
          <w:tcPr>
            <w:tcW w:w="1840" w:type="dxa"/>
            <w:vAlign w:val="bottom"/>
          </w:tcPr>
          <w:p>
            <w:pPr>
              <w:spacing w:after="0"/>
              <w:rPr>
                <w:sz w:val="18"/>
                <w:szCs w:val="18"/>
                <w:color w:val="auto"/>
              </w:rPr>
            </w:pPr>
          </w:p>
        </w:tc>
        <w:tc>
          <w:tcPr>
            <w:tcW w:w="6860" w:type="dxa"/>
            <w:vAlign w:val="bottom"/>
          </w:tcPr>
          <w:p>
            <w:pPr>
              <w:spacing w:after="0"/>
              <w:rPr>
                <w:sz w:val="20"/>
                <w:szCs w:val="20"/>
                <w:color w:val="auto"/>
              </w:rPr>
            </w:pPr>
            <w:r>
              <w:rPr>
                <w:rFonts w:ascii="Arial" w:cs="Arial" w:eastAsia="Arial" w:hAnsi="Arial"/>
                <w:sz w:val="18"/>
                <w:szCs w:val="18"/>
                <w:color w:val="auto"/>
              </w:rPr>
              <w:t>Revaluation of deferred tax assets and liabilities due to TCJA</w:t>
            </w: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w w:val="94"/>
              </w:rPr>
              <w:t>-47673.1%</w:t>
            </w:r>
          </w:p>
        </w:tc>
        <w:tc>
          <w:tcPr>
            <w:tcW w:w="0" w:type="dxa"/>
            <w:vAlign w:val="bottom"/>
          </w:tcPr>
          <w:p>
            <w:pPr>
              <w:spacing w:after="0"/>
              <w:rPr>
                <w:sz w:val="1"/>
                <w:szCs w:val="1"/>
                <w:color w:val="auto"/>
              </w:rPr>
            </w:pPr>
          </w:p>
        </w:tc>
      </w:tr>
      <w:tr>
        <w:trPr>
          <w:trHeight w:val="27"/>
        </w:trPr>
        <w:tc>
          <w:tcPr>
            <w:tcW w:w="1840" w:type="dxa"/>
            <w:vAlign w:val="bottom"/>
          </w:tcPr>
          <w:p>
            <w:pPr>
              <w:spacing w:after="0"/>
              <w:rPr>
                <w:sz w:val="2"/>
                <w:szCs w:val="2"/>
                <w:color w:val="auto"/>
              </w:rPr>
            </w:pPr>
          </w:p>
        </w:tc>
        <w:tc>
          <w:tcPr>
            <w:tcW w:w="686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1840" w:type="dxa"/>
            <w:vAlign w:val="bottom"/>
          </w:tcPr>
          <w:p>
            <w:pPr>
              <w:spacing w:after="0"/>
              <w:rPr>
                <w:sz w:val="18"/>
                <w:szCs w:val="18"/>
                <w:color w:val="auto"/>
              </w:rPr>
            </w:pPr>
          </w:p>
        </w:tc>
        <w:tc>
          <w:tcPr>
            <w:tcW w:w="68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4"/>
              </w:rPr>
              <w:t>-48033.6%</w:t>
            </w:r>
          </w:p>
        </w:tc>
        <w:tc>
          <w:tcPr>
            <w:tcW w:w="0" w:type="dxa"/>
            <w:vAlign w:val="bottom"/>
          </w:tcPr>
          <w:p>
            <w:pPr>
              <w:spacing w:after="0"/>
              <w:rPr>
                <w:sz w:val="1"/>
                <w:szCs w:val="1"/>
                <w:color w:val="auto"/>
              </w:rPr>
            </w:pPr>
          </w:p>
        </w:tc>
      </w:tr>
      <w:tr>
        <w:trPr>
          <w:trHeight w:val="20"/>
        </w:trPr>
        <w:tc>
          <w:tcPr>
            <w:tcW w:w="8700" w:type="dxa"/>
            <w:vAlign w:val="bottom"/>
            <w:gridSpan w:val="2"/>
            <w:vMerge w:val="restart"/>
          </w:tcPr>
          <w:p>
            <w:pPr>
              <w:jc w:val="right"/>
              <w:ind w:right="2810"/>
              <w:spacing w:after="0"/>
              <w:rPr>
                <w:sz w:val="20"/>
                <w:szCs w:val="20"/>
                <w:color w:val="auto"/>
              </w:rPr>
            </w:pPr>
            <w:r>
              <w:rPr>
                <w:rFonts w:ascii="Arial" w:cs="Arial" w:eastAsia="Arial" w:hAnsi="Arial"/>
                <w:sz w:val="18"/>
                <w:szCs w:val="18"/>
                <w:color w:val="auto"/>
              </w:rPr>
              <w:t>17</w:t>
            </w: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8700" w:type="dxa"/>
            <w:vAlign w:val="bottom"/>
            <w:gridSpan w:val="2"/>
            <w:vMerge w:val="continue"/>
          </w:tcPr>
          <w:p>
            <w:pPr>
              <w:spacing w:after="0"/>
              <w:rPr>
                <w:sz w:val="24"/>
                <w:szCs w:val="24"/>
                <w:color w:val="auto"/>
              </w:rPr>
            </w:pPr>
          </w:p>
        </w:tc>
        <w:tc>
          <w:tcPr>
            <w:tcW w:w="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20"/>
          </w:cols>
          <w:pgMar w:left="240" w:top="270" w:right="339" w:bottom="1440" w:gutter="0" w:footer="0" w:header="0"/>
        </w:sectPr>
      </w:pPr>
    </w:p>
    <w:bookmarkStart w:id="24" w:name="page25"/>
    <w:bookmarkEnd w:id="24"/>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PMG Intermediate Holding Corporation and Subsidiaries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206375</wp:posOffset>
            </wp:positionV>
            <wp:extent cx="724662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300" w:type="dxa"/>
            <w:vAlign w:val="bottom"/>
            <w:gridSpan w:val="2"/>
          </w:tcPr>
          <w:p>
            <w:pPr>
              <w:spacing w:after="0"/>
              <w:rPr>
                <w:sz w:val="20"/>
                <w:szCs w:val="20"/>
                <w:color w:val="auto"/>
              </w:rPr>
            </w:pPr>
            <w:r>
              <w:rPr>
                <w:rFonts w:ascii="Arial" w:cs="Arial" w:eastAsia="Arial" w:hAnsi="Arial"/>
                <w:sz w:val="18"/>
                <w:szCs w:val="18"/>
                <w:color w:val="auto"/>
              </w:rPr>
              <w:t>The components of the Company’s net deferred tax liability consist of the following:</w:t>
            </w:r>
          </w:p>
        </w:tc>
        <w:tc>
          <w:tcPr>
            <w:tcW w:w="1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1840" w:type="dxa"/>
            <w:vAlign w:val="bottom"/>
            <w:vMerge w:val="restart"/>
          </w:tcPr>
          <w:p>
            <w:pPr>
              <w:spacing w:after="0"/>
              <w:rPr>
                <w:sz w:val="21"/>
                <w:szCs w:val="21"/>
                <w:color w:val="auto"/>
              </w:rPr>
            </w:pPr>
          </w:p>
        </w:tc>
        <w:tc>
          <w:tcPr>
            <w:tcW w:w="54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1840" w:type="dxa"/>
            <w:vAlign w:val="bottom"/>
            <w:vMerge w:val="continue"/>
          </w:tcPr>
          <w:p>
            <w:pPr>
              <w:spacing w:after="0"/>
              <w:rPr>
                <w:sz w:val="18"/>
                <w:szCs w:val="18"/>
                <w:color w:val="auto"/>
              </w:rPr>
            </w:pPr>
          </w:p>
        </w:tc>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rPr>
              <w:t>Deferred tax liabilities:</w:t>
            </w:r>
          </w:p>
        </w:tc>
        <w:tc>
          <w:tcPr>
            <w:tcW w:w="1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40" w:type="dxa"/>
            <w:vAlign w:val="bottom"/>
          </w:tcPr>
          <w:p>
            <w:pPr>
              <w:spacing w:after="0"/>
              <w:rPr>
                <w:sz w:val="18"/>
                <w:szCs w:val="18"/>
                <w:color w:val="auto"/>
              </w:rPr>
            </w:pPr>
          </w:p>
        </w:tc>
        <w:tc>
          <w:tcPr>
            <w:tcW w:w="5460" w:type="dxa"/>
            <w:vAlign w:val="bottom"/>
          </w:tcPr>
          <w:p>
            <w:pPr>
              <w:ind w:left="360"/>
              <w:spacing w:after="0"/>
              <w:rPr>
                <w:sz w:val="20"/>
                <w:szCs w:val="20"/>
                <w:color w:val="auto"/>
              </w:rPr>
            </w:pPr>
            <w:r>
              <w:rPr>
                <w:rFonts w:ascii="Arial" w:cs="Arial" w:eastAsia="Arial" w:hAnsi="Arial"/>
                <w:sz w:val="18"/>
                <w:szCs w:val="18"/>
                <w:color w:val="auto"/>
              </w:rPr>
              <w:t>Property and equipment</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w w:val="99"/>
              </w:rPr>
              <w:t>(1,167,810)</w:t>
            </w:r>
          </w:p>
        </w:tc>
        <w:tc>
          <w:tcPr>
            <w:tcW w:w="0" w:type="dxa"/>
            <w:vAlign w:val="bottom"/>
          </w:tcPr>
          <w:p>
            <w:pPr>
              <w:spacing w:after="0"/>
              <w:rPr>
                <w:sz w:val="1"/>
                <w:szCs w:val="1"/>
                <w:color w:val="auto"/>
              </w:rPr>
            </w:pPr>
          </w:p>
        </w:tc>
      </w:tr>
      <w:tr>
        <w:trPr>
          <w:trHeight w:val="216"/>
        </w:trPr>
        <w:tc>
          <w:tcPr>
            <w:tcW w:w="1840" w:type="dxa"/>
            <w:vAlign w:val="bottom"/>
          </w:tcPr>
          <w:p>
            <w:pPr>
              <w:spacing w:after="0"/>
              <w:rPr>
                <w:sz w:val="18"/>
                <w:szCs w:val="18"/>
                <w:color w:val="auto"/>
              </w:rPr>
            </w:pPr>
          </w:p>
        </w:tc>
        <w:tc>
          <w:tcPr>
            <w:tcW w:w="54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Intangible assets</w:t>
            </w:r>
          </w:p>
        </w:tc>
        <w:tc>
          <w:tcPr>
            <w:tcW w:w="1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0"/>
              </w:rPr>
              <w:t>(12,052,417)</w:t>
            </w:r>
          </w:p>
        </w:tc>
        <w:tc>
          <w:tcPr>
            <w:tcW w:w="0" w:type="dxa"/>
            <w:vAlign w:val="bottom"/>
          </w:tcPr>
          <w:p>
            <w:pPr>
              <w:spacing w:after="0"/>
              <w:rPr>
                <w:sz w:val="1"/>
                <w:szCs w:val="1"/>
                <w:color w:val="auto"/>
              </w:rPr>
            </w:pPr>
          </w:p>
        </w:tc>
      </w:tr>
      <w:tr>
        <w:trPr>
          <w:trHeight w:val="230"/>
        </w:trPr>
        <w:tc>
          <w:tcPr>
            <w:tcW w:w="1840" w:type="dxa"/>
            <w:vAlign w:val="bottom"/>
          </w:tcPr>
          <w:p>
            <w:pPr>
              <w:spacing w:after="0"/>
              <w:rPr>
                <w:sz w:val="20"/>
                <w:szCs w:val="20"/>
                <w:color w:val="auto"/>
              </w:rPr>
            </w:pPr>
          </w:p>
        </w:tc>
        <w:tc>
          <w:tcPr>
            <w:tcW w:w="54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(13,220,227</w:t>
            </w:r>
          </w:p>
        </w:tc>
        <w:tc>
          <w:tcPr>
            <w:tcW w:w="12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16"/>
        </w:trPr>
        <w:tc>
          <w:tcPr>
            <w:tcW w:w="1840" w:type="dxa"/>
            <w:vAlign w:val="bottom"/>
          </w:tcPr>
          <w:p>
            <w:pPr>
              <w:spacing w:after="0"/>
              <w:rPr>
                <w:sz w:val="18"/>
                <w:szCs w:val="18"/>
                <w:color w:val="auto"/>
              </w:rPr>
            </w:pPr>
          </w:p>
        </w:tc>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rPr>
              <w:t>Deferred tax assets:</w:t>
            </w:r>
          </w:p>
        </w:tc>
        <w:tc>
          <w:tcPr>
            <w:tcW w:w="1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40" w:type="dxa"/>
            <w:vAlign w:val="bottom"/>
          </w:tcPr>
          <w:p>
            <w:pPr>
              <w:spacing w:after="0"/>
              <w:rPr>
                <w:sz w:val="18"/>
                <w:szCs w:val="18"/>
                <w:color w:val="auto"/>
              </w:rPr>
            </w:pPr>
          </w:p>
        </w:tc>
        <w:tc>
          <w:tcPr>
            <w:tcW w:w="5460" w:type="dxa"/>
            <w:vAlign w:val="bottom"/>
          </w:tcPr>
          <w:p>
            <w:pPr>
              <w:ind w:left="360"/>
              <w:spacing w:after="0"/>
              <w:rPr>
                <w:sz w:val="20"/>
                <w:szCs w:val="20"/>
                <w:color w:val="auto"/>
              </w:rPr>
            </w:pPr>
            <w:r>
              <w:rPr>
                <w:rFonts w:ascii="Arial" w:cs="Arial" w:eastAsia="Arial" w:hAnsi="Arial"/>
                <w:sz w:val="18"/>
                <w:szCs w:val="18"/>
                <w:color w:val="auto"/>
              </w:rPr>
              <w:t>Net operating loss carryforward</w:t>
            </w:r>
          </w:p>
        </w:tc>
        <w:tc>
          <w:tcPr>
            <w:tcW w:w="1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31,982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40" w:type="dxa"/>
            <w:vAlign w:val="bottom"/>
          </w:tcPr>
          <w:p>
            <w:pPr>
              <w:spacing w:after="0"/>
              <w:rPr>
                <w:sz w:val="18"/>
                <w:szCs w:val="18"/>
                <w:color w:val="auto"/>
              </w:rPr>
            </w:pPr>
          </w:p>
        </w:tc>
        <w:tc>
          <w:tcPr>
            <w:tcW w:w="54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Accrued expenses</w:t>
            </w:r>
          </w:p>
        </w:tc>
        <w:tc>
          <w:tcPr>
            <w:tcW w:w="1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237,502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40" w:type="dxa"/>
            <w:vAlign w:val="bottom"/>
          </w:tcPr>
          <w:p>
            <w:pPr>
              <w:spacing w:after="0"/>
              <w:rPr>
                <w:sz w:val="18"/>
                <w:szCs w:val="18"/>
                <w:color w:val="auto"/>
              </w:rPr>
            </w:pPr>
          </w:p>
        </w:tc>
        <w:tc>
          <w:tcPr>
            <w:tcW w:w="5460" w:type="dxa"/>
            <w:vAlign w:val="bottom"/>
          </w:tcPr>
          <w:p>
            <w:pPr>
              <w:ind w:left="360"/>
              <w:spacing w:after="0"/>
              <w:rPr>
                <w:sz w:val="20"/>
                <w:szCs w:val="20"/>
                <w:color w:val="auto"/>
              </w:rPr>
            </w:pPr>
            <w:r>
              <w:rPr>
                <w:rFonts w:ascii="Arial" w:cs="Arial" w:eastAsia="Arial" w:hAnsi="Arial"/>
                <w:sz w:val="18"/>
                <w:szCs w:val="18"/>
                <w:color w:val="auto"/>
              </w:rPr>
              <w:t>Credits carryforward</w:t>
            </w:r>
          </w:p>
        </w:tc>
        <w:tc>
          <w:tcPr>
            <w:tcW w:w="1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4,010,275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40" w:type="dxa"/>
            <w:vAlign w:val="bottom"/>
          </w:tcPr>
          <w:p>
            <w:pPr>
              <w:spacing w:after="0"/>
              <w:rPr>
                <w:sz w:val="18"/>
                <w:szCs w:val="18"/>
                <w:color w:val="auto"/>
              </w:rPr>
            </w:pPr>
          </w:p>
        </w:tc>
        <w:tc>
          <w:tcPr>
            <w:tcW w:w="54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w:t>
            </w:r>
          </w:p>
        </w:tc>
        <w:tc>
          <w:tcPr>
            <w:tcW w:w="12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416,793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840" w:type="dxa"/>
            <w:vAlign w:val="bottom"/>
          </w:tcPr>
          <w:p>
            <w:pPr>
              <w:spacing w:after="0"/>
              <w:rPr>
                <w:sz w:val="20"/>
                <w:szCs w:val="20"/>
                <w:color w:val="auto"/>
              </w:rPr>
            </w:pPr>
          </w:p>
        </w:tc>
        <w:tc>
          <w:tcPr>
            <w:tcW w:w="54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4,696,552</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840" w:type="dxa"/>
            <w:vAlign w:val="bottom"/>
          </w:tcPr>
          <w:p>
            <w:pPr>
              <w:spacing w:after="0"/>
              <w:rPr>
                <w:sz w:val="18"/>
                <w:szCs w:val="18"/>
                <w:color w:val="auto"/>
              </w:rPr>
            </w:pPr>
          </w:p>
        </w:tc>
        <w:tc>
          <w:tcPr>
            <w:tcW w:w="54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(8,523,675)</w:t>
            </w:r>
          </w:p>
        </w:tc>
        <w:tc>
          <w:tcPr>
            <w:tcW w:w="0" w:type="dxa"/>
            <w:vAlign w:val="bottom"/>
          </w:tcPr>
          <w:p>
            <w:pPr>
              <w:spacing w:after="0"/>
              <w:rPr>
                <w:sz w:val="1"/>
                <w:szCs w:val="1"/>
                <w:color w:val="auto"/>
              </w:rPr>
            </w:pPr>
          </w:p>
        </w:tc>
      </w:tr>
      <w:tr>
        <w:trPr>
          <w:trHeight w:val="20"/>
        </w:trPr>
        <w:tc>
          <w:tcPr>
            <w:tcW w:w="1840" w:type="dxa"/>
            <w:vAlign w:val="bottom"/>
          </w:tcPr>
          <w:p>
            <w:pPr>
              <w:spacing w:after="0" w:line="20" w:lineRule="exact"/>
              <w:rPr>
                <w:sz w:val="1"/>
                <w:szCs w:val="1"/>
                <w:color w:val="auto"/>
              </w:rPr>
            </w:pPr>
          </w:p>
        </w:tc>
        <w:tc>
          <w:tcPr>
            <w:tcW w:w="54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The deferred tax amounts mentioned above have been classified on the accompanying balance sheet as of December 31, 2017 as follows:</w:t>
      </w:r>
    </w:p>
    <w:p>
      <w:pPr>
        <w:spacing w:after="0" w:line="267" w:lineRule="exact"/>
        <w:rPr>
          <w:sz w:val="20"/>
          <w:szCs w:val="20"/>
          <w:color w:val="auto"/>
        </w:rPr>
      </w:pPr>
    </w:p>
    <w:tbl>
      <w:tblPr>
        <w:tblLayout w:type="fixed"/>
        <w:tblInd w:w="184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300" w:type="dxa"/>
            <w:vAlign w:val="bottom"/>
            <w:shd w:val="clear" w:color="auto" w:fill="CCEEFF"/>
          </w:tcPr>
          <w:p>
            <w:pPr>
              <w:spacing w:after="0"/>
              <w:rPr>
                <w:sz w:val="20"/>
                <w:szCs w:val="20"/>
                <w:color w:val="auto"/>
              </w:rPr>
            </w:pPr>
            <w:r>
              <w:rPr>
                <w:rFonts w:ascii="Arial" w:cs="Arial" w:eastAsia="Arial" w:hAnsi="Arial"/>
                <w:sz w:val="18"/>
                <w:szCs w:val="18"/>
                <w:color w:val="auto"/>
              </w:rPr>
              <w:t>Current assets</w:t>
            </w:r>
          </w:p>
        </w:tc>
        <w:tc>
          <w:tcPr>
            <w:tcW w:w="2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750,742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tcPr>
          <w:p>
            <w:pPr>
              <w:spacing w:after="0"/>
              <w:rPr>
                <w:sz w:val="20"/>
                <w:szCs w:val="20"/>
                <w:color w:val="auto"/>
              </w:rPr>
            </w:pPr>
            <w:r>
              <w:rPr>
                <w:rFonts w:ascii="Arial" w:cs="Arial" w:eastAsia="Arial" w:hAnsi="Arial"/>
                <w:sz w:val="18"/>
                <w:szCs w:val="18"/>
                <w:color w:val="auto"/>
              </w:rPr>
              <w:t>Non-current liabilities</w:t>
            </w:r>
          </w:p>
        </w:tc>
        <w:tc>
          <w:tcPr>
            <w:tcW w:w="2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w w:val="89"/>
              </w:rPr>
              <w:t>(9,274,417)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300" w:type="dxa"/>
            <w:vAlign w:val="bottom"/>
          </w:tcPr>
          <w:p>
            <w:pPr>
              <w:spacing w:after="0"/>
              <w:rPr>
                <w:sz w:val="2"/>
                <w:szCs w:val="2"/>
                <w:color w:val="auto"/>
              </w:rPr>
            </w:pPr>
          </w:p>
        </w:tc>
        <w:tc>
          <w:tcPr>
            <w:tcW w:w="24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00" w:type="dxa"/>
            <w:vAlign w:val="bottom"/>
            <w:shd w:val="clear" w:color="auto" w:fill="CCEEFF"/>
          </w:tcPr>
          <w:p>
            <w:pPr>
              <w:spacing w:after="0"/>
              <w:rPr>
                <w:sz w:val="20"/>
                <w:szCs w:val="20"/>
                <w:color w:val="auto"/>
              </w:rPr>
            </w:pPr>
            <w:r>
              <w:rPr>
                <w:rFonts w:ascii="Arial" w:cs="Arial" w:eastAsia="Arial" w:hAnsi="Arial"/>
                <w:sz w:val="18"/>
                <w:szCs w:val="18"/>
                <w:color w:val="auto"/>
              </w:rPr>
              <w:t>Net deferred tax liabilities</w:t>
            </w:r>
          </w:p>
        </w:tc>
        <w:tc>
          <w:tcPr>
            <w:tcW w:w="254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9"/>
              </w:rPr>
              <w:t>(8,523,675)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0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Company files income tax returns in the U.S. federal jurisdiction and various states jurisdictions. With few exceptions, the Company is no longer subject to U.S. federal or state income tax examinations by tax authorities for years before 2014.</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Employee Benefits</w:t>
      </w:r>
    </w:p>
    <w:p>
      <w:pPr>
        <w:spacing w:after="0" w:line="117" w:lineRule="exact"/>
        <w:rPr>
          <w:sz w:val="20"/>
          <w:szCs w:val="20"/>
          <w:color w:val="auto"/>
        </w:rPr>
      </w:pPr>
    </w:p>
    <w:p>
      <w:pPr>
        <w:ind w:right="260"/>
        <w:spacing w:after="0" w:line="266" w:lineRule="auto"/>
        <w:rPr>
          <w:sz w:val="20"/>
          <w:szCs w:val="20"/>
          <w:color w:val="auto"/>
        </w:rPr>
      </w:pPr>
      <w:r>
        <w:rPr>
          <w:rFonts w:ascii="Arial" w:cs="Arial" w:eastAsia="Arial" w:hAnsi="Arial"/>
          <w:sz w:val="18"/>
          <w:szCs w:val="18"/>
          <w:b w:val="1"/>
          <w:bCs w:val="1"/>
          <w:color w:val="auto"/>
        </w:rPr>
        <w:t xml:space="preserve">Health plan: </w:t>
      </w:r>
      <w:r>
        <w:rPr>
          <w:rFonts w:ascii="Arial" w:cs="Arial" w:eastAsia="Arial" w:hAnsi="Arial"/>
          <w:sz w:val="18"/>
          <w:szCs w:val="18"/>
          <w:color w:val="auto"/>
        </w:rPr>
        <w:t>The Company has a partially self-insured health plan for its employees for up to $175,000 per participant with aggregate coverage of</w:t>
      </w:r>
      <w:r>
        <w:rPr>
          <w:rFonts w:ascii="Arial" w:cs="Arial" w:eastAsia="Arial" w:hAnsi="Arial"/>
          <w:sz w:val="18"/>
          <w:szCs w:val="18"/>
          <w:b w:val="1"/>
          <w:bCs w:val="1"/>
          <w:color w:val="auto"/>
        </w:rPr>
        <w:t xml:space="preserve"> </w:t>
      </w:r>
      <w:r>
        <w:rPr>
          <w:rFonts w:ascii="Arial" w:cs="Arial" w:eastAsia="Arial" w:hAnsi="Arial"/>
          <w:sz w:val="18"/>
          <w:szCs w:val="18"/>
          <w:color w:val="auto"/>
        </w:rPr>
        <w:t>approximately $8,772,000 for the year ending December 2017. The excess loss portion of the employees’ coverage has been reinsured with a commercial carrier.</w:t>
      </w:r>
    </w:p>
    <w:p>
      <w:pPr>
        <w:spacing w:after="0" w:line="176" w:lineRule="exact"/>
        <w:rPr>
          <w:sz w:val="20"/>
          <w:szCs w:val="20"/>
          <w:color w:val="auto"/>
        </w:rPr>
      </w:pPr>
    </w:p>
    <w:p>
      <w:pPr>
        <w:ind w:right="420"/>
        <w:spacing w:after="0" w:line="314" w:lineRule="auto"/>
        <w:rPr>
          <w:sz w:val="20"/>
          <w:szCs w:val="20"/>
          <w:color w:val="auto"/>
        </w:rPr>
      </w:pPr>
      <w:r>
        <w:rPr>
          <w:rFonts w:ascii="Arial" w:cs="Arial" w:eastAsia="Arial" w:hAnsi="Arial"/>
          <w:sz w:val="16"/>
          <w:szCs w:val="16"/>
          <w:b w:val="1"/>
          <w:bCs w:val="1"/>
          <w:color w:val="auto"/>
        </w:rPr>
        <w:t xml:space="preserve">Retirement plan: </w:t>
      </w:r>
      <w:r>
        <w:rPr>
          <w:rFonts w:ascii="Arial" w:cs="Arial" w:eastAsia="Arial" w:hAnsi="Arial"/>
          <w:sz w:val="16"/>
          <w:szCs w:val="16"/>
          <w:color w:val="auto"/>
        </w:rPr>
        <w:t>Substantially all the employees of the Company participate in a plan established under Section 401(k) of the Internal Revenue Code,</w:t>
      </w:r>
      <w:r>
        <w:rPr>
          <w:rFonts w:ascii="Arial" w:cs="Arial" w:eastAsia="Arial" w:hAnsi="Arial"/>
          <w:sz w:val="16"/>
          <w:szCs w:val="16"/>
          <w:b w:val="1"/>
          <w:bCs w:val="1"/>
          <w:color w:val="auto"/>
        </w:rPr>
        <w:t xml:space="preserve"> </w:t>
      </w:r>
      <w:r>
        <w:rPr>
          <w:rFonts w:ascii="Arial" w:cs="Arial" w:eastAsia="Arial" w:hAnsi="Arial"/>
          <w:sz w:val="16"/>
          <w:szCs w:val="16"/>
          <w:color w:val="auto"/>
        </w:rPr>
        <w:t>effective January 1, 1997. Employees may contribute up to 90 percent of compensation to the plan. The Company matches employees’ contributions 100 percent up to the first 3 percent of income and 50 percent for the next 2 percent. The expense for the year ended December 31, 2017 was $959,965.</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Bonus plan: </w:t>
      </w:r>
      <w:r>
        <w:rPr>
          <w:rFonts w:ascii="Arial" w:cs="Arial" w:eastAsia="Arial" w:hAnsi="Arial"/>
          <w:sz w:val="18"/>
          <w:szCs w:val="18"/>
          <w:color w:val="auto"/>
        </w:rPr>
        <w:t>The Company has various bonus plans for salaried employees which are based upon the Company’s financial performance.</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Management Fee</w:t>
      </w:r>
    </w:p>
    <w:p>
      <w:pPr>
        <w:spacing w:after="0" w:line="121"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The Company incurs an annual management fee of $500,000 payable to Beecken, Petty O’Keefe and Company, the majority member of their Parent. This annual fee is included in general administrative expenses.</w:t>
      </w:r>
    </w:p>
    <w:p>
      <w:pPr>
        <w:spacing w:after="0" w:line="10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340"/>
          </w:cols>
          <w:pgMar w:left="240" w:top="270" w:right="319" w:bottom="1440" w:gutter="0" w:footer="0" w:header="0"/>
        </w:sectPr>
      </w:pPr>
    </w:p>
    <w:bookmarkStart w:id="25" w:name="page26"/>
    <w:bookmarkEnd w:id="25"/>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PMG Intermediate Holding Corporation and Subsidiaries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206375</wp:posOffset>
            </wp:positionV>
            <wp:extent cx="724662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 Concentration of Risk</w:t>
      </w:r>
    </w:p>
    <w:p>
      <w:pPr>
        <w:spacing w:after="0" w:line="12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Three customers represent approximately 73 percent of the accounts receivable balance at December 31, 2017. These customers accounted for approximately 77 percent of net sales in 2017.</w:t>
      </w:r>
    </w:p>
    <w:p>
      <w:pPr>
        <w:spacing w:after="0" w:line="170"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The Company is dependent upon one vendor, which supplied approximately 11 percent of raw material in 2017. If this vendor ceased production of this product, the Company would be forced to either find a substitute vendor or produce this material internally.</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15. Cash Flows Information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Supplemental information relative to the statement of cash flows for the years ended December 31, 2017 is as follows:</w:t>
      </w:r>
    </w:p>
    <w:p>
      <w:pPr>
        <w:spacing w:after="0" w:line="267" w:lineRule="exact"/>
        <w:rPr>
          <w:sz w:val="20"/>
          <w:szCs w:val="20"/>
          <w:color w:val="auto"/>
        </w:rPr>
      </w:pPr>
    </w:p>
    <w:tbl>
      <w:tblPr>
        <w:tblLayout w:type="fixed"/>
        <w:tblInd w:w="1840" w:type="dxa"/>
        <w:tblCellMar>
          <w:top w:w="0" w:type="dxa"/>
          <w:left w:w="0" w:type="dxa"/>
          <w:bottom w:w="0" w:type="dxa"/>
          <w:right w:w="0" w:type="dxa"/>
        </w:tblCellMar>
      </w:tblPr>
      <w:tr>
        <w:trPr>
          <w:trHeight w:val="216"/>
        </w:trPr>
        <w:tc>
          <w:tcPr>
            <w:tcW w:w="3740" w:type="dxa"/>
            <w:vAlign w:val="bottom"/>
            <w:shd w:val="clear" w:color="auto" w:fill="CCEEFF"/>
          </w:tcPr>
          <w:p>
            <w:pPr>
              <w:spacing w:after="0"/>
              <w:rPr>
                <w:sz w:val="20"/>
                <w:szCs w:val="20"/>
                <w:color w:val="auto"/>
              </w:rPr>
            </w:pPr>
            <w:r>
              <w:rPr>
                <w:rFonts w:ascii="Arial" w:cs="Arial" w:eastAsia="Arial" w:hAnsi="Arial"/>
                <w:sz w:val="18"/>
                <w:szCs w:val="18"/>
                <w:color w:val="auto"/>
                <w:w w:val="92"/>
              </w:rPr>
              <w:t>Supplemental disclosures of cash flow information:</w:t>
            </w:r>
          </w:p>
        </w:tc>
        <w:tc>
          <w:tcPr>
            <w:tcW w:w="3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40" w:type="dxa"/>
            <w:vAlign w:val="bottom"/>
          </w:tcPr>
          <w:p>
            <w:pPr>
              <w:ind w:left="360"/>
              <w:spacing w:after="0"/>
              <w:rPr>
                <w:sz w:val="20"/>
                <w:szCs w:val="20"/>
                <w:color w:val="auto"/>
              </w:rPr>
            </w:pPr>
            <w:r>
              <w:rPr>
                <w:rFonts w:ascii="Arial" w:cs="Arial" w:eastAsia="Arial" w:hAnsi="Arial"/>
                <w:sz w:val="18"/>
                <w:szCs w:val="18"/>
                <w:color w:val="auto"/>
              </w:rPr>
              <w:t>Cash payments for:</w:t>
            </w:r>
          </w:p>
        </w:tc>
        <w:tc>
          <w:tcPr>
            <w:tcW w:w="3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40" w:type="dxa"/>
            <w:vAlign w:val="bottom"/>
            <w:shd w:val="clear" w:color="auto" w:fill="CCEEFF"/>
          </w:tcPr>
          <w:p>
            <w:pPr>
              <w:ind w:left="720"/>
              <w:spacing w:after="0"/>
              <w:rPr>
                <w:sz w:val="20"/>
                <w:szCs w:val="20"/>
                <w:color w:val="auto"/>
              </w:rPr>
            </w:pPr>
            <w:r>
              <w:rPr>
                <w:rFonts w:ascii="Arial" w:cs="Arial" w:eastAsia="Arial" w:hAnsi="Arial"/>
                <w:sz w:val="18"/>
                <w:szCs w:val="18"/>
                <w:color w:val="auto"/>
              </w:rPr>
              <w:t>Interest</w:t>
            </w:r>
          </w:p>
        </w:tc>
        <w:tc>
          <w:tcPr>
            <w:tcW w:w="322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5,802,504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740" w:type="dxa"/>
            <w:vAlign w:val="bottom"/>
            <w:vMerge w:val="restart"/>
          </w:tcPr>
          <w:p>
            <w:pPr>
              <w:ind w:left="720"/>
              <w:spacing w:after="0"/>
              <w:rPr>
                <w:sz w:val="20"/>
                <w:szCs w:val="20"/>
                <w:color w:val="auto"/>
              </w:rPr>
            </w:pPr>
            <w:r>
              <w:rPr>
                <w:rFonts w:ascii="Arial" w:cs="Arial" w:eastAsia="Arial" w:hAnsi="Arial"/>
                <w:sz w:val="18"/>
                <w:szCs w:val="18"/>
                <w:color w:val="auto"/>
              </w:rPr>
              <w:t>Income taxes</w:t>
            </w:r>
          </w:p>
        </w:tc>
        <w:tc>
          <w:tcPr>
            <w:tcW w:w="3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740" w:type="dxa"/>
            <w:vAlign w:val="bottom"/>
            <w:vMerge w:val="continue"/>
          </w:tcPr>
          <w:p>
            <w:pPr>
              <w:spacing w:after="0"/>
              <w:rPr>
                <w:sz w:val="18"/>
                <w:szCs w:val="18"/>
                <w:color w:val="auto"/>
              </w:rPr>
            </w:pPr>
          </w:p>
        </w:tc>
        <w:tc>
          <w:tcPr>
            <w:tcW w:w="3140" w:type="dxa"/>
            <w:vAlign w:val="bottom"/>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865,529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740" w:type="dxa"/>
            <w:vAlign w:val="bottom"/>
          </w:tcPr>
          <w:p>
            <w:pPr>
              <w:spacing w:after="0" w:line="20" w:lineRule="exact"/>
              <w:rPr>
                <w:sz w:val="1"/>
                <w:szCs w:val="1"/>
                <w:color w:val="auto"/>
              </w:rPr>
            </w:pPr>
          </w:p>
        </w:tc>
        <w:tc>
          <w:tcPr>
            <w:tcW w:w="3140" w:type="dxa"/>
            <w:vAlign w:val="bottom"/>
            <w:vMerge w:val="restart"/>
          </w:tcPr>
          <w:p>
            <w:pPr>
              <w:jc w:val="right"/>
              <w:ind w:right="2830"/>
              <w:spacing w:after="0"/>
              <w:rPr>
                <w:sz w:val="20"/>
                <w:szCs w:val="20"/>
                <w:color w:val="auto"/>
              </w:rPr>
            </w:pPr>
            <w:r>
              <w:rPr>
                <w:rFonts w:ascii="Arial" w:cs="Arial" w:eastAsia="Arial" w:hAnsi="Arial"/>
                <w:sz w:val="18"/>
                <w:szCs w:val="18"/>
                <w:color w:val="auto"/>
                <w:w w:val="99"/>
              </w:rPr>
              <w:t>19</w:t>
            </w:r>
          </w:p>
        </w:tc>
        <w:tc>
          <w:tcPr>
            <w:tcW w:w="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3740" w:type="dxa"/>
            <w:vAlign w:val="bottom"/>
          </w:tcPr>
          <w:p>
            <w:pPr>
              <w:spacing w:after="0"/>
              <w:rPr>
                <w:sz w:val="24"/>
                <w:szCs w:val="24"/>
                <w:color w:val="auto"/>
              </w:rPr>
            </w:pPr>
          </w:p>
        </w:tc>
        <w:tc>
          <w:tcPr>
            <w:tcW w:w="3140" w:type="dxa"/>
            <w:vAlign w:val="bottom"/>
            <w:vMerge w:val="continue"/>
          </w:tcPr>
          <w:p>
            <w:pPr>
              <w:spacing w:after="0"/>
              <w:rPr>
                <w:sz w:val="24"/>
                <w:szCs w:val="24"/>
                <w:color w:val="auto"/>
              </w:rPr>
            </w:pPr>
          </w:p>
        </w:tc>
        <w:tc>
          <w:tcPr>
            <w:tcW w:w="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40"/>
          </w:cols>
          <w:pgMar w:left="240" w:top="270" w:right="319" w:bottom="1440" w:gutter="0" w:footer="0" w:header="0"/>
        </w:sectPr>
      </w:pPr>
    </w:p>
    <w:bookmarkStart w:id="26" w:name="page27"/>
    <w:bookmarkEnd w:id="26"/>
    <w:p>
      <w:pPr>
        <w:jc w:val="right"/>
        <w:spacing w:after="0"/>
        <w:rPr>
          <w:sz w:val="20"/>
          <w:szCs w:val="20"/>
          <w:color w:val="auto"/>
        </w:rPr>
      </w:pPr>
      <w:r>
        <w:rPr>
          <w:rFonts w:ascii="Arial" w:cs="Arial" w:eastAsia="Arial" w:hAnsi="Arial"/>
          <w:sz w:val="18"/>
          <w:szCs w:val="18"/>
          <w:b w:val="1"/>
          <w:bCs w:val="1"/>
          <w:color w:val="auto"/>
        </w:rPr>
        <w:t>Exhibit 99.2</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PMG Intermediate Holding Corporation</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And Subsidiaries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Condensed Unaudited Consolidated Financial Report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03.31.2018</w:t>
      </w:r>
    </w:p>
    <w:p>
      <w:pPr>
        <w:sectPr>
          <w:pgSz w:w="11900" w:h="16838" w:orient="portrait"/>
          <w:cols w:equalWidth="0" w:num="1">
            <w:col w:w="11420"/>
          </w:cols>
          <w:pgMar w:left="240" w:top="121" w:right="239" w:bottom="1440" w:gutter="0" w:footer="0" w:header="0"/>
        </w:sectPr>
      </w:pPr>
    </w:p>
    <w:bookmarkStart w:id="27" w:name="page28"/>
    <w:bookmarkEnd w:id="27"/>
    <w:tbl>
      <w:tblPr>
        <w:tblLayout w:type="fixed"/>
        <w:tblInd w:w="0" w:type="dxa"/>
        <w:tblCellMar>
          <w:top w:w="0" w:type="dxa"/>
          <w:left w:w="0" w:type="dxa"/>
          <w:bottom w:w="0" w:type="dxa"/>
          <w:right w:w="0" w:type="dxa"/>
        </w:tblCellMar>
      </w:tblPr>
      <w:tr>
        <w:trPr>
          <w:trHeight w:val="234"/>
        </w:trPr>
        <w:tc>
          <w:tcPr>
            <w:tcW w:w="5260" w:type="dxa"/>
            <w:vAlign w:val="bottom"/>
          </w:tcPr>
          <w:p>
            <w:pPr>
              <w:spacing w:after="0"/>
              <w:rPr>
                <w:sz w:val="20"/>
                <w:szCs w:val="20"/>
                <w:color w:val="auto"/>
              </w:rPr>
            </w:pPr>
          </w:p>
        </w:tc>
        <w:tc>
          <w:tcPr>
            <w:tcW w:w="6100" w:type="dxa"/>
            <w:vAlign w:val="bottom"/>
          </w:tcPr>
          <w:p>
            <w:pPr>
              <w:jc w:val="right"/>
              <w:ind w:right="5210"/>
              <w:spacing w:after="0"/>
              <w:rPr>
                <w:sz w:val="20"/>
                <w:szCs w:val="20"/>
                <w:color w:val="auto"/>
              </w:rPr>
            </w:pPr>
            <w:r>
              <w:rPr>
                <w:rFonts w:ascii="Arial" w:cs="Arial" w:eastAsia="Arial" w:hAnsi="Arial"/>
                <w:sz w:val="18"/>
                <w:szCs w:val="18"/>
                <w:b w:val="1"/>
                <w:bCs w:val="1"/>
                <w:color w:val="auto"/>
                <w:w w:val="99"/>
              </w:rPr>
              <w:t>Contents</w:t>
            </w:r>
          </w:p>
        </w:tc>
      </w:tr>
      <w:tr>
        <w:trPr>
          <w:trHeight w:val="459"/>
        </w:trPr>
        <w:tc>
          <w:tcPr>
            <w:tcW w:w="5260" w:type="dxa"/>
            <w:vAlign w:val="bottom"/>
          </w:tcPr>
          <w:p>
            <w:pPr>
              <w:spacing w:after="0"/>
              <w:rPr>
                <w:sz w:val="20"/>
                <w:szCs w:val="20"/>
                <w:color w:val="auto"/>
              </w:rPr>
            </w:pPr>
            <w:r>
              <w:rPr>
                <w:rFonts w:ascii="Arial" w:cs="Arial" w:eastAsia="Arial" w:hAnsi="Arial"/>
                <w:sz w:val="18"/>
                <w:szCs w:val="18"/>
                <w:color w:val="auto"/>
              </w:rPr>
              <w:t>Independent auditor’s review report</w:t>
            </w:r>
          </w:p>
        </w:tc>
        <w:tc>
          <w:tcPr>
            <w:tcW w:w="610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324"/>
        </w:trPr>
        <w:tc>
          <w:tcPr>
            <w:tcW w:w="5260" w:type="dxa"/>
            <w:vAlign w:val="bottom"/>
          </w:tcPr>
          <w:p>
            <w:pPr>
              <w:spacing w:after="0"/>
              <w:rPr>
                <w:sz w:val="20"/>
                <w:szCs w:val="20"/>
                <w:color w:val="auto"/>
              </w:rPr>
            </w:pPr>
            <w:r>
              <w:rPr>
                <w:rFonts w:ascii="Arial" w:cs="Arial" w:eastAsia="Arial" w:hAnsi="Arial"/>
                <w:sz w:val="18"/>
                <w:szCs w:val="18"/>
                <w:color w:val="auto"/>
              </w:rPr>
              <w:t>Financial statements</w:t>
            </w:r>
          </w:p>
        </w:tc>
        <w:tc>
          <w:tcPr>
            <w:tcW w:w="6100" w:type="dxa"/>
            <w:vAlign w:val="bottom"/>
          </w:tcPr>
          <w:p>
            <w:pPr>
              <w:spacing w:after="0"/>
              <w:rPr>
                <w:sz w:val="24"/>
                <w:szCs w:val="24"/>
                <w:color w:val="auto"/>
              </w:rPr>
            </w:pPr>
          </w:p>
        </w:tc>
      </w:tr>
      <w:tr>
        <w:trPr>
          <w:trHeight w:val="310"/>
        </w:trPr>
        <w:tc>
          <w:tcPr>
            <w:tcW w:w="5260" w:type="dxa"/>
            <w:vAlign w:val="bottom"/>
          </w:tcPr>
          <w:p>
            <w:pPr>
              <w:spacing w:after="0"/>
              <w:rPr>
                <w:sz w:val="20"/>
                <w:szCs w:val="20"/>
                <w:color w:val="auto"/>
              </w:rPr>
            </w:pPr>
            <w:r>
              <w:rPr>
                <w:rFonts w:ascii="Arial" w:cs="Arial" w:eastAsia="Arial" w:hAnsi="Arial"/>
                <w:sz w:val="18"/>
                <w:szCs w:val="18"/>
                <w:color w:val="auto"/>
              </w:rPr>
              <w:t>Unaudited condensed consolidated balance sheet</w:t>
            </w:r>
          </w:p>
        </w:tc>
        <w:tc>
          <w:tcPr>
            <w:tcW w:w="610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16"/>
        </w:trPr>
        <w:tc>
          <w:tcPr>
            <w:tcW w:w="5260" w:type="dxa"/>
            <w:vAlign w:val="bottom"/>
          </w:tcPr>
          <w:p>
            <w:pPr>
              <w:spacing w:after="0"/>
              <w:rPr>
                <w:sz w:val="20"/>
                <w:szCs w:val="20"/>
                <w:color w:val="auto"/>
              </w:rPr>
            </w:pPr>
            <w:r>
              <w:rPr>
                <w:rFonts w:ascii="Arial" w:cs="Arial" w:eastAsia="Arial" w:hAnsi="Arial"/>
                <w:sz w:val="18"/>
                <w:szCs w:val="18"/>
                <w:color w:val="auto"/>
              </w:rPr>
              <w:t>Unaudited condensed consolidated statement of income</w:t>
            </w:r>
          </w:p>
        </w:tc>
        <w:tc>
          <w:tcPr>
            <w:tcW w:w="610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16"/>
        </w:trPr>
        <w:tc>
          <w:tcPr>
            <w:tcW w:w="5260" w:type="dxa"/>
            <w:vAlign w:val="bottom"/>
          </w:tcPr>
          <w:p>
            <w:pPr>
              <w:spacing w:after="0"/>
              <w:rPr>
                <w:sz w:val="20"/>
                <w:szCs w:val="20"/>
                <w:color w:val="auto"/>
              </w:rPr>
            </w:pPr>
            <w:r>
              <w:rPr>
                <w:rFonts w:ascii="Arial" w:cs="Arial" w:eastAsia="Arial" w:hAnsi="Arial"/>
                <w:sz w:val="18"/>
                <w:szCs w:val="18"/>
                <w:color w:val="auto"/>
                <w:w w:val="91"/>
              </w:rPr>
              <w:t>Unaudited condensed consolidated statement of comprehensive income</w:t>
            </w:r>
          </w:p>
        </w:tc>
        <w:tc>
          <w:tcPr>
            <w:tcW w:w="610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16"/>
        </w:trPr>
        <w:tc>
          <w:tcPr>
            <w:tcW w:w="5260" w:type="dxa"/>
            <w:vAlign w:val="bottom"/>
          </w:tcPr>
          <w:p>
            <w:pPr>
              <w:spacing w:after="0"/>
              <w:rPr>
                <w:sz w:val="20"/>
                <w:szCs w:val="20"/>
                <w:color w:val="auto"/>
              </w:rPr>
            </w:pPr>
            <w:r>
              <w:rPr>
                <w:rFonts w:ascii="Arial" w:cs="Arial" w:eastAsia="Arial" w:hAnsi="Arial"/>
                <w:sz w:val="18"/>
                <w:szCs w:val="18"/>
                <w:color w:val="auto"/>
                <w:w w:val="95"/>
              </w:rPr>
              <w:t>Unaudited condensed consolidated statement of stockholder’s equity</w:t>
            </w:r>
          </w:p>
        </w:tc>
        <w:tc>
          <w:tcPr>
            <w:tcW w:w="610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16"/>
        </w:trPr>
        <w:tc>
          <w:tcPr>
            <w:tcW w:w="5260" w:type="dxa"/>
            <w:vAlign w:val="bottom"/>
          </w:tcPr>
          <w:p>
            <w:pPr>
              <w:spacing w:after="0"/>
              <w:rPr>
                <w:sz w:val="20"/>
                <w:szCs w:val="20"/>
                <w:color w:val="auto"/>
              </w:rPr>
            </w:pPr>
            <w:r>
              <w:rPr>
                <w:rFonts w:ascii="Arial" w:cs="Arial" w:eastAsia="Arial" w:hAnsi="Arial"/>
                <w:sz w:val="18"/>
                <w:szCs w:val="18"/>
                <w:color w:val="auto"/>
              </w:rPr>
              <w:t>Unaudited condensed consolidated statement of cash flows</w:t>
            </w:r>
          </w:p>
        </w:tc>
        <w:tc>
          <w:tcPr>
            <w:tcW w:w="610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30"/>
        </w:trPr>
        <w:tc>
          <w:tcPr>
            <w:tcW w:w="5260" w:type="dxa"/>
            <w:vAlign w:val="bottom"/>
          </w:tcPr>
          <w:p>
            <w:pPr>
              <w:spacing w:after="0"/>
              <w:rPr>
                <w:sz w:val="20"/>
                <w:szCs w:val="20"/>
                <w:color w:val="auto"/>
              </w:rPr>
            </w:pPr>
            <w:r>
              <w:rPr>
                <w:rFonts w:ascii="Arial" w:cs="Arial" w:eastAsia="Arial" w:hAnsi="Arial"/>
                <w:sz w:val="18"/>
                <w:szCs w:val="18"/>
                <w:color w:val="auto"/>
              </w:rPr>
              <w:t>Notes to Unaudited condensed consolidated financial statements</w:t>
            </w:r>
          </w:p>
        </w:tc>
        <w:tc>
          <w:tcPr>
            <w:tcW w:w="6100" w:type="dxa"/>
            <w:vAlign w:val="bottom"/>
          </w:tcPr>
          <w:p>
            <w:pPr>
              <w:jc w:val="right"/>
              <w:spacing w:after="0"/>
              <w:rPr>
                <w:sz w:val="20"/>
                <w:szCs w:val="20"/>
                <w:color w:val="auto"/>
              </w:rPr>
            </w:pPr>
            <w:r>
              <w:rPr>
                <w:rFonts w:ascii="Arial" w:cs="Arial" w:eastAsia="Arial" w:hAnsi="Arial"/>
                <w:sz w:val="18"/>
                <w:szCs w:val="18"/>
                <w:color w:val="auto"/>
              </w:rPr>
              <w:t>7-10</w:t>
            </w:r>
          </w:p>
        </w:tc>
      </w:tr>
    </w:tbl>
    <w:p>
      <w:pPr>
        <w:jc w:val="right"/>
        <w:spacing w:after="0"/>
        <w:rPr>
          <w:sz w:val="20"/>
          <w:szCs w:val="20"/>
          <w:color w:val="auto"/>
        </w:rPr>
        <w:sectPr>
          <w:pgSz w:w="11900" w:h="16838" w:orient="portrait"/>
          <w:cols w:equalWidth="0" w:num="1">
            <w:col w:w="11360"/>
          </w:cols>
          <w:pgMar w:left="240" w:top="270" w:right="299" w:bottom="1440" w:gutter="0" w:footer="0" w:header="0"/>
        </w:sect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bookmarkStart w:id="28" w:name="page29"/>
    <w:bookmarkEnd w:id="28"/>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109791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89165" cy="1097915"/>
                    </a:xfrm>
                    <a:prstGeom prst="rect">
                      <a:avLst/>
                    </a:prstGeom>
                    <a:noFill/>
                  </pic:spPr>
                </pic:pic>
              </a:graphicData>
            </a:graphic>
          </wp:anchor>
        </w:drawing>
      </w:r>
    </w:p>
    <w:p>
      <w:pPr>
        <w:spacing w:after="0" w:line="200" w:lineRule="exact"/>
        <w:rPr>
          <w:sz w:val="20"/>
          <w:szCs w:val="20"/>
          <w:color w:val="auto"/>
        </w:rPr>
      </w:pPr>
    </w:p>
    <w:p>
      <w:pPr>
        <w:spacing w:after="0" w:line="22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Independent Auditor’s Review Report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To the Board of Directors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PMG Intermediate Holding Corporation and Subsidiaries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Pierceton, Indiana</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Report on the Financial Statements</w:t>
      </w:r>
    </w:p>
    <w:p>
      <w:pPr>
        <w:spacing w:after="0" w:line="12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We have reviewed the condensed consolidated financial statements of PMG Intermediate Holding Corporation and Subsidiaries as of March 31, 2018, and for the three-month periods ended March 31, 2018 and 2017.</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Responsibility</w:t>
      </w:r>
    </w:p>
    <w:p>
      <w:pPr>
        <w:spacing w:after="0" w:line="121" w:lineRule="exact"/>
        <w:rPr>
          <w:sz w:val="20"/>
          <w:szCs w:val="20"/>
          <w:color w:val="auto"/>
        </w:rPr>
      </w:pPr>
    </w:p>
    <w:p>
      <w:pPr>
        <w:ind w:right="260"/>
        <w:spacing w:after="0" w:line="259" w:lineRule="auto"/>
        <w:rPr>
          <w:sz w:val="20"/>
          <w:szCs w:val="20"/>
          <w:color w:val="auto"/>
        </w:rPr>
      </w:pPr>
      <w:r>
        <w:rPr>
          <w:rFonts w:ascii="Arial" w:cs="Arial" w:eastAsia="Arial" w:hAnsi="Arial"/>
          <w:sz w:val="18"/>
          <w:szCs w:val="18"/>
          <w:color w:val="auto"/>
        </w:rPr>
        <w:t>The Company’s management is responsible for the preparation and fair presentation of the condensed financial information in accordance with accounting principles generally accepted in the United States of America; this responsibility includes the design, implementation, and maintenance of internal control sufficient to provide a reasonable basis for the preparation and fair presentation of interim financial information in accordance with generally accepted accounting principles.</w:t>
      </w: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Auditor’s Responsibility</w:t>
      </w:r>
    </w:p>
    <w:p>
      <w:pPr>
        <w:spacing w:after="0" w:line="121"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Our responsibility is to conduct our review in accordance with auditing standards generally accepted in the United States of America applicable to reviews of interim financial information. A review of interim financial information consists principally of applying analytical procedures and making inquiries of persons responsible for financial and accounting matters. It is substantially less in scope than an audit conducted in accordance with auditing standards generally accepted in the United States of America, the objective of which is the expression of an opinion regarding the financial information. Accordingly, we do not express such an opinion.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Conclusion</w:t>
      </w:r>
    </w:p>
    <w:p>
      <w:pPr>
        <w:spacing w:after="0" w:line="121"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Based on our reviews, we are not aware of any material modifications that should be made to the condensed financial information for it to be in accordance with accounting principles generally accepted in the United States of America.</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Report on Condensed Balance Sheet as of December 31, 2017</w:t>
      </w:r>
    </w:p>
    <w:p>
      <w:pPr>
        <w:spacing w:after="0" w:line="121"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We have previously audited, in accordance with auditing standards generally accepted in the United States of America, the balance sheet as of December 31, 2017, and the related statements of income, comprehensive income, stockholders’ equity, and cash flows for the year then ended (not presented herein); and we expressed an unmodified audit opinion on those audited consolidated financial statements in our report dated April 4, 2018. In our opinion, the accompanying condensed balance sheet of PMG Intermediate Holding Corporation and Subsidiaries as of December 31, 2017, is consistent, in all material respects, with the audited financial statements from which it has been derived.</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/s/ RSM US 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Elkhart, Indiana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May 30,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160020</wp:posOffset>
            </wp:positionV>
            <wp:extent cx="6089015" cy="7372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089015" cy="7372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380"/>
          </w:cols>
          <w:pgMar w:left="240" w:top="1440" w:right="279" w:bottom="1440" w:gutter="0" w:footer="0" w:header="0"/>
        </w:sectPr>
      </w:pPr>
    </w:p>
    <w:bookmarkStart w:id="29" w:name="page30"/>
    <w:bookmarkEnd w:id="29"/>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PMG Intermediate Holding Corporation and Subsidiaries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Unaudited Condensed Consolidated Balance Sheet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March 31, 2018 and December 31, 2017</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08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rPr>
              <w:t>March 31,</w:t>
            </w:r>
          </w:p>
        </w:tc>
        <w:tc>
          <w:tcPr>
            <w:tcW w:w="80" w:type="dxa"/>
            <w:vAlign w:val="bottom"/>
          </w:tcPr>
          <w:p>
            <w:pPr>
              <w:spacing w:after="0"/>
              <w:rPr>
                <w:sz w:val="14"/>
                <w:szCs w:val="14"/>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4"/>
                <w:szCs w:val="14"/>
                <w:color w:val="auto"/>
                <w:w w:val="90"/>
              </w:rPr>
              <w:t>December 31,</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080" w:type="dxa"/>
            <w:vAlign w:val="bottom"/>
            <w:tcBorders>
              <w:bottom w:val="single" w:sz="8" w:color="CCEEFF"/>
            </w:tcBorders>
          </w:tcPr>
          <w:p>
            <w:pPr>
              <w:spacing w:after="0"/>
              <w:rPr>
                <w:sz w:val="14"/>
                <w:szCs w:val="14"/>
                <w:color w:val="auto"/>
              </w:rPr>
            </w:pPr>
          </w:p>
        </w:tc>
        <w:tc>
          <w:tcPr>
            <w:tcW w:w="188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251"/>
              <w:spacing w:after="0"/>
              <w:rPr>
                <w:sz w:val="20"/>
                <w:szCs w:val="20"/>
                <w:color w:val="auto"/>
              </w:rPr>
            </w:pPr>
            <w:r>
              <w:rPr>
                <w:rFonts w:ascii="Arial" w:cs="Arial" w:eastAsia="Arial" w:hAnsi="Arial"/>
                <w:sz w:val="14"/>
                <w:szCs w:val="14"/>
                <w:b w:val="1"/>
                <w:bCs w:val="1"/>
                <w:color w:val="auto"/>
              </w:rPr>
              <w:t>2018</w:t>
            </w:r>
          </w:p>
        </w:tc>
        <w:tc>
          <w:tcPr>
            <w:tcW w:w="34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271"/>
              <w:spacing w:after="0"/>
              <w:rPr>
                <w:sz w:val="20"/>
                <w:szCs w:val="20"/>
                <w:color w:val="auto"/>
              </w:rPr>
            </w:pPr>
            <w:r>
              <w:rPr>
                <w:rFonts w:ascii="Arial" w:cs="Arial" w:eastAsia="Arial" w:hAnsi="Arial"/>
                <w:sz w:val="14"/>
                <w:szCs w:val="14"/>
                <w:color w:val="auto"/>
              </w:rPr>
              <w:t>2017</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08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Assets</w:t>
            </w:r>
          </w:p>
        </w:tc>
        <w:tc>
          <w:tcPr>
            <w:tcW w:w="1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80" w:type="dxa"/>
            <w:vAlign w:val="bottom"/>
          </w:tcPr>
          <w:p>
            <w:pPr>
              <w:spacing w:after="0"/>
              <w:rPr>
                <w:sz w:val="20"/>
                <w:szCs w:val="20"/>
                <w:color w:val="auto"/>
              </w:rPr>
            </w:pPr>
            <w:r>
              <w:rPr>
                <w:rFonts w:ascii="Arial" w:cs="Arial" w:eastAsia="Arial" w:hAnsi="Arial"/>
                <w:sz w:val="18"/>
                <w:szCs w:val="18"/>
                <w:color w:val="auto"/>
              </w:rPr>
              <w:t>Current assets:</w:t>
            </w:r>
          </w:p>
        </w:tc>
        <w:tc>
          <w:tcPr>
            <w:tcW w:w="1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Cash</w:t>
            </w:r>
          </w:p>
        </w:tc>
        <w:tc>
          <w:tcPr>
            <w:tcW w:w="19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2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b w:val="1"/>
                <w:bCs w:val="1"/>
                <w:color w:val="auto"/>
                <w:w w:val="97"/>
              </w:rPr>
              <w:t>10,076,804</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15,905,385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80" w:type="dxa"/>
            <w:vAlign w:val="bottom"/>
          </w:tcPr>
          <w:p>
            <w:pPr>
              <w:ind w:left="340"/>
              <w:spacing w:after="0"/>
              <w:rPr>
                <w:sz w:val="20"/>
                <w:szCs w:val="20"/>
                <w:color w:val="auto"/>
              </w:rPr>
            </w:pPr>
            <w:r>
              <w:rPr>
                <w:rFonts w:ascii="Arial" w:cs="Arial" w:eastAsia="Arial" w:hAnsi="Arial"/>
                <w:sz w:val="18"/>
                <w:szCs w:val="18"/>
                <w:color w:val="auto"/>
              </w:rPr>
              <w:t>Trade receivables</w:t>
            </w:r>
          </w:p>
        </w:tc>
        <w:tc>
          <w:tcPr>
            <w:tcW w:w="1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w w:val="97"/>
              </w:rPr>
              <w:t>23,372,738</w:t>
            </w:r>
          </w:p>
        </w:tc>
        <w:tc>
          <w:tcPr>
            <w:tcW w:w="8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19,510,151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Inventories</w:t>
            </w:r>
          </w:p>
        </w:tc>
        <w:tc>
          <w:tcPr>
            <w:tcW w:w="1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b w:val="1"/>
                <w:bCs w:val="1"/>
                <w:color w:val="auto"/>
                <w:w w:val="97"/>
              </w:rPr>
              <w:t>20,996,118</w:t>
            </w: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20,376,198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80" w:type="dxa"/>
            <w:vAlign w:val="bottom"/>
          </w:tcPr>
          <w:p>
            <w:pPr>
              <w:ind w:left="340"/>
              <w:spacing w:after="0"/>
              <w:rPr>
                <w:sz w:val="20"/>
                <w:szCs w:val="20"/>
                <w:color w:val="auto"/>
              </w:rPr>
            </w:pPr>
            <w:r>
              <w:rPr>
                <w:rFonts w:ascii="Arial" w:cs="Arial" w:eastAsia="Arial" w:hAnsi="Arial"/>
                <w:sz w:val="18"/>
                <w:szCs w:val="18"/>
                <w:color w:val="auto"/>
              </w:rPr>
              <w:t>Other current assets</w:t>
            </w:r>
          </w:p>
        </w:tc>
        <w:tc>
          <w:tcPr>
            <w:tcW w:w="1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1,667,759</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1,517,794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Deferred income taxes</w:t>
            </w:r>
          </w:p>
        </w:tc>
        <w:tc>
          <w:tcPr>
            <w:tcW w:w="18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752,807</w:t>
            </w:r>
          </w:p>
        </w:tc>
        <w:tc>
          <w:tcPr>
            <w:tcW w:w="3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750,742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7080" w:type="dxa"/>
            <w:vAlign w:val="bottom"/>
          </w:tcPr>
          <w:p>
            <w:pPr>
              <w:ind w:left="700"/>
              <w:spacing w:after="0"/>
              <w:rPr>
                <w:sz w:val="20"/>
                <w:szCs w:val="20"/>
                <w:color w:val="auto"/>
              </w:rPr>
            </w:pPr>
            <w:r>
              <w:rPr>
                <w:rFonts w:ascii="Arial" w:cs="Arial" w:eastAsia="Arial" w:hAnsi="Arial"/>
                <w:sz w:val="18"/>
                <w:szCs w:val="18"/>
                <w:b w:val="1"/>
                <w:bCs w:val="1"/>
                <w:color w:val="auto"/>
              </w:rPr>
              <w:t>Total current assets</w:t>
            </w:r>
          </w:p>
        </w:tc>
        <w:tc>
          <w:tcPr>
            <w:tcW w:w="1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w w:val="97"/>
              </w:rPr>
              <w:t>56,866,226</w:t>
            </w:r>
          </w:p>
        </w:tc>
        <w:tc>
          <w:tcPr>
            <w:tcW w:w="80" w:type="dxa"/>
            <w:vAlign w:val="bottom"/>
          </w:tcPr>
          <w:p>
            <w:pPr>
              <w:spacing w:after="0"/>
              <w:rPr>
                <w:sz w:val="24"/>
                <w:szCs w:val="24"/>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58,060,270</w:t>
            </w:r>
          </w:p>
        </w:tc>
        <w:tc>
          <w:tcPr>
            <w:tcW w:w="0" w:type="dxa"/>
            <w:vAlign w:val="bottom"/>
          </w:tcPr>
          <w:p>
            <w:pPr>
              <w:spacing w:after="0"/>
              <w:rPr>
                <w:sz w:val="1"/>
                <w:szCs w:val="1"/>
                <w:color w:val="auto"/>
              </w:rPr>
            </w:pPr>
          </w:p>
        </w:tc>
      </w:tr>
      <w:tr>
        <w:trPr>
          <w:trHeight w:val="108"/>
        </w:trPr>
        <w:tc>
          <w:tcPr>
            <w:tcW w:w="20" w:type="dxa"/>
            <w:vAlign w:val="bottom"/>
            <w:vMerge w:val="restart"/>
          </w:tcPr>
          <w:p>
            <w:pPr>
              <w:spacing w:after="0"/>
              <w:rPr>
                <w:sz w:val="9"/>
                <w:szCs w:val="9"/>
                <w:color w:val="auto"/>
              </w:rPr>
            </w:pPr>
          </w:p>
        </w:tc>
        <w:tc>
          <w:tcPr>
            <w:tcW w:w="7080" w:type="dxa"/>
            <w:vAlign w:val="bottom"/>
          </w:tcPr>
          <w:p>
            <w:pPr>
              <w:spacing w:after="0"/>
              <w:rPr>
                <w:sz w:val="9"/>
                <w:szCs w:val="9"/>
                <w:color w:val="auto"/>
              </w:rPr>
            </w:pPr>
          </w:p>
        </w:tc>
        <w:tc>
          <w:tcPr>
            <w:tcW w:w="1880" w:type="dxa"/>
            <w:vAlign w:val="bottom"/>
          </w:tcPr>
          <w:p>
            <w:pPr>
              <w:spacing w:after="0"/>
              <w:rPr>
                <w:sz w:val="9"/>
                <w:szCs w:val="9"/>
                <w:color w:val="auto"/>
              </w:rPr>
            </w:pPr>
          </w:p>
        </w:tc>
        <w:tc>
          <w:tcPr>
            <w:tcW w:w="100" w:type="dxa"/>
            <w:vAlign w:val="bottom"/>
          </w:tcPr>
          <w:p>
            <w:pPr>
              <w:spacing w:after="0"/>
              <w:rPr>
                <w:sz w:val="9"/>
                <w:szCs w:val="9"/>
                <w:color w:val="auto"/>
              </w:rPr>
            </w:pPr>
          </w:p>
        </w:tc>
        <w:tc>
          <w:tcPr>
            <w:tcW w:w="900" w:type="dxa"/>
            <w:vAlign w:val="bottom"/>
          </w:tcPr>
          <w:p>
            <w:pPr>
              <w:spacing w:after="0"/>
              <w:rPr>
                <w:sz w:val="9"/>
                <w:szCs w:val="9"/>
                <w:color w:val="auto"/>
              </w:rPr>
            </w:pPr>
          </w:p>
        </w:tc>
        <w:tc>
          <w:tcPr>
            <w:tcW w:w="340" w:type="dxa"/>
            <w:vAlign w:val="bottom"/>
          </w:tcPr>
          <w:p>
            <w:pPr>
              <w:spacing w:after="0"/>
              <w:rPr>
                <w:sz w:val="9"/>
                <w:szCs w:val="9"/>
                <w:color w:val="auto"/>
              </w:rPr>
            </w:pPr>
          </w:p>
        </w:tc>
        <w:tc>
          <w:tcPr>
            <w:tcW w:w="80" w:type="dxa"/>
            <w:vAlign w:val="bottom"/>
          </w:tcPr>
          <w:p>
            <w:pPr>
              <w:spacing w:after="0"/>
              <w:rPr>
                <w:sz w:val="9"/>
                <w:szCs w:val="9"/>
                <w:color w:val="auto"/>
              </w:rPr>
            </w:pPr>
          </w:p>
        </w:tc>
        <w:tc>
          <w:tcPr>
            <w:tcW w:w="9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080" w:type="dxa"/>
            <w:vAlign w:val="bottom"/>
            <w:shd w:val="clear" w:color="auto" w:fill="CCEEFF"/>
          </w:tcPr>
          <w:p>
            <w:pPr>
              <w:spacing w:after="0"/>
              <w:rPr>
                <w:sz w:val="20"/>
                <w:szCs w:val="20"/>
                <w:color w:val="auto"/>
              </w:rPr>
            </w:pPr>
            <w:r>
              <w:rPr>
                <w:rFonts w:ascii="Arial" w:cs="Arial" w:eastAsia="Arial" w:hAnsi="Arial"/>
                <w:sz w:val="18"/>
                <w:szCs w:val="18"/>
                <w:color w:val="auto"/>
              </w:rPr>
              <w:t>Property, equipment and leasehold improvements, net</w:t>
            </w:r>
          </w:p>
        </w:tc>
        <w:tc>
          <w:tcPr>
            <w:tcW w:w="1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b w:val="1"/>
                <w:bCs w:val="1"/>
                <w:color w:val="auto"/>
                <w:w w:val="97"/>
              </w:rPr>
              <w:t>35,583,214</w:t>
            </w: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32,893,254</w:t>
            </w:r>
          </w:p>
        </w:tc>
        <w:tc>
          <w:tcPr>
            <w:tcW w:w="0" w:type="dxa"/>
            <w:vAlign w:val="bottom"/>
          </w:tcPr>
          <w:p>
            <w:pPr>
              <w:spacing w:after="0"/>
              <w:rPr>
                <w:sz w:val="1"/>
                <w:szCs w:val="1"/>
                <w:color w:val="auto"/>
              </w:rPr>
            </w:pPr>
          </w:p>
        </w:tc>
      </w:tr>
      <w:tr>
        <w:trPr>
          <w:trHeight w:val="324"/>
        </w:trPr>
        <w:tc>
          <w:tcPr>
            <w:tcW w:w="7100" w:type="dxa"/>
            <w:vAlign w:val="bottom"/>
            <w:gridSpan w:val="2"/>
          </w:tcPr>
          <w:p>
            <w:pPr>
              <w:spacing w:after="0"/>
              <w:rPr>
                <w:sz w:val="20"/>
                <w:szCs w:val="20"/>
                <w:color w:val="auto"/>
              </w:rPr>
            </w:pPr>
            <w:r>
              <w:rPr>
                <w:rFonts w:ascii="Arial" w:cs="Arial" w:eastAsia="Arial" w:hAnsi="Arial"/>
                <w:sz w:val="18"/>
                <w:szCs w:val="18"/>
                <w:color w:val="auto"/>
              </w:rPr>
              <w:t>Goodwill</w:t>
            </w:r>
          </w:p>
        </w:tc>
        <w:tc>
          <w:tcPr>
            <w:tcW w:w="1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w w:val="97"/>
              </w:rPr>
              <w:t>49,946,257</w:t>
            </w:r>
          </w:p>
        </w:tc>
        <w:tc>
          <w:tcPr>
            <w:tcW w:w="80" w:type="dxa"/>
            <w:vAlign w:val="bottom"/>
          </w:tcPr>
          <w:p>
            <w:pPr>
              <w:spacing w:after="0"/>
              <w:rPr>
                <w:sz w:val="24"/>
                <w:szCs w:val="24"/>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49,946,257</w:t>
            </w:r>
          </w:p>
        </w:tc>
        <w:tc>
          <w:tcPr>
            <w:tcW w:w="0" w:type="dxa"/>
            <w:vAlign w:val="bottom"/>
          </w:tcPr>
          <w:p>
            <w:pPr>
              <w:spacing w:after="0"/>
              <w:rPr>
                <w:sz w:val="1"/>
                <w:szCs w:val="1"/>
                <w:color w:val="auto"/>
              </w:rPr>
            </w:pPr>
          </w:p>
        </w:tc>
      </w:tr>
      <w:tr>
        <w:trPr>
          <w:trHeight w:val="108"/>
        </w:trPr>
        <w:tc>
          <w:tcPr>
            <w:tcW w:w="20" w:type="dxa"/>
            <w:vAlign w:val="bottom"/>
            <w:vMerge w:val="restart"/>
          </w:tcPr>
          <w:p>
            <w:pPr>
              <w:spacing w:after="0"/>
              <w:rPr>
                <w:sz w:val="9"/>
                <w:szCs w:val="9"/>
                <w:color w:val="auto"/>
              </w:rPr>
            </w:pPr>
          </w:p>
        </w:tc>
        <w:tc>
          <w:tcPr>
            <w:tcW w:w="7080" w:type="dxa"/>
            <w:vAlign w:val="bottom"/>
          </w:tcPr>
          <w:p>
            <w:pPr>
              <w:spacing w:after="0"/>
              <w:rPr>
                <w:sz w:val="9"/>
                <w:szCs w:val="9"/>
                <w:color w:val="auto"/>
              </w:rPr>
            </w:pPr>
          </w:p>
        </w:tc>
        <w:tc>
          <w:tcPr>
            <w:tcW w:w="1880" w:type="dxa"/>
            <w:vAlign w:val="bottom"/>
          </w:tcPr>
          <w:p>
            <w:pPr>
              <w:spacing w:after="0"/>
              <w:rPr>
                <w:sz w:val="9"/>
                <w:szCs w:val="9"/>
                <w:color w:val="auto"/>
              </w:rPr>
            </w:pPr>
          </w:p>
        </w:tc>
        <w:tc>
          <w:tcPr>
            <w:tcW w:w="100" w:type="dxa"/>
            <w:vAlign w:val="bottom"/>
          </w:tcPr>
          <w:p>
            <w:pPr>
              <w:spacing w:after="0"/>
              <w:rPr>
                <w:sz w:val="9"/>
                <w:szCs w:val="9"/>
                <w:color w:val="auto"/>
              </w:rPr>
            </w:pPr>
          </w:p>
        </w:tc>
        <w:tc>
          <w:tcPr>
            <w:tcW w:w="900" w:type="dxa"/>
            <w:vAlign w:val="bottom"/>
          </w:tcPr>
          <w:p>
            <w:pPr>
              <w:spacing w:after="0"/>
              <w:rPr>
                <w:sz w:val="9"/>
                <w:szCs w:val="9"/>
                <w:color w:val="auto"/>
              </w:rPr>
            </w:pPr>
          </w:p>
        </w:tc>
        <w:tc>
          <w:tcPr>
            <w:tcW w:w="340" w:type="dxa"/>
            <w:vAlign w:val="bottom"/>
          </w:tcPr>
          <w:p>
            <w:pPr>
              <w:spacing w:after="0"/>
              <w:rPr>
                <w:sz w:val="9"/>
                <w:szCs w:val="9"/>
                <w:color w:val="auto"/>
              </w:rPr>
            </w:pPr>
          </w:p>
        </w:tc>
        <w:tc>
          <w:tcPr>
            <w:tcW w:w="80" w:type="dxa"/>
            <w:vAlign w:val="bottom"/>
          </w:tcPr>
          <w:p>
            <w:pPr>
              <w:spacing w:after="0"/>
              <w:rPr>
                <w:sz w:val="9"/>
                <w:szCs w:val="9"/>
                <w:color w:val="auto"/>
              </w:rPr>
            </w:pPr>
          </w:p>
        </w:tc>
        <w:tc>
          <w:tcPr>
            <w:tcW w:w="9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080" w:type="dxa"/>
            <w:vAlign w:val="bottom"/>
            <w:shd w:val="clear" w:color="auto" w:fill="CCEEFF"/>
          </w:tcPr>
          <w:p>
            <w:pPr>
              <w:spacing w:after="0"/>
              <w:rPr>
                <w:sz w:val="20"/>
                <w:szCs w:val="20"/>
                <w:color w:val="auto"/>
              </w:rPr>
            </w:pPr>
            <w:r>
              <w:rPr>
                <w:rFonts w:ascii="Arial" w:cs="Arial" w:eastAsia="Arial" w:hAnsi="Arial"/>
                <w:sz w:val="18"/>
                <w:szCs w:val="18"/>
                <w:color w:val="auto"/>
              </w:rPr>
              <w:t>Other intangible assets</w:t>
            </w:r>
          </w:p>
        </w:tc>
        <w:tc>
          <w:tcPr>
            <w:tcW w:w="1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b w:val="1"/>
                <w:bCs w:val="1"/>
                <w:color w:val="auto"/>
                <w:w w:val="97"/>
              </w:rPr>
              <w:t>48,364,557</w:t>
            </w: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49,580,640</w:t>
            </w:r>
          </w:p>
        </w:tc>
        <w:tc>
          <w:tcPr>
            <w:tcW w:w="0" w:type="dxa"/>
            <w:vAlign w:val="bottom"/>
          </w:tcPr>
          <w:p>
            <w:pPr>
              <w:spacing w:after="0"/>
              <w:rPr>
                <w:sz w:val="1"/>
                <w:szCs w:val="1"/>
                <w:color w:val="auto"/>
              </w:rPr>
            </w:pPr>
          </w:p>
        </w:tc>
      </w:tr>
      <w:tr>
        <w:trPr>
          <w:trHeight w:val="331"/>
        </w:trPr>
        <w:tc>
          <w:tcPr>
            <w:tcW w:w="7100" w:type="dxa"/>
            <w:vAlign w:val="bottom"/>
            <w:gridSpan w:val="2"/>
          </w:tcPr>
          <w:p>
            <w:pPr>
              <w:spacing w:after="0"/>
              <w:rPr>
                <w:sz w:val="20"/>
                <w:szCs w:val="20"/>
                <w:color w:val="auto"/>
              </w:rPr>
            </w:pPr>
            <w:r>
              <w:rPr>
                <w:rFonts w:ascii="Arial" w:cs="Arial" w:eastAsia="Arial" w:hAnsi="Arial"/>
                <w:sz w:val="18"/>
                <w:szCs w:val="18"/>
                <w:color w:val="auto"/>
              </w:rPr>
              <w:t>Other assets</w:t>
            </w:r>
          </w:p>
        </w:tc>
        <w:tc>
          <w:tcPr>
            <w:tcW w:w="188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3,903,591</w:t>
            </w:r>
          </w:p>
        </w:tc>
        <w:tc>
          <w:tcPr>
            <w:tcW w:w="34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3,773,319</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80" w:type="dxa"/>
            <w:vAlign w:val="bottom"/>
            <w:shd w:val="clear" w:color="auto" w:fill="CCEEFF"/>
          </w:tcPr>
          <w:p>
            <w:pPr>
              <w:spacing w:after="0"/>
              <w:rPr>
                <w:sz w:val="18"/>
                <w:szCs w:val="18"/>
                <w:color w:val="auto"/>
              </w:rPr>
            </w:pPr>
          </w:p>
        </w:tc>
        <w:tc>
          <w:tcPr>
            <w:tcW w:w="19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u w:val="single" w:color="auto"/>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7"/>
              </w:rPr>
              <w:t>194,663,845</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194,253,740</w:t>
            </w:r>
          </w:p>
        </w:tc>
        <w:tc>
          <w:tcPr>
            <w:tcW w:w="0" w:type="dxa"/>
            <w:vAlign w:val="bottom"/>
          </w:tcPr>
          <w:p>
            <w:pPr>
              <w:spacing w:after="0"/>
              <w:rPr>
                <w:sz w:val="1"/>
                <w:szCs w:val="1"/>
                <w:color w:val="auto"/>
              </w:rPr>
            </w:pPr>
          </w:p>
        </w:tc>
      </w:tr>
      <w:tr>
        <w:trPr>
          <w:trHeight w:val="20"/>
        </w:trPr>
        <w:tc>
          <w:tcPr>
            <w:tcW w:w="71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18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100" w:type="dxa"/>
            <w:vAlign w:val="bottom"/>
            <w:gridSpan w:val="2"/>
            <w:vMerge w:val="continue"/>
          </w:tcPr>
          <w:p>
            <w:pPr>
              <w:spacing w:after="0"/>
              <w:rPr>
                <w:sz w:val="18"/>
                <w:szCs w:val="18"/>
                <w:color w:val="auto"/>
              </w:rPr>
            </w:pPr>
          </w:p>
        </w:tc>
        <w:tc>
          <w:tcPr>
            <w:tcW w:w="1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vMerge w:val="restart"/>
          </w:tcPr>
          <w:p>
            <w:pPr>
              <w:spacing w:after="0"/>
              <w:rPr>
                <w:sz w:val="9"/>
                <w:szCs w:val="9"/>
                <w:color w:val="auto"/>
              </w:rPr>
            </w:pPr>
          </w:p>
        </w:tc>
        <w:tc>
          <w:tcPr>
            <w:tcW w:w="7080" w:type="dxa"/>
            <w:vAlign w:val="bottom"/>
          </w:tcPr>
          <w:p>
            <w:pPr>
              <w:spacing w:after="0"/>
              <w:rPr>
                <w:sz w:val="9"/>
                <w:szCs w:val="9"/>
                <w:color w:val="auto"/>
              </w:rPr>
            </w:pPr>
          </w:p>
        </w:tc>
        <w:tc>
          <w:tcPr>
            <w:tcW w:w="1880" w:type="dxa"/>
            <w:vAlign w:val="bottom"/>
          </w:tcPr>
          <w:p>
            <w:pPr>
              <w:spacing w:after="0"/>
              <w:rPr>
                <w:sz w:val="9"/>
                <w:szCs w:val="9"/>
                <w:color w:val="auto"/>
              </w:rPr>
            </w:pPr>
          </w:p>
        </w:tc>
        <w:tc>
          <w:tcPr>
            <w:tcW w:w="100" w:type="dxa"/>
            <w:vAlign w:val="bottom"/>
          </w:tcPr>
          <w:p>
            <w:pPr>
              <w:spacing w:after="0"/>
              <w:rPr>
                <w:sz w:val="9"/>
                <w:szCs w:val="9"/>
                <w:color w:val="auto"/>
              </w:rPr>
            </w:pPr>
          </w:p>
        </w:tc>
        <w:tc>
          <w:tcPr>
            <w:tcW w:w="900" w:type="dxa"/>
            <w:vAlign w:val="bottom"/>
          </w:tcPr>
          <w:p>
            <w:pPr>
              <w:spacing w:after="0"/>
              <w:rPr>
                <w:sz w:val="9"/>
                <w:szCs w:val="9"/>
                <w:color w:val="auto"/>
              </w:rPr>
            </w:pPr>
          </w:p>
        </w:tc>
        <w:tc>
          <w:tcPr>
            <w:tcW w:w="340" w:type="dxa"/>
            <w:vAlign w:val="bottom"/>
          </w:tcPr>
          <w:p>
            <w:pPr>
              <w:spacing w:after="0"/>
              <w:rPr>
                <w:sz w:val="9"/>
                <w:szCs w:val="9"/>
                <w:color w:val="auto"/>
              </w:rPr>
            </w:pPr>
          </w:p>
        </w:tc>
        <w:tc>
          <w:tcPr>
            <w:tcW w:w="80" w:type="dxa"/>
            <w:vAlign w:val="bottom"/>
          </w:tcPr>
          <w:p>
            <w:pPr>
              <w:spacing w:after="0"/>
              <w:rPr>
                <w:sz w:val="9"/>
                <w:szCs w:val="9"/>
                <w:color w:val="auto"/>
              </w:rPr>
            </w:pPr>
          </w:p>
        </w:tc>
        <w:tc>
          <w:tcPr>
            <w:tcW w:w="9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08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1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80" w:type="dxa"/>
            <w:vAlign w:val="bottom"/>
          </w:tcPr>
          <w:p>
            <w:pPr>
              <w:ind w:left="340"/>
              <w:spacing w:after="0"/>
              <w:rPr>
                <w:sz w:val="20"/>
                <w:szCs w:val="20"/>
                <w:color w:val="auto"/>
              </w:rPr>
            </w:pPr>
            <w:r>
              <w:rPr>
                <w:rFonts w:ascii="Arial" w:cs="Arial" w:eastAsia="Arial" w:hAnsi="Arial"/>
                <w:sz w:val="18"/>
                <w:szCs w:val="18"/>
                <w:color w:val="auto"/>
              </w:rPr>
              <w:t>Current maturities of long-term debt</w:t>
            </w:r>
          </w:p>
        </w:tc>
        <w:tc>
          <w:tcPr>
            <w:tcW w:w="198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880,000</w:t>
            </w:r>
          </w:p>
        </w:tc>
        <w:tc>
          <w:tcPr>
            <w:tcW w:w="34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880,000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Accounts payable</w:t>
            </w:r>
          </w:p>
        </w:tc>
        <w:tc>
          <w:tcPr>
            <w:tcW w:w="1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9,536,530</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9,361,937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80" w:type="dxa"/>
            <w:vAlign w:val="bottom"/>
          </w:tcPr>
          <w:p>
            <w:pPr>
              <w:ind w:left="340"/>
              <w:spacing w:after="0"/>
              <w:rPr>
                <w:sz w:val="20"/>
                <w:szCs w:val="20"/>
                <w:color w:val="auto"/>
              </w:rPr>
            </w:pPr>
            <w:r>
              <w:rPr>
                <w:rFonts w:ascii="Arial" w:cs="Arial" w:eastAsia="Arial" w:hAnsi="Arial"/>
                <w:sz w:val="18"/>
                <w:szCs w:val="18"/>
                <w:color w:val="auto"/>
              </w:rPr>
              <w:t>Income taxes payable</w:t>
            </w:r>
          </w:p>
        </w:tc>
        <w:tc>
          <w:tcPr>
            <w:tcW w:w="1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252,523</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179,063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Accrued expenses</w:t>
            </w:r>
          </w:p>
        </w:tc>
        <w:tc>
          <w:tcPr>
            <w:tcW w:w="1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7,552,797</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12,165,129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080" w:type="dxa"/>
            <w:vAlign w:val="bottom"/>
          </w:tcPr>
          <w:p>
            <w:pPr>
              <w:ind w:left="700"/>
              <w:spacing w:after="0"/>
              <w:rPr>
                <w:sz w:val="20"/>
                <w:szCs w:val="20"/>
                <w:color w:val="auto"/>
              </w:rPr>
            </w:pPr>
            <w:r>
              <w:rPr>
                <w:rFonts w:ascii="Arial" w:cs="Arial" w:eastAsia="Arial" w:hAnsi="Arial"/>
                <w:sz w:val="18"/>
                <w:szCs w:val="18"/>
                <w:b w:val="1"/>
                <w:bCs w:val="1"/>
                <w:color w:val="auto"/>
              </w:rPr>
              <w:t>Total current liabilities</w:t>
            </w:r>
          </w:p>
        </w:tc>
        <w:tc>
          <w:tcPr>
            <w:tcW w:w="18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7"/>
              </w:rPr>
              <w:t>18,221,850</w:t>
            </w:r>
          </w:p>
        </w:tc>
        <w:tc>
          <w:tcPr>
            <w:tcW w:w="34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22,586,129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80" w:type="dxa"/>
            <w:vAlign w:val="bottom"/>
            <w:shd w:val="clear" w:color="auto" w:fill="CCEEFF"/>
          </w:tcPr>
          <w:p>
            <w:pPr>
              <w:spacing w:after="0"/>
              <w:rPr>
                <w:sz w:val="20"/>
                <w:szCs w:val="20"/>
                <w:color w:val="auto"/>
              </w:rPr>
            </w:pPr>
            <w:r>
              <w:rPr>
                <w:rFonts w:ascii="Arial" w:cs="Arial" w:eastAsia="Arial" w:hAnsi="Arial"/>
                <w:sz w:val="18"/>
                <w:szCs w:val="18"/>
                <w:color w:val="auto"/>
              </w:rPr>
              <w:t>Long-term debt, less current maturities</w:t>
            </w:r>
          </w:p>
        </w:tc>
        <w:tc>
          <w:tcPr>
            <w:tcW w:w="1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b w:val="1"/>
                <w:bCs w:val="1"/>
                <w:color w:val="auto"/>
                <w:w w:val="97"/>
              </w:rPr>
              <w:t>84,935,680</w:t>
            </w: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83,012,361</w:t>
            </w:r>
          </w:p>
        </w:tc>
        <w:tc>
          <w:tcPr>
            <w:tcW w:w="0" w:type="dxa"/>
            <w:vAlign w:val="bottom"/>
          </w:tcPr>
          <w:p>
            <w:pPr>
              <w:spacing w:after="0"/>
              <w:rPr>
                <w:sz w:val="1"/>
                <w:szCs w:val="1"/>
                <w:color w:val="auto"/>
              </w:rPr>
            </w:pPr>
          </w:p>
        </w:tc>
      </w:tr>
      <w:tr>
        <w:trPr>
          <w:trHeight w:val="230"/>
        </w:trPr>
        <w:tc>
          <w:tcPr>
            <w:tcW w:w="7100" w:type="dxa"/>
            <w:vAlign w:val="bottom"/>
            <w:gridSpan w:val="2"/>
          </w:tcPr>
          <w:p>
            <w:pPr>
              <w:spacing w:after="0"/>
              <w:rPr>
                <w:sz w:val="20"/>
                <w:szCs w:val="20"/>
                <w:color w:val="auto"/>
              </w:rPr>
            </w:pPr>
            <w:r>
              <w:rPr>
                <w:rFonts w:ascii="Arial" w:cs="Arial" w:eastAsia="Arial" w:hAnsi="Arial"/>
                <w:sz w:val="18"/>
                <w:szCs w:val="18"/>
                <w:color w:val="auto"/>
              </w:rPr>
              <w:t>Deferred income taxes</w:t>
            </w:r>
          </w:p>
        </w:tc>
        <w:tc>
          <w:tcPr>
            <w:tcW w:w="18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9,429,659</w:t>
            </w:r>
          </w:p>
        </w:tc>
        <w:tc>
          <w:tcPr>
            <w:tcW w:w="34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9,274,417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80" w:type="dxa"/>
            <w:vAlign w:val="bottom"/>
            <w:shd w:val="clear" w:color="auto" w:fill="CCEEFF"/>
          </w:tcPr>
          <w:p>
            <w:pPr>
              <w:spacing w:after="0"/>
              <w:rPr>
                <w:sz w:val="20"/>
                <w:szCs w:val="20"/>
                <w:color w:val="auto"/>
              </w:rPr>
            </w:pPr>
            <w:r>
              <w:rPr>
                <w:rFonts w:ascii="Arial" w:cs="Arial" w:eastAsia="Arial" w:hAnsi="Arial"/>
                <w:sz w:val="18"/>
                <w:szCs w:val="18"/>
                <w:color w:val="auto"/>
              </w:rPr>
              <w:t>Commitments and contingencies</w:t>
            </w:r>
          </w:p>
        </w:tc>
        <w:tc>
          <w:tcPr>
            <w:tcW w:w="1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4"/>
        </w:trPr>
        <w:tc>
          <w:tcPr>
            <w:tcW w:w="7100" w:type="dxa"/>
            <w:vAlign w:val="bottom"/>
            <w:gridSpan w:val="2"/>
          </w:tcPr>
          <w:p>
            <w:pPr>
              <w:spacing w:after="0"/>
              <w:rPr>
                <w:sz w:val="20"/>
                <w:szCs w:val="20"/>
                <w:color w:val="auto"/>
              </w:rPr>
            </w:pPr>
            <w:r>
              <w:rPr>
                <w:rFonts w:ascii="Arial" w:cs="Arial" w:eastAsia="Arial" w:hAnsi="Arial"/>
                <w:sz w:val="18"/>
                <w:szCs w:val="18"/>
                <w:color w:val="auto"/>
              </w:rPr>
              <w:t>Stockholder’s equity:</w:t>
            </w:r>
          </w:p>
        </w:tc>
        <w:tc>
          <w:tcPr>
            <w:tcW w:w="1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Common stock, par value $0.01, 100 shares issued and outstanding</w:t>
            </w:r>
          </w:p>
        </w:tc>
        <w:tc>
          <w:tcPr>
            <w:tcW w:w="1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b w:val="1"/>
                <w:bCs w:val="1"/>
                <w:color w:val="auto"/>
              </w:rPr>
              <w:t>1</w:t>
            </w: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80" w:type="dxa"/>
            <w:vAlign w:val="bottom"/>
          </w:tcPr>
          <w:p>
            <w:pPr>
              <w:ind w:left="340"/>
              <w:spacing w:after="0"/>
              <w:rPr>
                <w:sz w:val="20"/>
                <w:szCs w:val="20"/>
                <w:color w:val="auto"/>
              </w:rPr>
            </w:pPr>
            <w:r>
              <w:rPr>
                <w:rFonts w:ascii="Arial" w:cs="Arial" w:eastAsia="Arial" w:hAnsi="Arial"/>
                <w:sz w:val="18"/>
                <w:szCs w:val="18"/>
                <w:color w:val="auto"/>
              </w:rPr>
              <w:t>Additional paid-in capital</w:t>
            </w:r>
          </w:p>
        </w:tc>
        <w:tc>
          <w:tcPr>
            <w:tcW w:w="1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w w:val="97"/>
              </w:rPr>
              <w:t>82,683,203</w:t>
            </w:r>
          </w:p>
        </w:tc>
        <w:tc>
          <w:tcPr>
            <w:tcW w:w="8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82,601,650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Accumulated deficit</w:t>
            </w:r>
          </w:p>
        </w:tc>
        <w:tc>
          <w:tcPr>
            <w:tcW w:w="1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b w:val="1"/>
                <w:bCs w:val="1"/>
                <w:color w:val="auto"/>
              </w:rPr>
              <w:t>(1,206,118)</w:t>
            </w: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(3,438,740)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80" w:type="dxa"/>
            <w:vAlign w:val="bottom"/>
          </w:tcPr>
          <w:p>
            <w:pPr>
              <w:ind w:left="340"/>
              <w:spacing w:after="0"/>
              <w:rPr>
                <w:sz w:val="20"/>
                <w:szCs w:val="20"/>
                <w:color w:val="auto"/>
              </w:rPr>
            </w:pPr>
            <w:r>
              <w:rPr>
                <w:rFonts w:ascii="Arial" w:cs="Arial" w:eastAsia="Arial" w:hAnsi="Arial"/>
                <w:sz w:val="18"/>
                <w:szCs w:val="18"/>
                <w:color w:val="auto"/>
              </w:rPr>
              <w:t>Accumulated other comprehensive income</w:t>
            </w:r>
          </w:p>
        </w:tc>
        <w:tc>
          <w:tcPr>
            <w:tcW w:w="1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599,570</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217,922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08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7"/>
              </w:rPr>
              <w:t>82,076,656</w:t>
            </w:r>
          </w:p>
        </w:tc>
        <w:tc>
          <w:tcPr>
            <w:tcW w:w="34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79,380,833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80" w:type="dxa"/>
            <w:vAlign w:val="bottom"/>
            <w:shd w:val="clear" w:color="auto" w:fill="CCEEFF"/>
          </w:tcPr>
          <w:p>
            <w:pPr>
              <w:spacing w:after="0"/>
              <w:rPr>
                <w:sz w:val="18"/>
                <w:szCs w:val="18"/>
                <w:color w:val="auto"/>
              </w:rPr>
            </w:pPr>
          </w:p>
        </w:tc>
        <w:tc>
          <w:tcPr>
            <w:tcW w:w="19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u w:val="single" w:color="auto"/>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7"/>
              </w:rPr>
              <w:t>194,663,845</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194,253,740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8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See notes to unaudited condensed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270" w:right="239" w:bottom="1440" w:gutter="0" w:footer="0" w:header="0"/>
        </w:sectPr>
      </w:pPr>
    </w:p>
    <w:bookmarkStart w:id="30" w:name="page31"/>
    <w:bookmarkEnd w:id="30"/>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PMG Intermediate Holding Corporation and Subsidiaries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Unaudited Condensed Consolidated Statement of Income</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the Three Months Ended March 31, 2018 and 2017</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gridSpan w:val="3"/>
          </w:tcPr>
          <w:p>
            <w:pPr>
              <w:jc w:val="right"/>
              <w:ind w:right="340"/>
              <w:spacing w:after="0"/>
              <w:rPr>
                <w:sz w:val="20"/>
                <w:szCs w:val="20"/>
                <w:color w:val="auto"/>
              </w:rPr>
            </w:pPr>
            <w:r>
              <w:rPr>
                <w:rFonts w:ascii="Arial" w:cs="Arial" w:eastAsia="Arial" w:hAnsi="Arial"/>
                <w:sz w:val="14"/>
                <w:szCs w:val="14"/>
                <w:b w:val="1"/>
                <w:bCs w:val="1"/>
                <w:color w:val="auto"/>
                <w:w w:val="99"/>
              </w:rPr>
              <w:t>March 31,</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4"/>
                <w:szCs w:val="14"/>
                <w:color w:val="auto"/>
              </w:rPr>
              <w:t>March 31,</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916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212"/>
              <w:spacing w:after="0"/>
              <w:rPr>
                <w:sz w:val="20"/>
                <w:szCs w:val="20"/>
                <w:color w:val="auto"/>
              </w:rPr>
            </w:pPr>
            <w:r>
              <w:rPr>
                <w:rFonts w:ascii="Arial" w:cs="Arial" w:eastAsia="Arial" w:hAnsi="Arial"/>
                <w:sz w:val="14"/>
                <w:szCs w:val="14"/>
                <w:b w:val="1"/>
                <w:bCs w:val="1"/>
                <w:color w:val="auto"/>
              </w:rPr>
              <w:t>2018</w:t>
            </w:r>
          </w:p>
        </w:tc>
        <w:tc>
          <w:tcPr>
            <w:tcW w:w="20" w:type="dxa"/>
            <w:vAlign w:val="bottom"/>
            <w:tcBorders>
              <w:bottom w:val="single" w:sz="8" w:color="CCEEFF"/>
            </w:tcBorders>
          </w:tcPr>
          <w:p>
            <w:pPr>
              <w:spacing w:after="0"/>
              <w:rPr>
                <w:sz w:val="14"/>
                <w:szCs w:val="14"/>
                <w:color w:val="auto"/>
              </w:rPr>
            </w:pPr>
          </w:p>
        </w:tc>
        <w:tc>
          <w:tcPr>
            <w:tcW w:w="18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232"/>
              <w:spacing w:after="0"/>
              <w:rPr>
                <w:sz w:val="20"/>
                <w:szCs w:val="20"/>
                <w:color w:val="auto"/>
              </w:rPr>
            </w:pPr>
            <w:r>
              <w:rPr>
                <w:rFonts w:ascii="Arial" w:cs="Arial" w:eastAsia="Arial" w:hAnsi="Arial"/>
                <w:sz w:val="14"/>
                <w:szCs w:val="14"/>
                <w:color w:val="auto"/>
              </w:rPr>
              <w:t>2017</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16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b w:val="1"/>
                <w:bCs w:val="1"/>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6"/>
              </w:rPr>
              <w:t>40,649,756</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33,713,025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160" w:type="dxa"/>
            <w:vAlign w:val="bottom"/>
          </w:tcPr>
          <w:p>
            <w:pPr>
              <w:spacing w:after="0"/>
              <w:rPr>
                <w:sz w:val="20"/>
                <w:szCs w:val="20"/>
                <w:color w:val="auto"/>
              </w:rPr>
            </w:pPr>
            <w:r>
              <w:rPr>
                <w:rFonts w:ascii="Arial" w:cs="Arial" w:eastAsia="Arial" w:hAnsi="Arial"/>
                <w:sz w:val="18"/>
                <w:szCs w:val="18"/>
                <w:color w:val="auto"/>
              </w:rPr>
              <w:t>Cost of sales</w:t>
            </w:r>
          </w:p>
        </w:tc>
        <w:tc>
          <w:tcPr>
            <w:tcW w:w="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86"/>
              </w:rPr>
              <w:t>30,497,721</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8"/>
              </w:rPr>
              <w:t>26,459,666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60" w:type="dxa"/>
            <w:vAlign w:val="bottom"/>
            <w:shd w:val="clear" w:color="auto" w:fill="CCEEFF"/>
          </w:tcPr>
          <w:p>
            <w:pPr>
              <w:ind w:left="700"/>
              <w:spacing w:after="0"/>
              <w:rPr>
                <w:sz w:val="20"/>
                <w:szCs w:val="20"/>
                <w:color w:val="auto"/>
              </w:rPr>
            </w:pPr>
            <w:r>
              <w:rPr>
                <w:rFonts w:ascii="Arial" w:cs="Arial" w:eastAsia="Arial" w:hAnsi="Arial"/>
                <w:sz w:val="18"/>
                <w:szCs w:val="18"/>
                <w:b w:val="1"/>
                <w:bCs w:val="1"/>
                <w:color w:val="auto"/>
              </w:rPr>
              <w:t>Gross profit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w w:val="86"/>
              </w:rPr>
              <w:t>10,152,035</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7,253,359</w:t>
            </w:r>
          </w:p>
        </w:tc>
        <w:tc>
          <w:tcPr>
            <w:tcW w:w="0" w:type="dxa"/>
            <w:vAlign w:val="bottom"/>
          </w:tcPr>
          <w:p>
            <w:pPr>
              <w:spacing w:after="0"/>
              <w:rPr>
                <w:sz w:val="1"/>
                <w:szCs w:val="1"/>
                <w:color w:val="auto"/>
              </w:rPr>
            </w:pPr>
          </w:p>
        </w:tc>
      </w:tr>
      <w:tr>
        <w:trPr>
          <w:trHeight w:val="331"/>
        </w:trPr>
        <w:tc>
          <w:tcPr>
            <w:tcW w:w="9180" w:type="dxa"/>
            <w:vAlign w:val="bottom"/>
            <w:gridSpan w:val="2"/>
          </w:tcPr>
          <w:p>
            <w:pPr>
              <w:spacing w:after="0"/>
              <w:rPr>
                <w:sz w:val="20"/>
                <w:szCs w:val="20"/>
                <w:color w:val="auto"/>
              </w:rPr>
            </w:pPr>
            <w:r>
              <w:rPr>
                <w:rFonts w:ascii="Arial" w:cs="Arial" w:eastAsia="Arial" w:hAnsi="Arial"/>
                <w:sz w:val="18"/>
                <w:szCs w:val="18"/>
                <w:color w:val="auto"/>
              </w:rPr>
              <w:t>Operating expenses:</w:t>
            </w:r>
          </w:p>
        </w:tc>
        <w:tc>
          <w:tcPr>
            <w:tcW w:w="20" w:type="dxa"/>
            <w:vAlign w:val="bottom"/>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80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Selling expenses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523,580</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581,480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60" w:type="dxa"/>
            <w:vAlign w:val="bottom"/>
          </w:tcPr>
          <w:p>
            <w:pPr>
              <w:ind w:left="340"/>
              <w:spacing w:after="0"/>
              <w:rPr>
                <w:sz w:val="20"/>
                <w:szCs w:val="20"/>
                <w:color w:val="auto"/>
              </w:rPr>
            </w:pPr>
            <w:r>
              <w:rPr>
                <w:rFonts w:ascii="Arial" w:cs="Arial" w:eastAsia="Arial" w:hAnsi="Arial"/>
                <w:sz w:val="18"/>
                <w:szCs w:val="18"/>
                <w:color w:val="auto"/>
              </w:rPr>
              <w:t>General and administrative expenses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w w:val="97"/>
              </w:rPr>
              <w:t>3,561,898</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3,787,119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Amortization of intangible assets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w w:val="97"/>
              </w:rPr>
              <w:t>1,216,084</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1,216,084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Borders>
              <w:top w:val="single" w:sz="8" w:color="auto"/>
              <w:bottom w:val="single" w:sz="8" w:color="auto"/>
            </w:tcBorders>
          </w:tcPr>
          <w:p>
            <w:pPr>
              <w:spacing w:after="0"/>
              <w:rPr>
                <w:sz w:val="19"/>
                <w:szCs w:val="19"/>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7"/>
              </w:rPr>
              <w:t>5,301,562</w:t>
            </w:r>
          </w:p>
        </w:tc>
        <w:tc>
          <w:tcPr>
            <w:tcW w:w="20" w:type="dxa"/>
            <w:vAlign w:val="bottom"/>
            <w:tcBorders>
              <w:bottom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5,584,683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160" w:type="dxa"/>
            <w:vAlign w:val="bottom"/>
          </w:tcPr>
          <w:p>
            <w:pPr>
              <w:ind w:left="700"/>
              <w:spacing w:after="0"/>
              <w:rPr>
                <w:sz w:val="20"/>
                <w:szCs w:val="20"/>
                <w:color w:val="auto"/>
              </w:rPr>
            </w:pPr>
            <w:r>
              <w:rPr>
                <w:rFonts w:ascii="Arial" w:cs="Arial" w:eastAsia="Arial" w:hAnsi="Arial"/>
                <w:sz w:val="18"/>
                <w:szCs w:val="18"/>
                <w:b w:val="1"/>
                <w:bCs w:val="1"/>
                <w:color w:val="auto"/>
              </w:rPr>
              <w:t>Operating income</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w w:val="97"/>
              </w:rPr>
              <w:t>4,850,473</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99"/>
              </w:rPr>
              <w:t>1,668,676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5"/>
        </w:trPr>
        <w:tc>
          <w:tcPr>
            <w:tcW w:w="20" w:type="dxa"/>
            <w:vAlign w:val="bottom"/>
            <w:vMerge w:val="restart"/>
          </w:tcPr>
          <w:p>
            <w:pPr>
              <w:spacing w:after="0"/>
              <w:rPr>
                <w:sz w:val="10"/>
                <w:szCs w:val="10"/>
                <w:color w:val="auto"/>
              </w:rPr>
            </w:pPr>
          </w:p>
        </w:tc>
        <w:tc>
          <w:tcPr>
            <w:tcW w:w="91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800" w:type="dxa"/>
            <w:vAlign w:val="bottom"/>
            <w:tcBorders>
              <w:top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82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160" w:type="dxa"/>
            <w:vAlign w:val="bottom"/>
            <w:shd w:val="clear" w:color="auto" w:fill="CCEEFF"/>
          </w:tcPr>
          <w:p>
            <w:pPr>
              <w:spacing w:after="0"/>
              <w:rPr>
                <w:sz w:val="20"/>
                <w:szCs w:val="20"/>
                <w:color w:val="auto"/>
              </w:rPr>
            </w:pPr>
            <w:r>
              <w:rPr>
                <w:rFonts w:ascii="Arial" w:cs="Arial" w:eastAsia="Arial" w:hAnsi="Arial"/>
                <w:sz w:val="18"/>
                <w:szCs w:val="18"/>
                <w:color w:val="auto"/>
              </w:rPr>
              <w:t>Nonoperating income (expense):</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60" w:type="dxa"/>
            <w:vAlign w:val="bottom"/>
          </w:tcPr>
          <w:p>
            <w:pPr>
              <w:ind w:left="340"/>
              <w:spacing w:after="0"/>
              <w:rPr>
                <w:sz w:val="20"/>
                <w:szCs w:val="20"/>
                <w:color w:val="auto"/>
              </w:rPr>
            </w:pPr>
            <w:r>
              <w:rPr>
                <w:rFonts w:ascii="Arial" w:cs="Arial" w:eastAsia="Arial" w:hAnsi="Arial"/>
                <w:sz w:val="18"/>
                <w:szCs w:val="18"/>
                <w:color w:val="auto"/>
              </w:rPr>
              <w:t>Interest income</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gridSpan w:val="3"/>
          </w:tcPr>
          <w:p>
            <w:pPr>
              <w:jc w:val="right"/>
              <w:ind w:right="200"/>
              <w:spacing w:after="0"/>
              <w:rPr>
                <w:sz w:val="20"/>
                <w:szCs w:val="20"/>
                <w:color w:val="auto"/>
              </w:rPr>
            </w:pPr>
            <w:r>
              <w:rPr>
                <w:rFonts w:ascii="Arial" w:cs="Arial" w:eastAsia="Arial" w:hAnsi="Arial"/>
                <w:sz w:val="18"/>
                <w:szCs w:val="18"/>
                <w:b w:val="1"/>
                <w:bCs w:val="1"/>
                <w:color w:val="auto"/>
              </w:rPr>
              <w:t>21,559</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14,266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Interest expense</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b w:val="1"/>
                <w:bCs w:val="1"/>
                <w:color w:val="auto"/>
                <w:w w:val="91"/>
              </w:rPr>
              <w:t>(1,843,183)</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3"/>
              </w:rPr>
              <w:t>(1,452,210)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60" w:type="dxa"/>
            <w:vAlign w:val="bottom"/>
          </w:tcPr>
          <w:p>
            <w:pPr>
              <w:ind w:left="340"/>
              <w:spacing w:after="0"/>
              <w:rPr>
                <w:sz w:val="20"/>
                <w:szCs w:val="20"/>
                <w:color w:val="auto"/>
              </w:rPr>
            </w:pPr>
            <w:r>
              <w:rPr>
                <w:rFonts w:ascii="Arial" w:cs="Arial" w:eastAsia="Arial" w:hAnsi="Arial"/>
                <w:sz w:val="18"/>
                <w:szCs w:val="18"/>
                <w:color w:val="auto"/>
              </w:rPr>
              <w:t>Other income</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gridSpan w:val="3"/>
          </w:tcPr>
          <w:p>
            <w:pPr>
              <w:jc w:val="right"/>
              <w:ind w:right="140"/>
              <w:spacing w:after="0"/>
              <w:rPr>
                <w:sz w:val="20"/>
                <w:szCs w:val="20"/>
                <w:color w:val="auto"/>
              </w:rPr>
            </w:pPr>
            <w:r>
              <w:rPr>
                <w:rFonts w:ascii="Arial" w:cs="Arial" w:eastAsia="Arial" w:hAnsi="Arial"/>
                <w:sz w:val="18"/>
                <w:szCs w:val="18"/>
                <w:b w:val="1"/>
                <w:bCs w:val="1"/>
                <w:color w:val="auto"/>
              </w:rPr>
              <w:t>(299,738)</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232,218</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91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9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b w:val="1"/>
                <w:bCs w:val="1"/>
                <w:color w:val="auto"/>
                <w:w w:val="91"/>
              </w:rPr>
              <w:t>(2,121,362)</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3"/>
              </w:rPr>
              <w:t>(1,205,726)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160" w:type="dxa"/>
            <w:vAlign w:val="bottom"/>
          </w:tcPr>
          <w:p>
            <w:pPr>
              <w:ind w:left="700"/>
              <w:spacing w:after="0"/>
              <w:rPr>
                <w:sz w:val="20"/>
                <w:szCs w:val="20"/>
                <w:color w:val="auto"/>
              </w:rPr>
            </w:pPr>
            <w:r>
              <w:rPr>
                <w:rFonts w:ascii="Arial" w:cs="Arial" w:eastAsia="Arial" w:hAnsi="Arial"/>
                <w:sz w:val="18"/>
                <w:szCs w:val="18"/>
                <w:b w:val="1"/>
                <w:bCs w:val="1"/>
                <w:color w:val="auto"/>
              </w:rPr>
              <w:t>Income before income taxes</w:t>
            </w:r>
          </w:p>
        </w:tc>
        <w:tc>
          <w:tcPr>
            <w:tcW w:w="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97"/>
              </w:rPr>
              <w:t>2,729,111</w:t>
            </w:r>
          </w:p>
        </w:tc>
        <w:tc>
          <w:tcPr>
            <w:tcW w:w="200" w:type="dxa"/>
            <w:vAlign w:val="bottom"/>
            <w:gridSpan w:val="2"/>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462,950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60" w:type="dxa"/>
            <w:vAlign w:val="bottom"/>
            <w:shd w:val="clear" w:color="auto" w:fill="CCEEFF"/>
          </w:tcPr>
          <w:p>
            <w:pPr>
              <w:spacing w:after="0"/>
              <w:rPr>
                <w:sz w:val="20"/>
                <w:szCs w:val="20"/>
                <w:color w:val="auto"/>
              </w:rPr>
            </w:pPr>
            <w:r>
              <w:rPr>
                <w:rFonts w:ascii="Arial" w:cs="Arial" w:eastAsia="Arial" w:hAnsi="Arial"/>
                <w:sz w:val="18"/>
                <w:szCs w:val="18"/>
                <w:color w:val="auto"/>
              </w:rPr>
              <w:t>Income tax (credits)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496,489</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(66,087)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160" w:type="dxa"/>
            <w:vAlign w:val="bottom"/>
          </w:tcPr>
          <w:p>
            <w:pPr>
              <w:ind w:left="700"/>
              <w:spacing w:after="0"/>
              <w:rPr>
                <w:sz w:val="20"/>
                <w:szCs w:val="20"/>
                <w:color w:val="auto"/>
              </w:rPr>
            </w:pPr>
            <w:r>
              <w:rPr>
                <w:rFonts w:ascii="Arial" w:cs="Arial" w:eastAsia="Arial" w:hAnsi="Arial"/>
                <w:sz w:val="18"/>
                <w:szCs w:val="18"/>
                <w:b w:val="1"/>
                <w:bCs w:val="1"/>
                <w:color w:val="auto"/>
              </w:rPr>
              <w:t>Net income</w:t>
            </w:r>
          </w:p>
        </w:tc>
        <w:tc>
          <w:tcPr>
            <w:tcW w:w="20" w:type="dxa"/>
            <w:vAlign w:val="bottom"/>
            <w:tcBorders>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b w:val="1"/>
                <w:bCs w:val="1"/>
                <w:color w:val="auto"/>
                <w:w w:val="71"/>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7"/>
              </w:rPr>
              <w:t>2,232,622</w:t>
            </w:r>
          </w:p>
        </w:tc>
        <w:tc>
          <w:tcPr>
            <w:tcW w:w="20" w:type="dxa"/>
            <w:vAlign w:val="bottom"/>
            <w:tcBorders>
              <w:bottom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529,037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See notes to unaudited condensed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270" w:right="239" w:bottom="1440" w:gutter="0" w:footer="0" w:header="0"/>
        </w:sectPr>
      </w:pPr>
    </w:p>
    <w:bookmarkStart w:id="31" w:name="page32"/>
    <w:bookmarkEnd w:id="31"/>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PMG Intermediate Holding Corporation and Subsidiaries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Unaudited Condensed Consolidated Statement Of Comprehensive Income</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the Three Months Ended March 31, 2018 and 2017</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440" w:type="dxa"/>
            <w:vAlign w:val="bottom"/>
          </w:tcPr>
          <w:p>
            <w:pPr>
              <w:spacing w:after="0"/>
              <w:rPr>
                <w:sz w:val="14"/>
                <w:szCs w:val="14"/>
                <w:color w:val="auto"/>
              </w:rPr>
            </w:pPr>
          </w:p>
        </w:tc>
        <w:tc>
          <w:tcPr>
            <w:tcW w:w="840" w:type="dxa"/>
            <w:vAlign w:val="bottom"/>
          </w:tcPr>
          <w:p>
            <w:pPr>
              <w:jc w:val="right"/>
              <w:ind w:right="17"/>
              <w:spacing w:after="0"/>
              <w:rPr>
                <w:sz w:val="20"/>
                <w:szCs w:val="20"/>
                <w:color w:val="auto"/>
              </w:rPr>
            </w:pPr>
            <w:r>
              <w:rPr>
                <w:rFonts w:ascii="Arial" w:cs="Arial" w:eastAsia="Arial" w:hAnsi="Arial"/>
                <w:sz w:val="14"/>
                <w:szCs w:val="14"/>
                <w:b w:val="1"/>
                <w:bCs w:val="1"/>
                <w:color w:val="auto"/>
              </w:rPr>
              <w:t>March 31,</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4"/>
                <w:szCs w:val="14"/>
                <w:color w:val="auto"/>
                <w:w w:val="93"/>
              </w:rPr>
              <w:t>March 31,</w:t>
            </w:r>
          </w:p>
        </w:tc>
      </w:tr>
      <w:tr>
        <w:trPr>
          <w:trHeight w:val="171"/>
        </w:trPr>
        <w:tc>
          <w:tcPr>
            <w:tcW w:w="9440" w:type="dxa"/>
            <w:vAlign w:val="bottom"/>
            <w:tcBorders>
              <w:bottom w:val="single" w:sz="8" w:color="CCEEFF"/>
            </w:tcBorders>
          </w:tcPr>
          <w:p>
            <w:pPr>
              <w:spacing w:after="0"/>
              <w:rPr>
                <w:sz w:val="14"/>
                <w:szCs w:val="14"/>
                <w:color w:val="auto"/>
              </w:rPr>
            </w:pPr>
          </w:p>
        </w:tc>
        <w:tc>
          <w:tcPr>
            <w:tcW w:w="840" w:type="dxa"/>
            <w:vAlign w:val="bottom"/>
            <w:tcBorders>
              <w:bottom w:val="single" w:sz="8" w:color="auto"/>
            </w:tcBorders>
          </w:tcPr>
          <w:p>
            <w:pPr>
              <w:jc w:val="right"/>
              <w:ind w:right="197"/>
              <w:spacing w:after="0"/>
              <w:rPr>
                <w:sz w:val="20"/>
                <w:szCs w:val="20"/>
                <w:color w:val="auto"/>
              </w:rPr>
            </w:pPr>
            <w:r>
              <w:rPr>
                <w:rFonts w:ascii="Arial" w:cs="Arial" w:eastAsia="Arial" w:hAnsi="Arial"/>
                <w:sz w:val="14"/>
                <w:szCs w:val="14"/>
                <w:b w:val="1"/>
                <w:bCs w:val="1"/>
                <w:color w:val="auto"/>
              </w:rPr>
              <w:t>2018</w:t>
            </w:r>
          </w:p>
        </w:tc>
        <w:tc>
          <w:tcPr>
            <w:tcW w:w="26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177"/>
              <w:spacing w:after="0"/>
              <w:rPr>
                <w:sz w:val="20"/>
                <w:szCs w:val="20"/>
                <w:color w:val="auto"/>
              </w:rPr>
            </w:pPr>
            <w:r>
              <w:rPr>
                <w:rFonts w:ascii="Arial" w:cs="Arial" w:eastAsia="Arial" w:hAnsi="Arial"/>
                <w:sz w:val="14"/>
                <w:szCs w:val="14"/>
                <w:color w:val="auto"/>
              </w:rPr>
              <w:t>2017</w:t>
            </w:r>
          </w:p>
        </w:tc>
        <w:tc>
          <w:tcPr>
            <w:tcW w:w="60" w:type="dxa"/>
            <w:vAlign w:val="bottom"/>
            <w:tcBorders>
              <w:bottom w:val="single" w:sz="8" w:color="CCEEFF"/>
            </w:tcBorders>
          </w:tcPr>
          <w:p>
            <w:pPr>
              <w:spacing w:after="0"/>
              <w:rPr>
                <w:sz w:val="14"/>
                <w:szCs w:val="14"/>
                <w:color w:val="auto"/>
              </w:rPr>
            </w:pPr>
          </w:p>
        </w:tc>
      </w:tr>
      <w:tr>
        <w:trPr>
          <w:trHeight w:val="210"/>
        </w:trPr>
        <w:tc>
          <w:tcPr>
            <w:tcW w:w="944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0"/>
              </w:rPr>
              <w:t>$2,232,622</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529,037</w:t>
            </w:r>
          </w:p>
        </w:tc>
        <w:tc>
          <w:tcPr>
            <w:tcW w:w="60" w:type="dxa"/>
            <w:vAlign w:val="bottom"/>
            <w:shd w:val="clear" w:color="auto" w:fill="CCEEFF"/>
          </w:tcPr>
          <w:p>
            <w:pPr>
              <w:spacing w:after="0"/>
              <w:rPr>
                <w:sz w:val="18"/>
                <w:szCs w:val="18"/>
                <w:color w:val="auto"/>
              </w:rPr>
            </w:pPr>
          </w:p>
        </w:tc>
      </w:tr>
      <w:tr>
        <w:trPr>
          <w:trHeight w:val="216"/>
        </w:trPr>
        <w:tc>
          <w:tcPr>
            <w:tcW w:w="9440" w:type="dxa"/>
            <w:vAlign w:val="bottom"/>
          </w:tcPr>
          <w:p>
            <w:pPr>
              <w:spacing w:after="0"/>
              <w:rPr>
                <w:sz w:val="20"/>
                <w:szCs w:val="20"/>
                <w:color w:val="auto"/>
              </w:rPr>
            </w:pPr>
            <w:r>
              <w:rPr>
                <w:rFonts w:ascii="Arial" w:cs="Arial" w:eastAsia="Arial" w:hAnsi="Arial"/>
                <w:sz w:val="18"/>
                <w:szCs w:val="18"/>
                <w:color w:val="auto"/>
              </w:rPr>
              <w:t>Foreign currency translation adjustment</w:t>
            </w: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381,648</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941,906</w:t>
            </w:r>
          </w:p>
        </w:tc>
      </w:tr>
      <w:tr>
        <w:trPr>
          <w:trHeight w:val="27"/>
        </w:trPr>
        <w:tc>
          <w:tcPr>
            <w:tcW w:w="944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216"/>
        </w:trPr>
        <w:tc>
          <w:tcPr>
            <w:tcW w:w="9440" w:type="dxa"/>
            <w:vAlign w:val="bottom"/>
            <w:shd w:val="clear" w:color="auto" w:fill="CCEEFF"/>
          </w:tcPr>
          <w:p>
            <w:pPr>
              <w:ind w:left="360"/>
              <w:spacing w:after="0"/>
              <w:rPr>
                <w:sz w:val="20"/>
                <w:szCs w:val="20"/>
                <w:color w:val="auto"/>
              </w:rPr>
            </w:pPr>
            <w:r>
              <w:rPr>
                <w:rFonts w:ascii="Arial" w:cs="Arial" w:eastAsia="Arial" w:hAnsi="Arial"/>
                <w:sz w:val="18"/>
                <w:szCs w:val="18"/>
                <w:b w:val="1"/>
                <w:bCs w:val="1"/>
                <w:color w:val="auto"/>
              </w:rPr>
              <w:t>Comprehensive income</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b w:val="1"/>
                <w:bCs w:val="1"/>
                <w:u w:val="single" w:color="auto"/>
                <w:color w:val="auto"/>
                <w:w w:val="90"/>
              </w:rPr>
              <w:t>$</w:t>
            </w:r>
            <w:r>
              <w:rPr>
                <w:rFonts w:ascii="Arial" w:cs="Arial" w:eastAsia="Arial" w:hAnsi="Arial"/>
                <w:sz w:val="18"/>
                <w:szCs w:val="18"/>
                <w:b w:val="1"/>
                <w:bCs w:val="1"/>
                <w:color w:val="auto"/>
                <w:w w:val="90"/>
              </w:rPr>
              <w:t>2,614,270</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7"/>
              </w:rPr>
              <w:t>1,470,943</w:t>
            </w:r>
          </w:p>
        </w:tc>
      </w:tr>
      <w:tr>
        <w:trPr>
          <w:trHeight w:val="20"/>
        </w:trPr>
        <w:tc>
          <w:tcPr>
            <w:tcW w:w="944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See notes to unaudited condensed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270" w:right="239" w:bottom="1440" w:gutter="0" w:footer="0" w:header="0"/>
        </w:sectPr>
      </w:pPr>
    </w:p>
    <w:bookmarkStart w:id="32" w:name="page33"/>
    <w:bookmarkEnd w:id="32"/>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PMG Intermediate Holding Corporation and Subsidiaries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Unaudited Condensed Consolidated Statement of Stockholder’s Equity</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the Three Months Ended March 31, 2018</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3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gridSpan w:val="2"/>
          </w:tcPr>
          <w:p>
            <w:pPr>
              <w:jc w:val="center"/>
              <w:ind w:right="180"/>
              <w:spacing w:after="0"/>
              <w:rPr>
                <w:sz w:val="20"/>
                <w:szCs w:val="20"/>
                <w:color w:val="auto"/>
              </w:rPr>
            </w:pPr>
            <w:r>
              <w:rPr>
                <w:rFonts w:ascii="Arial" w:cs="Arial" w:eastAsia="Arial" w:hAnsi="Arial"/>
                <w:sz w:val="14"/>
                <w:szCs w:val="14"/>
                <w:color w:val="auto"/>
              </w:rPr>
              <w:t>Additional</w:t>
            </w:r>
          </w:p>
        </w:tc>
        <w:tc>
          <w:tcPr>
            <w:tcW w:w="1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300" w:type="dxa"/>
            <w:vAlign w:val="bottom"/>
            <w:gridSpan w:val="3"/>
          </w:tcPr>
          <w:p>
            <w:pPr>
              <w:spacing w:after="0"/>
              <w:rPr>
                <w:sz w:val="20"/>
                <w:szCs w:val="20"/>
                <w:color w:val="auto"/>
              </w:rPr>
            </w:pPr>
            <w:r>
              <w:rPr>
                <w:rFonts w:ascii="Arial" w:cs="Arial" w:eastAsia="Arial" w:hAnsi="Arial"/>
                <w:sz w:val="14"/>
                <w:szCs w:val="14"/>
                <w:color w:val="auto"/>
              </w:rPr>
              <w:t>Accumulated Other</w:t>
            </w:r>
          </w:p>
        </w:tc>
        <w:tc>
          <w:tcPr>
            <w:tcW w:w="1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8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720" w:type="dxa"/>
            <w:vAlign w:val="bottom"/>
            <w:gridSpan w:val="3"/>
          </w:tcPr>
          <w:p>
            <w:pPr>
              <w:spacing w:after="0" w:line="149" w:lineRule="exact"/>
              <w:rPr>
                <w:sz w:val="20"/>
                <w:szCs w:val="20"/>
                <w:color w:val="auto"/>
              </w:rPr>
            </w:pPr>
            <w:r>
              <w:rPr>
                <w:rFonts w:ascii="Arial" w:cs="Arial" w:eastAsia="Arial" w:hAnsi="Arial"/>
                <w:sz w:val="14"/>
                <w:szCs w:val="14"/>
                <w:color w:val="auto"/>
              </w:rPr>
              <w:t>Common</w:t>
            </w:r>
          </w:p>
        </w:tc>
        <w:tc>
          <w:tcPr>
            <w:tcW w:w="180" w:type="dxa"/>
            <w:vAlign w:val="bottom"/>
          </w:tcPr>
          <w:p>
            <w:pPr>
              <w:spacing w:after="0"/>
              <w:rPr>
                <w:sz w:val="12"/>
                <w:szCs w:val="12"/>
                <w:color w:val="auto"/>
              </w:rPr>
            </w:pPr>
          </w:p>
        </w:tc>
        <w:tc>
          <w:tcPr>
            <w:tcW w:w="1080" w:type="dxa"/>
            <w:vAlign w:val="bottom"/>
            <w:gridSpan w:val="2"/>
          </w:tcPr>
          <w:p>
            <w:pPr>
              <w:jc w:val="center"/>
              <w:ind w:right="180"/>
              <w:spacing w:after="0" w:line="149" w:lineRule="exact"/>
              <w:rPr>
                <w:sz w:val="20"/>
                <w:szCs w:val="20"/>
                <w:color w:val="auto"/>
              </w:rPr>
            </w:pPr>
            <w:r>
              <w:rPr>
                <w:rFonts w:ascii="Arial" w:cs="Arial" w:eastAsia="Arial" w:hAnsi="Arial"/>
                <w:sz w:val="14"/>
                <w:szCs w:val="14"/>
                <w:color w:val="auto"/>
                <w:w w:val="96"/>
              </w:rPr>
              <w:t>Paid-in</w:t>
            </w:r>
          </w:p>
        </w:tc>
        <w:tc>
          <w:tcPr>
            <w:tcW w:w="160" w:type="dxa"/>
            <w:vAlign w:val="bottom"/>
          </w:tcPr>
          <w:p>
            <w:pPr>
              <w:spacing w:after="0"/>
              <w:rPr>
                <w:sz w:val="12"/>
                <w:szCs w:val="12"/>
                <w:color w:val="auto"/>
              </w:rPr>
            </w:pPr>
          </w:p>
        </w:tc>
        <w:tc>
          <w:tcPr>
            <w:tcW w:w="1280" w:type="dxa"/>
            <w:vAlign w:val="bottom"/>
            <w:gridSpan w:val="2"/>
          </w:tcPr>
          <w:p>
            <w:pPr>
              <w:jc w:val="right"/>
              <w:ind w:right="460"/>
              <w:spacing w:after="0" w:line="149" w:lineRule="exact"/>
              <w:rPr>
                <w:sz w:val="20"/>
                <w:szCs w:val="20"/>
                <w:color w:val="auto"/>
              </w:rPr>
            </w:pPr>
            <w:r>
              <w:rPr>
                <w:rFonts w:ascii="Arial" w:cs="Arial" w:eastAsia="Arial" w:hAnsi="Arial"/>
                <w:sz w:val="14"/>
                <w:szCs w:val="14"/>
                <w:color w:val="auto"/>
                <w:w w:val="98"/>
              </w:rPr>
              <w:t>Accumulated</w:t>
            </w:r>
          </w:p>
        </w:tc>
        <w:tc>
          <w:tcPr>
            <w:tcW w:w="100" w:type="dxa"/>
            <w:vAlign w:val="bottom"/>
          </w:tcPr>
          <w:p>
            <w:pPr>
              <w:spacing w:after="0"/>
              <w:rPr>
                <w:sz w:val="12"/>
                <w:szCs w:val="12"/>
                <w:color w:val="auto"/>
              </w:rPr>
            </w:pPr>
          </w:p>
        </w:tc>
        <w:tc>
          <w:tcPr>
            <w:tcW w:w="1200" w:type="dxa"/>
            <w:vAlign w:val="bottom"/>
            <w:gridSpan w:val="2"/>
          </w:tcPr>
          <w:p>
            <w:pPr>
              <w:ind w:left="20"/>
              <w:spacing w:after="0" w:line="149" w:lineRule="exact"/>
              <w:rPr>
                <w:sz w:val="20"/>
                <w:szCs w:val="20"/>
                <w:color w:val="auto"/>
              </w:rPr>
            </w:pPr>
            <w:r>
              <w:rPr>
                <w:rFonts w:ascii="Arial" w:cs="Arial" w:eastAsia="Arial" w:hAnsi="Arial"/>
                <w:sz w:val="14"/>
                <w:szCs w:val="14"/>
                <w:color w:val="auto"/>
              </w:rPr>
              <w:t>Comprehensive</w:t>
            </w:r>
          </w:p>
        </w:tc>
        <w:tc>
          <w:tcPr>
            <w:tcW w:w="1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43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gridSpan w:val="2"/>
          </w:tcPr>
          <w:p>
            <w:pPr>
              <w:spacing w:after="0"/>
              <w:rPr>
                <w:sz w:val="20"/>
                <w:szCs w:val="20"/>
                <w:color w:val="auto"/>
              </w:rPr>
            </w:pPr>
            <w:r>
              <w:rPr>
                <w:rFonts w:ascii="Arial" w:cs="Arial" w:eastAsia="Arial" w:hAnsi="Arial"/>
                <w:sz w:val="14"/>
                <w:szCs w:val="14"/>
                <w:color w:val="auto"/>
              </w:rPr>
              <w:t>Stock</w:t>
            </w:r>
          </w:p>
        </w:tc>
        <w:tc>
          <w:tcPr>
            <w:tcW w:w="180" w:type="dxa"/>
            <w:vAlign w:val="bottom"/>
          </w:tcPr>
          <w:p>
            <w:pPr>
              <w:spacing w:after="0"/>
              <w:rPr>
                <w:sz w:val="14"/>
                <w:szCs w:val="14"/>
                <w:color w:val="auto"/>
              </w:rPr>
            </w:pPr>
          </w:p>
        </w:tc>
        <w:tc>
          <w:tcPr>
            <w:tcW w:w="1080" w:type="dxa"/>
            <w:vAlign w:val="bottom"/>
            <w:gridSpan w:val="2"/>
          </w:tcPr>
          <w:p>
            <w:pPr>
              <w:jc w:val="center"/>
              <w:ind w:right="180"/>
              <w:spacing w:after="0"/>
              <w:rPr>
                <w:sz w:val="20"/>
                <w:szCs w:val="20"/>
                <w:color w:val="auto"/>
              </w:rPr>
            </w:pPr>
            <w:r>
              <w:rPr>
                <w:rFonts w:ascii="Arial" w:cs="Arial" w:eastAsia="Arial" w:hAnsi="Arial"/>
                <w:sz w:val="14"/>
                <w:szCs w:val="14"/>
                <w:color w:val="auto"/>
                <w:w w:val="96"/>
              </w:rPr>
              <w:t>Capital</w:t>
            </w:r>
          </w:p>
        </w:tc>
        <w:tc>
          <w:tcPr>
            <w:tcW w:w="160" w:type="dxa"/>
            <w:vAlign w:val="bottom"/>
          </w:tcPr>
          <w:p>
            <w:pPr>
              <w:spacing w:after="0"/>
              <w:rPr>
                <w:sz w:val="14"/>
                <w:szCs w:val="14"/>
                <w:color w:val="auto"/>
              </w:rPr>
            </w:pPr>
          </w:p>
        </w:tc>
        <w:tc>
          <w:tcPr>
            <w:tcW w:w="1280" w:type="dxa"/>
            <w:vAlign w:val="bottom"/>
            <w:gridSpan w:val="2"/>
          </w:tcPr>
          <w:p>
            <w:pPr>
              <w:jc w:val="right"/>
              <w:ind w:right="640"/>
              <w:spacing w:after="0"/>
              <w:rPr>
                <w:sz w:val="20"/>
                <w:szCs w:val="20"/>
                <w:color w:val="auto"/>
              </w:rPr>
            </w:pPr>
            <w:r>
              <w:rPr>
                <w:rFonts w:ascii="Arial" w:cs="Arial" w:eastAsia="Arial" w:hAnsi="Arial"/>
                <w:sz w:val="14"/>
                <w:szCs w:val="14"/>
                <w:color w:val="auto"/>
              </w:rPr>
              <w:t>Deficit</w:t>
            </w:r>
          </w:p>
        </w:tc>
        <w:tc>
          <w:tcPr>
            <w:tcW w:w="100" w:type="dxa"/>
            <w:vAlign w:val="bottom"/>
          </w:tcPr>
          <w:p>
            <w:pPr>
              <w:spacing w:after="0"/>
              <w:rPr>
                <w:sz w:val="14"/>
                <w:szCs w:val="14"/>
                <w:color w:val="auto"/>
              </w:rPr>
            </w:pPr>
          </w:p>
        </w:tc>
        <w:tc>
          <w:tcPr>
            <w:tcW w:w="1200" w:type="dxa"/>
            <w:vAlign w:val="bottom"/>
            <w:gridSpan w:val="2"/>
          </w:tcPr>
          <w:p>
            <w:pPr>
              <w:ind w:left="240"/>
              <w:spacing w:after="0"/>
              <w:rPr>
                <w:sz w:val="20"/>
                <w:szCs w:val="20"/>
                <w:color w:val="auto"/>
              </w:rPr>
            </w:pPr>
            <w:r>
              <w:rPr>
                <w:rFonts w:ascii="Arial" w:cs="Arial" w:eastAsia="Arial" w:hAnsi="Arial"/>
                <w:sz w:val="14"/>
                <w:szCs w:val="14"/>
                <w:color w:val="auto"/>
              </w:rPr>
              <w:t>Income</w:t>
            </w:r>
          </w:p>
        </w:tc>
        <w:tc>
          <w:tcPr>
            <w:tcW w:w="180" w:type="dxa"/>
            <w:vAlign w:val="bottom"/>
          </w:tcPr>
          <w:p>
            <w:pPr>
              <w:spacing w:after="0"/>
              <w:rPr>
                <w:sz w:val="14"/>
                <w:szCs w:val="14"/>
                <w:color w:val="auto"/>
              </w:rPr>
            </w:pPr>
          </w:p>
        </w:tc>
        <w:tc>
          <w:tcPr>
            <w:tcW w:w="960" w:type="dxa"/>
            <w:vAlign w:val="bottom"/>
            <w:gridSpan w:val="2"/>
          </w:tcPr>
          <w:p>
            <w:pPr>
              <w:jc w:val="right"/>
              <w:ind w:right="360"/>
              <w:spacing w:after="0"/>
              <w:rPr>
                <w:sz w:val="20"/>
                <w:szCs w:val="20"/>
                <w:color w:val="auto"/>
              </w:rPr>
            </w:pPr>
            <w:r>
              <w:rPr>
                <w:rFonts w:ascii="Arial" w:cs="Arial" w:eastAsia="Arial" w:hAnsi="Arial"/>
                <w:sz w:val="14"/>
                <w:szCs w:val="14"/>
                <w:color w:val="auto"/>
              </w:rPr>
              <w:t>Total</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3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December 31, 2017</w:t>
            </w:r>
          </w:p>
        </w:tc>
        <w:tc>
          <w:tcPr>
            <w:tcW w:w="1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$82,601,650</w:t>
            </w:r>
          </w:p>
        </w:tc>
        <w:tc>
          <w:tcPr>
            <w:tcW w:w="1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$(3,438,740)</w:t>
            </w:r>
          </w:p>
        </w:tc>
        <w:tc>
          <w:tcPr>
            <w:tcW w:w="4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shd w:val="clear" w:color="auto" w:fill="CCEEFF"/>
          </w:tcPr>
          <w:p>
            <w:pPr>
              <w:ind w:left="440"/>
              <w:spacing w:after="0"/>
              <w:rPr>
                <w:sz w:val="20"/>
                <w:szCs w:val="20"/>
                <w:color w:val="auto"/>
              </w:rPr>
            </w:pPr>
            <w:r>
              <w:rPr>
                <w:rFonts w:ascii="Arial" w:cs="Arial" w:eastAsia="Arial" w:hAnsi="Arial"/>
                <w:sz w:val="18"/>
                <w:szCs w:val="18"/>
                <w:color w:val="auto"/>
                <w:w w:val="86"/>
              </w:rPr>
              <w:t>217,922</w:t>
            </w:r>
          </w:p>
        </w:tc>
        <w:tc>
          <w:tcPr>
            <w:tcW w:w="1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$79,380,833</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tcPr>
          <w:p>
            <w:pPr>
              <w:ind w:left="340"/>
              <w:spacing w:after="0"/>
              <w:rPr>
                <w:sz w:val="20"/>
                <w:szCs w:val="20"/>
                <w:color w:val="auto"/>
              </w:rPr>
            </w:pPr>
            <w:r>
              <w:rPr>
                <w:rFonts w:ascii="Arial" w:cs="Arial" w:eastAsia="Arial" w:hAnsi="Arial"/>
                <w:sz w:val="18"/>
                <w:szCs w:val="18"/>
                <w:color w:val="auto"/>
              </w:rPr>
              <w:t>Net income</w:t>
            </w: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80" w:type="dxa"/>
            <w:vAlign w:val="bottom"/>
            <w:gridSpan w:val="2"/>
          </w:tcPr>
          <w:p>
            <w:pPr>
              <w:ind w:left="62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2,232,622</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ind w:left="760"/>
              <w:spacing w:after="0"/>
              <w:rPr>
                <w:sz w:val="20"/>
                <w:szCs w:val="20"/>
                <w:color w:val="auto"/>
              </w:rPr>
            </w:pPr>
            <w:r>
              <w:rPr>
                <w:rFonts w:ascii="Arial" w:cs="Arial" w:eastAsia="Arial" w:hAnsi="Arial"/>
                <w:sz w:val="18"/>
                <w:szCs w:val="18"/>
                <w:color w:val="auto"/>
              </w:rPr>
              <w:t>—</w:t>
            </w:r>
          </w:p>
        </w:tc>
        <w:tc>
          <w:tcPr>
            <w:tcW w:w="1140" w:type="dxa"/>
            <w:vAlign w:val="bottom"/>
            <w:gridSpan w:val="3"/>
          </w:tcPr>
          <w:p>
            <w:pPr>
              <w:jc w:val="right"/>
              <w:ind w:right="60"/>
              <w:spacing w:after="0"/>
              <w:rPr>
                <w:sz w:val="20"/>
                <w:szCs w:val="20"/>
                <w:color w:val="auto"/>
              </w:rPr>
            </w:pPr>
            <w:r>
              <w:rPr>
                <w:rFonts w:ascii="Arial" w:cs="Arial" w:eastAsia="Arial" w:hAnsi="Arial"/>
                <w:sz w:val="18"/>
                <w:szCs w:val="18"/>
                <w:color w:val="auto"/>
              </w:rPr>
              <w:t>2,232,622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Equity-based compensation cost</w:t>
            </w: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126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81,553</w:t>
            </w:r>
          </w:p>
        </w:tc>
        <w:tc>
          <w:tcPr>
            <w:tcW w:w="1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ind w:left="760"/>
              <w:spacing w:after="0"/>
              <w:rPr>
                <w:sz w:val="20"/>
                <w:szCs w:val="20"/>
                <w:color w:val="auto"/>
              </w:rPr>
            </w:pPr>
            <w:r>
              <w:rPr>
                <w:rFonts w:ascii="Arial" w:cs="Arial" w:eastAsia="Arial" w:hAnsi="Arial"/>
                <w:sz w:val="18"/>
                <w:szCs w:val="18"/>
                <w:color w:val="auto"/>
              </w:rPr>
              <w:t>—</w:t>
            </w:r>
          </w:p>
        </w:tc>
        <w:tc>
          <w:tcPr>
            <w:tcW w:w="11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81,553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tcPr>
          <w:p>
            <w:pPr>
              <w:ind w:left="340"/>
              <w:spacing w:after="0"/>
              <w:rPr>
                <w:sz w:val="20"/>
                <w:szCs w:val="20"/>
                <w:color w:val="auto"/>
              </w:rPr>
            </w:pPr>
            <w:r>
              <w:rPr>
                <w:rFonts w:ascii="Arial" w:cs="Arial" w:eastAsia="Arial" w:hAnsi="Arial"/>
                <w:sz w:val="18"/>
                <w:szCs w:val="18"/>
                <w:color w:val="auto"/>
              </w:rPr>
              <w:t>Foreign currency translation adjustment</w:t>
            </w: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ind w:left="1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ind w:left="6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ind w:left="440"/>
              <w:spacing w:after="0"/>
              <w:rPr>
                <w:sz w:val="20"/>
                <w:szCs w:val="20"/>
                <w:color w:val="auto"/>
              </w:rPr>
            </w:pPr>
            <w:r>
              <w:rPr>
                <w:rFonts w:ascii="Arial" w:cs="Arial" w:eastAsia="Arial" w:hAnsi="Arial"/>
                <w:sz w:val="18"/>
                <w:szCs w:val="18"/>
                <w:color w:val="auto"/>
              </w:rPr>
              <w:t>381,648</w:t>
            </w:r>
          </w:p>
        </w:tc>
        <w:tc>
          <w:tcPr>
            <w:tcW w:w="1140" w:type="dxa"/>
            <w:vAlign w:val="bottom"/>
            <w:gridSpan w:val="3"/>
          </w:tcPr>
          <w:p>
            <w:pPr>
              <w:jc w:val="right"/>
              <w:ind w:right="60"/>
              <w:spacing w:after="0"/>
              <w:rPr>
                <w:sz w:val="20"/>
                <w:szCs w:val="20"/>
                <w:color w:val="auto"/>
              </w:rPr>
            </w:pPr>
            <w:r>
              <w:rPr>
                <w:rFonts w:ascii="Arial" w:cs="Arial" w:eastAsia="Arial" w:hAnsi="Arial"/>
                <w:sz w:val="18"/>
                <w:szCs w:val="18"/>
                <w:color w:val="auto"/>
              </w:rPr>
              <w:t>381,648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3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March 31, 2018</w:t>
            </w:r>
          </w:p>
        </w:tc>
        <w:tc>
          <w:tcPr>
            <w:tcW w:w="1260" w:type="dxa"/>
            <w:vAlign w:val="bottom"/>
            <w:gridSpan w:val="2"/>
            <w:shd w:val="clear" w:color="auto" w:fill="CCEEFF"/>
          </w:tcPr>
          <w:p>
            <w:pPr>
              <w:ind w:left="1160"/>
              <w:spacing w:after="0"/>
              <w:rPr>
                <w:sz w:val="20"/>
                <w:szCs w:val="20"/>
                <w:color w:val="auto"/>
              </w:rPr>
            </w:pPr>
            <w:r>
              <w:rPr>
                <w:rFonts w:ascii="Arial" w:cs="Arial" w:eastAsia="Arial" w:hAnsi="Arial"/>
                <w:sz w:val="18"/>
                <w:szCs w:val="18"/>
                <w:b w:val="1"/>
                <w:bCs w:val="1"/>
                <w:color w:val="auto"/>
                <w:w w:val="79"/>
              </w:rPr>
              <w:t>$</w:t>
            </w:r>
          </w:p>
        </w:tc>
        <w:tc>
          <w:tcPr>
            <w:tcW w:w="6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1</w:t>
            </w:r>
          </w:p>
        </w:tc>
        <w:tc>
          <w:tcPr>
            <w:tcW w:w="126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b w:val="1"/>
                <w:bCs w:val="1"/>
                <w:u w:val="single" w:color="auto"/>
                <w:color w:val="auto"/>
              </w:rPr>
              <w:t>$</w:t>
            </w:r>
            <w:r>
              <w:rPr>
                <w:rFonts w:ascii="Arial" w:cs="Arial" w:eastAsia="Arial" w:hAnsi="Arial"/>
                <w:sz w:val="18"/>
                <w:szCs w:val="18"/>
                <w:b w:val="1"/>
                <w:bCs w:val="1"/>
                <w:color w:val="auto"/>
              </w:rPr>
              <w:t>82,683,203</w:t>
            </w:r>
          </w:p>
        </w:tc>
        <w:tc>
          <w:tcPr>
            <w:tcW w:w="144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b w:val="1"/>
                <w:bCs w:val="1"/>
                <w:u w:val="single" w:color="auto"/>
                <w:color w:val="auto"/>
              </w:rPr>
              <w:t>$</w:t>
            </w:r>
            <w:r>
              <w:rPr>
                <w:rFonts w:ascii="Arial" w:cs="Arial" w:eastAsia="Arial" w:hAnsi="Arial"/>
                <w:sz w:val="18"/>
                <w:szCs w:val="18"/>
                <w:b w:val="1"/>
                <w:bCs w:val="1"/>
                <w:color w:val="auto"/>
              </w:rPr>
              <w:t>(1,206,118)</w:t>
            </w:r>
          </w:p>
        </w:tc>
        <w:tc>
          <w:tcPr>
            <w:tcW w:w="1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79"/>
              </w:rPr>
              <w:t>$</w:t>
            </w:r>
          </w:p>
        </w:tc>
        <w:tc>
          <w:tcPr>
            <w:tcW w:w="1200" w:type="dxa"/>
            <w:vAlign w:val="bottom"/>
            <w:gridSpan w:val="2"/>
            <w:shd w:val="clear" w:color="auto" w:fill="CCEEFF"/>
          </w:tcPr>
          <w:p>
            <w:pPr>
              <w:ind w:left="440"/>
              <w:spacing w:after="0"/>
              <w:rPr>
                <w:sz w:val="20"/>
                <w:szCs w:val="20"/>
                <w:color w:val="auto"/>
              </w:rPr>
            </w:pPr>
            <w:r>
              <w:rPr>
                <w:rFonts w:ascii="Arial" w:cs="Arial" w:eastAsia="Arial" w:hAnsi="Arial"/>
                <w:sz w:val="18"/>
                <w:szCs w:val="18"/>
                <w:b w:val="1"/>
                <w:bCs w:val="1"/>
                <w:color w:val="auto"/>
              </w:rPr>
              <w:t>599,570</w:t>
            </w:r>
          </w:p>
        </w:tc>
        <w:tc>
          <w:tcPr>
            <w:tcW w:w="11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b w:val="1"/>
                <w:bCs w:val="1"/>
                <w:u w:val="single" w:color="auto"/>
                <w:color w:val="auto"/>
              </w:rPr>
              <w:t>$</w:t>
            </w:r>
            <w:r>
              <w:rPr>
                <w:rFonts w:ascii="Arial" w:cs="Arial" w:eastAsia="Arial" w:hAnsi="Arial"/>
                <w:sz w:val="18"/>
                <w:szCs w:val="18"/>
                <w:b w:val="1"/>
                <w:bCs w:val="1"/>
                <w:color w:val="auto"/>
              </w:rPr>
              <w:t>82,076,656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See notes to unaudited condensed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270" w:right="239" w:bottom="1440" w:gutter="0" w:footer="0" w:header="0"/>
        </w:sectPr>
      </w:pPr>
    </w:p>
    <w:bookmarkStart w:id="33" w:name="page34"/>
    <w:bookmarkEnd w:id="33"/>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PMG Intermediate Holding Corporation and Subsidiaries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Unaudited Consolidated Statement Of Cash Flows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the Three Months Ended March 31, 2018 and 2017</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March 31,</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4"/>
                <w:szCs w:val="14"/>
                <w:color w:val="auto"/>
                <w:w w:val="99"/>
              </w:rPr>
              <w:t>March 31,</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918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211"/>
              <w:spacing w:after="0"/>
              <w:rPr>
                <w:sz w:val="20"/>
                <w:szCs w:val="20"/>
                <w:color w:val="auto"/>
              </w:rPr>
            </w:pPr>
            <w:r>
              <w:rPr>
                <w:rFonts w:ascii="Arial" w:cs="Arial" w:eastAsia="Arial" w:hAnsi="Arial"/>
                <w:sz w:val="14"/>
                <w:szCs w:val="14"/>
                <w:b w:val="1"/>
                <w:bCs w:val="1"/>
                <w:color w:val="auto"/>
              </w:rPr>
              <w:t>2018</w:t>
            </w:r>
          </w:p>
        </w:tc>
        <w:tc>
          <w:tcPr>
            <w:tcW w:w="200" w:type="dxa"/>
            <w:vAlign w:val="bottom"/>
            <w:tcBorders>
              <w:bottom w:val="single" w:sz="8" w:color="CCEEFF"/>
            </w:tcBorders>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211"/>
              <w:spacing w:after="0"/>
              <w:rPr>
                <w:sz w:val="20"/>
                <w:szCs w:val="20"/>
                <w:color w:val="auto"/>
              </w:rPr>
            </w:pPr>
            <w:r>
              <w:rPr>
                <w:rFonts w:ascii="Arial" w:cs="Arial" w:eastAsia="Arial" w:hAnsi="Arial"/>
                <w:sz w:val="14"/>
                <w:szCs w:val="14"/>
                <w:color w:val="auto"/>
              </w:rPr>
              <w:t>2017</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1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Cash flows from operating activities:</w:t>
            </w: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tcPr>
          <w:p>
            <w:pPr>
              <w:ind w:left="160"/>
              <w:spacing w:after="0"/>
              <w:rPr>
                <w:sz w:val="20"/>
                <w:szCs w:val="20"/>
                <w:color w:val="auto"/>
              </w:rPr>
            </w:pPr>
            <w:r>
              <w:rPr>
                <w:rFonts w:ascii="Arial" w:cs="Arial" w:eastAsia="Arial" w:hAnsi="Arial"/>
                <w:sz w:val="18"/>
                <w:szCs w:val="18"/>
                <w:color w:val="auto"/>
              </w:rPr>
              <w:t>Net income</w:t>
            </w:r>
          </w:p>
        </w:tc>
        <w:tc>
          <w:tcPr>
            <w:tcW w:w="10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w w:val="99"/>
              </w:rPr>
              <w:t>2,232,622</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529,037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Adjustments to reconcile net income to net cash used in operating activities:</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tcPr>
          <w:p>
            <w:pPr>
              <w:ind w:left="340"/>
              <w:spacing w:after="0"/>
              <w:rPr>
                <w:sz w:val="20"/>
                <w:szCs w:val="20"/>
                <w:color w:val="auto"/>
              </w:rPr>
            </w:pPr>
            <w:r>
              <w:rPr>
                <w:rFonts w:ascii="Arial" w:cs="Arial" w:eastAsia="Arial" w:hAnsi="Arial"/>
                <w:sz w:val="18"/>
                <w:szCs w:val="18"/>
                <w:color w:val="auto"/>
              </w:rPr>
              <w:t>Depreciation</w:t>
            </w:r>
          </w:p>
        </w:tc>
        <w:tc>
          <w:tcPr>
            <w:tcW w:w="10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w w:val="99"/>
              </w:rPr>
              <w:t>1,983,947</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w w:val="97"/>
              </w:rPr>
              <w:t>2,021,625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Amortization of intangible assets</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w w:val="99"/>
              </w:rPr>
              <w:t>1,216,084</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7"/>
              </w:rPr>
              <w:t>1,216,084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tcPr>
          <w:p>
            <w:pPr>
              <w:ind w:left="340"/>
              <w:spacing w:after="0"/>
              <w:rPr>
                <w:sz w:val="20"/>
                <w:szCs w:val="20"/>
                <w:color w:val="auto"/>
              </w:rPr>
            </w:pPr>
            <w:r>
              <w:rPr>
                <w:rFonts w:ascii="Arial" w:cs="Arial" w:eastAsia="Arial" w:hAnsi="Arial"/>
                <w:sz w:val="18"/>
                <w:szCs w:val="18"/>
                <w:color w:val="auto"/>
              </w:rPr>
              <w:t>Amortization of deferred financing costs</w:t>
            </w:r>
          </w:p>
        </w:tc>
        <w:tc>
          <w:tcPr>
            <w:tcW w:w="10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143,320</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174,084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81,553</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12,480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tcPr>
          <w:p>
            <w:pPr>
              <w:ind w:left="340"/>
              <w:spacing w:after="0"/>
              <w:rPr>
                <w:sz w:val="20"/>
                <w:szCs w:val="20"/>
                <w:color w:val="auto"/>
              </w:rPr>
            </w:pPr>
            <w:r>
              <w:rPr>
                <w:rFonts w:ascii="Arial" w:cs="Arial" w:eastAsia="Arial" w:hAnsi="Arial"/>
                <w:sz w:val="18"/>
                <w:szCs w:val="18"/>
                <w:color w:val="auto"/>
              </w:rPr>
              <w:t>Deferred income taxes</w:t>
            </w:r>
          </w:p>
        </w:tc>
        <w:tc>
          <w:tcPr>
            <w:tcW w:w="10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154,620</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602,372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Change in assets and liabilities:</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tcPr>
          <w:p>
            <w:pPr>
              <w:ind w:left="520"/>
              <w:spacing w:after="0"/>
              <w:rPr>
                <w:sz w:val="20"/>
                <w:szCs w:val="20"/>
                <w:color w:val="auto"/>
              </w:rPr>
            </w:pPr>
            <w:r>
              <w:rPr>
                <w:rFonts w:ascii="Arial" w:cs="Arial" w:eastAsia="Arial" w:hAnsi="Arial"/>
                <w:sz w:val="18"/>
                <w:szCs w:val="18"/>
                <w:color w:val="auto"/>
              </w:rPr>
              <w:t>Increase in:</w:t>
            </w: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shd w:val="clear" w:color="auto" w:fill="CCEEFF"/>
          </w:tcPr>
          <w:p>
            <w:pPr>
              <w:ind w:left="700"/>
              <w:spacing w:after="0"/>
              <w:rPr>
                <w:sz w:val="20"/>
                <w:szCs w:val="20"/>
                <w:color w:val="auto"/>
              </w:rPr>
            </w:pPr>
            <w:r>
              <w:rPr>
                <w:rFonts w:ascii="Arial" w:cs="Arial" w:eastAsia="Arial" w:hAnsi="Arial"/>
                <w:sz w:val="18"/>
                <w:szCs w:val="18"/>
                <w:color w:val="auto"/>
              </w:rPr>
              <w:t>Trade receivables</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w w:val="91"/>
              </w:rPr>
              <w:t>(4,021,985)</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1"/>
              </w:rPr>
              <w:t>(2,411,697)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tcPr>
          <w:p>
            <w:pPr>
              <w:ind w:left="700"/>
              <w:spacing w:after="0"/>
              <w:rPr>
                <w:sz w:val="20"/>
                <w:szCs w:val="20"/>
                <w:color w:val="auto"/>
              </w:rPr>
            </w:pPr>
            <w:r>
              <w:rPr>
                <w:rFonts w:ascii="Arial" w:cs="Arial" w:eastAsia="Arial" w:hAnsi="Arial"/>
                <w:sz w:val="18"/>
                <w:szCs w:val="18"/>
                <w:color w:val="auto"/>
              </w:rPr>
              <w:t>Inventories</w:t>
            </w:r>
          </w:p>
        </w:tc>
        <w:tc>
          <w:tcPr>
            <w:tcW w:w="100" w:type="dxa"/>
            <w:vAlign w:val="bottom"/>
          </w:tcPr>
          <w:p>
            <w:pPr>
              <w:spacing w:after="0"/>
              <w:rPr>
                <w:sz w:val="18"/>
                <w:szCs w:val="18"/>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(507,924)</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(691,948)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shd w:val="clear" w:color="auto" w:fill="CCEEFF"/>
          </w:tcPr>
          <w:p>
            <w:pPr>
              <w:ind w:left="700"/>
              <w:spacing w:after="0"/>
              <w:rPr>
                <w:sz w:val="20"/>
                <w:szCs w:val="20"/>
                <w:color w:val="auto"/>
              </w:rPr>
            </w:pPr>
            <w:r>
              <w:rPr>
                <w:rFonts w:ascii="Arial" w:cs="Arial" w:eastAsia="Arial" w:hAnsi="Arial"/>
                <w:sz w:val="18"/>
                <w:szCs w:val="18"/>
                <w:color w:val="auto"/>
              </w:rPr>
              <w:t>Other assets</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(121,355)</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(285,951)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tcPr>
          <w:p>
            <w:pPr>
              <w:ind w:left="520"/>
              <w:spacing w:after="0"/>
              <w:rPr>
                <w:sz w:val="20"/>
                <w:szCs w:val="20"/>
                <w:color w:val="auto"/>
              </w:rPr>
            </w:pPr>
            <w:r>
              <w:rPr>
                <w:rFonts w:ascii="Arial" w:cs="Arial" w:eastAsia="Arial" w:hAnsi="Arial"/>
                <w:sz w:val="18"/>
                <w:szCs w:val="18"/>
                <w:color w:val="auto"/>
              </w:rPr>
              <w:t>Increase in:</w:t>
            </w: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shd w:val="clear" w:color="auto" w:fill="CCEEFF"/>
          </w:tcPr>
          <w:p>
            <w:pPr>
              <w:ind w:left="700"/>
              <w:spacing w:after="0"/>
              <w:rPr>
                <w:sz w:val="20"/>
                <w:szCs w:val="20"/>
                <w:color w:val="auto"/>
              </w:rPr>
            </w:pPr>
            <w:r>
              <w:rPr>
                <w:rFonts w:ascii="Arial" w:cs="Arial" w:eastAsia="Arial" w:hAnsi="Arial"/>
                <w:sz w:val="18"/>
                <w:szCs w:val="18"/>
                <w:color w:val="auto"/>
              </w:rPr>
              <w:t>Accounts payable</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115,856</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(58,008)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tcPr>
          <w:p>
            <w:pPr>
              <w:ind w:left="700"/>
              <w:spacing w:after="0"/>
              <w:rPr>
                <w:sz w:val="20"/>
                <w:szCs w:val="20"/>
                <w:color w:val="auto"/>
              </w:rPr>
            </w:pPr>
            <w:r>
              <w:rPr>
                <w:rFonts w:ascii="Arial" w:cs="Arial" w:eastAsia="Arial" w:hAnsi="Arial"/>
                <w:sz w:val="18"/>
                <w:szCs w:val="18"/>
                <w:color w:val="auto"/>
              </w:rPr>
              <w:t>Income taxes payable</w:t>
            </w:r>
          </w:p>
        </w:tc>
        <w:tc>
          <w:tcPr>
            <w:tcW w:w="10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60,482</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w w:val="91"/>
              </w:rPr>
              <w:t>(1,104,451)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shd w:val="clear" w:color="auto" w:fill="CCEEFF"/>
          </w:tcPr>
          <w:p>
            <w:pPr>
              <w:ind w:left="700"/>
              <w:spacing w:after="0"/>
              <w:rPr>
                <w:sz w:val="20"/>
                <w:szCs w:val="20"/>
                <w:color w:val="auto"/>
              </w:rPr>
            </w:pPr>
            <w:r>
              <w:rPr>
                <w:rFonts w:ascii="Arial" w:cs="Arial" w:eastAsia="Arial" w:hAnsi="Arial"/>
                <w:sz w:val="18"/>
                <w:szCs w:val="18"/>
                <w:color w:val="auto"/>
              </w:rPr>
              <w:t>Accrued expenses</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w w:val="91"/>
              </w:rPr>
              <w:t>(4,667,342)</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(650,427)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9180" w:type="dxa"/>
            <w:vAlign w:val="bottom"/>
          </w:tcPr>
          <w:p>
            <w:pPr>
              <w:ind w:left="880"/>
              <w:spacing w:after="0"/>
              <w:rPr>
                <w:sz w:val="20"/>
                <w:szCs w:val="20"/>
                <w:color w:val="auto"/>
              </w:rPr>
            </w:pPr>
            <w:r>
              <w:rPr>
                <w:rFonts w:ascii="Arial" w:cs="Arial" w:eastAsia="Arial" w:hAnsi="Arial"/>
                <w:sz w:val="18"/>
                <w:szCs w:val="18"/>
                <w:b w:val="1"/>
                <w:bCs w:val="1"/>
                <w:color w:val="auto"/>
              </w:rPr>
              <w:t>Net cash used in operating activities</w:t>
            </w:r>
          </w:p>
        </w:tc>
        <w:tc>
          <w:tcPr>
            <w:tcW w:w="100" w:type="dxa"/>
            <w:vAlign w:val="bottom"/>
            <w:tcBorders>
              <w:top w:val="single" w:sz="8" w:color="auto"/>
              <w:bottom w:val="single" w:sz="8" w:color="auto"/>
            </w:tcBorders>
          </w:tcPr>
          <w:p>
            <w:pPr>
              <w:spacing w:after="0"/>
              <w:rPr>
                <w:sz w:val="20"/>
                <w:szCs w:val="20"/>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0"/>
              </w:rPr>
              <w:t>(3,330,122</w:t>
            </w:r>
          </w:p>
        </w:tc>
        <w:tc>
          <w:tcPr>
            <w:tcW w:w="200" w:type="dxa"/>
            <w:vAlign w:val="bottom"/>
          </w:tcPr>
          <w:p>
            <w:pPr>
              <w:jc w:val="right"/>
              <w:ind w:right="60"/>
              <w:spacing w:after="0"/>
              <w:rPr>
                <w:sz w:val="20"/>
                <w:szCs w:val="20"/>
                <w:color w:val="auto"/>
              </w:rPr>
            </w:pPr>
            <w:r>
              <w:rPr>
                <w:rFonts w:ascii="Arial" w:cs="Arial" w:eastAsia="Arial" w:hAnsi="Arial"/>
                <w:sz w:val="16"/>
                <w:szCs w:val="16"/>
                <w:b w:val="1"/>
                <w:bCs w:val="1"/>
                <w:color w:val="auto"/>
                <w:w w:val="74"/>
              </w:rPr>
              <w:t>)</w:t>
            </w:r>
          </w:p>
        </w:tc>
        <w:tc>
          <w:tcPr>
            <w:tcW w:w="14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(646,800)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investing activities:</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tcPr>
          <w:p>
            <w:pPr>
              <w:ind w:left="160"/>
              <w:spacing w:after="0"/>
              <w:rPr>
                <w:sz w:val="20"/>
                <w:szCs w:val="20"/>
                <w:color w:val="auto"/>
              </w:rPr>
            </w:pPr>
            <w:r>
              <w:rPr>
                <w:rFonts w:ascii="Arial" w:cs="Arial" w:eastAsia="Arial" w:hAnsi="Arial"/>
                <w:sz w:val="18"/>
                <w:szCs w:val="18"/>
                <w:color w:val="auto"/>
              </w:rPr>
              <w:t>Purchases of property and equipment</w:t>
            </w:r>
          </w:p>
        </w:tc>
        <w:tc>
          <w:tcPr>
            <w:tcW w:w="100" w:type="dxa"/>
            <w:vAlign w:val="bottom"/>
          </w:tcPr>
          <w:p>
            <w:pPr>
              <w:spacing w:after="0"/>
              <w:rPr>
                <w:sz w:val="18"/>
                <w:szCs w:val="18"/>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w w:val="91"/>
              </w:rPr>
              <w:t>(4,280,820)</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(914,195)</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9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shd w:val="clear" w:color="auto" w:fill="CCEEFF"/>
          </w:tcPr>
          <w:p>
            <w:pPr>
              <w:ind w:left="880"/>
              <w:spacing w:after="0"/>
              <w:rPr>
                <w:sz w:val="20"/>
                <w:szCs w:val="20"/>
                <w:color w:val="auto"/>
              </w:rPr>
            </w:pPr>
            <w:r>
              <w:rPr>
                <w:rFonts w:ascii="Arial" w:cs="Arial" w:eastAsia="Arial" w:hAnsi="Arial"/>
                <w:sz w:val="18"/>
                <w:szCs w:val="18"/>
                <w:b w:val="1"/>
                <w:bCs w:val="1"/>
                <w:color w:val="auto"/>
              </w:rPr>
              <w:t>Net cash used in investing activities</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w w:val="91"/>
              </w:rPr>
              <w:t>(4,280,820)</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(914,195)</w:t>
            </w:r>
          </w:p>
        </w:tc>
        <w:tc>
          <w:tcPr>
            <w:tcW w:w="0" w:type="dxa"/>
            <w:vAlign w:val="bottom"/>
          </w:tcPr>
          <w:p>
            <w:pPr>
              <w:spacing w:after="0"/>
              <w:rPr>
                <w:sz w:val="1"/>
                <w:szCs w:val="1"/>
                <w:color w:val="auto"/>
              </w:rPr>
            </w:pPr>
          </w:p>
        </w:tc>
      </w:tr>
      <w:tr>
        <w:trPr>
          <w:trHeight w:val="223"/>
        </w:trPr>
        <w:tc>
          <w:tcPr>
            <w:tcW w:w="9200" w:type="dxa"/>
            <w:vAlign w:val="bottom"/>
            <w:gridSpan w:val="2"/>
          </w:tcPr>
          <w:p>
            <w:pPr>
              <w:spacing w:after="0"/>
              <w:rPr>
                <w:sz w:val="20"/>
                <w:szCs w:val="20"/>
                <w:color w:val="auto"/>
              </w:rPr>
            </w:pPr>
            <w:r>
              <w:rPr>
                <w:rFonts w:ascii="Arial" w:cs="Arial" w:eastAsia="Arial" w:hAnsi="Arial"/>
                <w:sz w:val="18"/>
                <w:szCs w:val="18"/>
                <w:color w:val="auto"/>
              </w:rPr>
              <w:t>Cash flows from financing activities:</w:t>
            </w:r>
          </w:p>
        </w:tc>
        <w:tc>
          <w:tcPr>
            <w:tcW w:w="10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Net borrowings on line of credit</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w w:val="99"/>
              </w:rPr>
              <w:t>2,000,000</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7"/>
              </w:rPr>
              <w:t>4,700,000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tcPr>
          <w:p>
            <w:pPr>
              <w:ind w:left="160"/>
              <w:spacing w:after="0"/>
              <w:rPr>
                <w:sz w:val="20"/>
                <w:szCs w:val="20"/>
                <w:color w:val="auto"/>
              </w:rPr>
            </w:pPr>
            <w:r>
              <w:rPr>
                <w:rFonts w:ascii="Arial" w:cs="Arial" w:eastAsia="Arial" w:hAnsi="Arial"/>
                <w:sz w:val="18"/>
                <w:szCs w:val="18"/>
                <w:color w:val="auto"/>
              </w:rPr>
              <w:t>Payments on notes payable</w:t>
            </w:r>
          </w:p>
        </w:tc>
        <w:tc>
          <w:tcPr>
            <w:tcW w:w="100" w:type="dxa"/>
            <w:vAlign w:val="bottom"/>
          </w:tcPr>
          <w:p>
            <w:pPr>
              <w:spacing w:after="0"/>
              <w:rPr>
                <w:sz w:val="18"/>
                <w:szCs w:val="18"/>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(220,000)</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w w:val="91"/>
              </w:rPr>
              <w:t>(1,259,094)</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9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shd w:val="clear" w:color="auto" w:fill="CCEEFF"/>
          </w:tcPr>
          <w:p>
            <w:pPr>
              <w:ind w:left="880"/>
              <w:spacing w:after="0"/>
              <w:rPr>
                <w:sz w:val="20"/>
                <w:szCs w:val="20"/>
                <w:color w:val="auto"/>
              </w:rPr>
            </w:pPr>
            <w:r>
              <w:rPr>
                <w:rFonts w:ascii="Arial" w:cs="Arial" w:eastAsia="Arial" w:hAnsi="Arial"/>
                <w:sz w:val="18"/>
                <w:szCs w:val="18"/>
                <w:b w:val="1"/>
                <w:bCs w:val="1"/>
                <w:color w:val="auto"/>
              </w:rPr>
              <w:t>Net cash provided by financing activities</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w w:val="99"/>
              </w:rPr>
              <w:t>1,780,000</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7"/>
              </w:rPr>
              <w:t>3,440,906</w:t>
            </w:r>
          </w:p>
        </w:tc>
        <w:tc>
          <w:tcPr>
            <w:tcW w:w="0" w:type="dxa"/>
            <w:vAlign w:val="bottom"/>
          </w:tcPr>
          <w:p>
            <w:pPr>
              <w:spacing w:after="0"/>
              <w:rPr>
                <w:sz w:val="1"/>
                <w:szCs w:val="1"/>
                <w:color w:val="auto"/>
              </w:rPr>
            </w:pPr>
          </w:p>
        </w:tc>
      </w:tr>
      <w:tr>
        <w:trPr>
          <w:trHeight w:val="230"/>
        </w:trPr>
        <w:tc>
          <w:tcPr>
            <w:tcW w:w="9200" w:type="dxa"/>
            <w:vAlign w:val="bottom"/>
            <w:gridSpan w:val="2"/>
          </w:tcPr>
          <w:p>
            <w:pPr>
              <w:spacing w:after="0"/>
              <w:rPr>
                <w:sz w:val="20"/>
                <w:szCs w:val="20"/>
                <w:color w:val="auto"/>
              </w:rPr>
            </w:pPr>
            <w:r>
              <w:rPr>
                <w:rFonts w:ascii="Arial" w:cs="Arial" w:eastAsia="Arial" w:hAnsi="Arial"/>
                <w:sz w:val="18"/>
                <w:szCs w:val="18"/>
                <w:color w:val="auto"/>
              </w:rPr>
              <w:t>Effect of exchange rate changes on cash</w:t>
            </w:r>
          </w:p>
        </w:tc>
        <w:tc>
          <w:tcPr>
            <w:tcW w:w="100" w:type="dxa"/>
            <w:vAlign w:val="bottom"/>
            <w:tcBorders>
              <w:top w:val="single" w:sz="8" w:color="auto"/>
              <w:bottom w:val="single" w:sz="8" w:color="auto"/>
            </w:tcBorders>
          </w:tcPr>
          <w:p>
            <w:pPr>
              <w:spacing w:after="0"/>
              <w:rPr>
                <w:sz w:val="20"/>
                <w:szCs w:val="20"/>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2,361</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292,943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shd w:val="clear" w:color="auto" w:fill="CCEEFF"/>
          </w:tcPr>
          <w:p>
            <w:pPr>
              <w:ind w:left="880"/>
              <w:spacing w:after="0"/>
              <w:rPr>
                <w:sz w:val="20"/>
                <w:szCs w:val="20"/>
                <w:color w:val="auto"/>
              </w:rPr>
            </w:pPr>
            <w:r>
              <w:rPr>
                <w:rFonts w:ascii="Arial" w:cs="Arial" w:eastAsia="Arial" w:hAnsi="Arial"/>
                <w:sz w:val="18"/>
                <w:szCs w:val="18"/>
                <w:b w:val="1"/>
                <w:bCs w:val="1"/>
                <w:color w:val="auto"/>
              </w:rPr>
              <w:t>(Decrease) increase in cash</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w w:val="91"/>
              </w:rPr>
              <w:t>(5,828,581)</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7"/>
              </w:rPr>
              <w:t>2,172,854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tcPr>
          <w:p>
            <w:pPr>
              <w:spacing w:after="0"/>
              <w:rPr>
                <w:sz w:val="20"/>
                <w:szCs w:val="20"/>
                <w:color w:val="auto"/>
              </w:rPr>
            </w:pPr>
            <w:r>
              <w:rPr>
                <w:rFonts w:ascii="Arial" w:cs="Arial" w:eastAsia="Arial" w:hAnsi="Arial"/>
                <w:sz w:val="18"/>
                <w:szCs w:val="18"/>
                <w:color w:val="auto"/>
              </w:rPr>
              <w:t>Cash, beginning</w:t>
            </w:r>
          </w:p>
        </w:tc>
        <w:tc>
          <w:tcPr>
            <w:tcW w:w="10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w w:val="88"/>
              </w:rPr>
              <w:t>15,905,385</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w w:val="97"/>
              </w:rPr>
              <w:t>5,827,420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9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9180" w:type="dxa"/>
            <w:vAlign w:val="bottom"/>
            <w:shd w:val="clear" w:color="auto" w:fill="CCEEFF"/>
          </w:tcPr>
          <w:p>
            <w:pPr>
              <w:spacing w:after="0"/>
              <w:rPr>
                <w:sz w:val="20"/>
                <w:szCs w:val="20"/>
                <w:color w:val="auto"/>
              </w:rPr>
            </w:pPr>
            <w:r>
              <w:rPr>
                <w:rFonts w:ascii="Arial" w:cs="Arial" w:eastAsia="Arial" w:hAnsi="Arial"/>
                <w:sz w:val="18"/>
                <w:szCs w:val="18"/>
                <w:color w:val="auto"/>
              </w:rPr>
              <w:t>Cash, ending</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b w:val="1"/>
                <w:bCs w:val="1"/>
                <w:u w:val="single" w:color="auto"/>
                <w:color w:val="auto"/>
                <w:w w:val="79"/>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w w:val="88"/>
              </w:rPr>
              <w:t>10,076,804</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7"/>
              </w:rPr>
              <w:t>8,000,274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See notes to unaudited condensed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270" w:right="239" w:bottom="1440" w:gutter="0" w:footer="0" w:header="0"/>
        </w:sectPr>
      </w:pPr>
    </w:p>
    <w:bookmarkStart w:id="34" w:name="page35"/>
    <w:bookmarkEnd w:id="34"/>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PMG Intermediate Holding Corporation and Subsidiaries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206375</wp:posOffset>
            </wp:positionV>
            <wp:extent cx="724662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Nature of Business, Principles of Consolidation and Significant Accounting Policies</w:t>
      </w:r>
    </w:p>
    <w:p>
      <w:pPr>
        <w:spacing w:after="0" w:line="117" w:lineRule="exact"/>
        <w:rPr>
          <w:sz w:val="20"/>
          <w:szCs w:val="20"/>
          <w:color w:val="auto"/>
        </w:rPr>
      </w:pPr>
    </w:p>
    <w:p>
      <w:pPr>
        <w:spacing w:after="0" w:line="273" w:lineRule="auto"/>
        <w:rPr>
          <w:sz w:val="20"/>
          <w:szCs w:val="20"/>
          <w:color w:val="auto"/>
        </w:rPr>
      </w:pPr>
      <w:r>
        <w:rPr>
          <w:rFonts w:ascii="Arial" w:cs="Arial" w:eastAsia="Arial" w:hAnsi="Arial"/>
          <w:sz w:val="17"/>
          <w:szCs w:val="17"/>
          <w:b w:val="1"/>
          <w:bCs w:val="1"/>
          <w:color w:val="auto"/>
        </w:rPr>
        <w:t xml:space="preserve">Nature of business: </w:t>
      </w:r>
      <w:r>
        <w:rPr>
          <w:rFonts w:ascii="Arial" w:cs="Arial" w:eastAsia="Arial" w:hAnsi="Arial"/>
          <w:sz w:val="17"/>
          <w:szCs w:val="17"/>
          <w:color w:val="auto"/>
        </w:rPr>
        <w:t>PMG Intermediate Holding Corporation (“Intermediate”) and PMG Acquisition Corporation (“PMG”) were formed in 2013 to effect the</w:t>
      </w:r>
      <w:r>
        <w:rPr>
          <w:rFonts w:ascii="Arial" w:cs="Arial" w:eastAsia="Arial" w:hAnsi="Arial"/>
          <w:sz w:val="17"/>
          <w:szCs w:val="17"/>
          <w:b w:val="1"/>
          <w:bCs w:val="1"/>
          <w:color w:val="auto"/>
        </w:rPr>
        <w:t xml:space="preserve"> </w:t>
      </w:r>
      <w:r>
        <w:rPr>
          <w:rFonts w:ascii="Arial" w:cs="Arial" w:eastAsia="Arial" w:hAnsi="Arial"/>
          <w:sz w:val="17"/>
          <w:szCs w:val="17"/>
          <w:color w:val="auto"/>
        </w:rPr>
        <w:t>acquisition of PMG’s wholly owned subsidiary, Paragon Medical, Inc., and its subsidiaries (collectively the “Company”). The Company is a worldwide supplier of surgical instrument delivery systems, surgical instrumentation, implantable components and design and development services to the medical device marketplace. The Company provides a wide range of services and innovative solutions to support the strategic needs of its customers through its multiple offices and production facilities in the United States, Switzerland, China, and Poland. Sales of surgical instrumentation and implantable components accounts for approximately 67 percent of total revenue, and surgical instrument delivery systems account for approximately 33 percent of the revenue. The Company’s foreign subsidiaries account for approximately 22 percent of total net revenue.</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color w:val="auto"/>
        </w:rPr>
        <w:t>The Company is a wholly-owned subsidiary of Paragon Equity, LLC (“Parent”).</w:t>
      </w:r>
    </w:p>
    <w:p>
      <w:pPr>
        <w:spacing w:after="0" w:line="221" w:lineRule="exact"/>
        <w:rPr>
          <w:sz w:val="20"/>
          <w:szCs w:val="20"/>
          <w:color w:val="auto"/>
        </w:rPr>
      </w:pPr>
    </w:p>
    <w:p>
      <w:pPr>
        <w:ind w:right="220"/>
        <w:spacing w:after="0" w:line="282" w:lineRule="auto"/>
        <w:rPr>
          <w:sz w:val="20"/>
          <w:szCs w:val="20"/>
          <w:color w:val="auto"/>
        </w:rPr>
      </w:pPr>
      <w:r>
        <w:rPr>
          <w:rFonts w:ascii="Arial" w:cs="Arial" w:eastAsia="Arial" w:hAnsi="Arial"/>
          <w:sz w:val="18"/>
          <w:szCs w:val="18"/>
          <w:b w:val="1"/>
          <w:bCs w:val="1"/>
          <w:color w:val="auto"/>
        </w:rPr>
        <w:t xml:space="preserve">Principles of consolidation: </w:t>
      </w:r>
      <w:r>
        <w:rPr>
          <w:rFonts w:ascii="Arial" w:cs="Arial" w:eastAsia="Arial" w:hAnsi="Arial"/>
          <w:sz w:val="18"/>
          <w:szCs w:val="18"/>
          <w:color w:val="auto"/>
        </w:rPr>
        <w:t>The consolidated financial statements include the accounts of all subsidiaries of the Company. All intercompany transactions</w:t>
      </w:r>
      <w:r>
        <w:rPr>
          <w:rFonts w:ascii="Arial" w:cs="Arial" w:eastAsia="Arial" w:hAnsi="Arial"/>
          <w:sz w:val="18"/>
          <w:szCs w:val="18"/>
          <w:b w:val="1"/>
          <w:bCs w:val="1"/>
          <w:color w:val="auto"/>
        </w:rPr>
        <w:t xml:space="preserve"> </w:t>
      </w:r>
      <w:r>
        <w:rPr>
          <w:rFonts w:ascii="Arial" w:cs="Arial" w:eastAsia="Arial" w:hAnsi="Arial"/>
          <w:sz w:val="18"/>
          <w:szCs w:val="18"/>
          <w:color w:val="auto"/>
        </w:rPr>
        <w:t>and balances are eliminated in consolidation.</w:t>
      </w:r>
    </w:p>
    <w:p>
      <w:pPr>
        <w:spacing w:after="0" w:line="166" w:lineRule="exact"/>
        <w:rPr>
          <w:sz w:val="20"/>
          <w:szCs w:val="20"/>
          <w:color w:val="auto"/>
        </w:rPr>
      </w:pPr>
    </w:p>
    <w:p>
      <w:pPr>
        <w:ind w:right="60"/>
        <w:spacing w:after="0" w:line="291" w:lineRule="auto"/>
        <w:rPr>
          <w:sz w:val="20"/>
          <w:szCs w:val="20"/>
          <w:color w:val="auto"/>
        </w:rPr>
      </w:pPr>
      <w:r>
        <w:rPr>
          <w:rFonts w:ascii="Arial" w:cs="Arial" w:eastAsia="Arial" w:hAnsi="Arial"/>
          <w:sz w:val="16"/>
          <w:szCs w:val="16"/>
          <w:color w:val="auto"/>
        </w:rPr>
        <w:t>In our opinion, the accompanying condensed unaudited consolidated financial statements contain all adjustments, consisting of normal recurring accruals, necessary to present fairly our consolidated financial position as of March 31, 2018 and the consolidated results of operations and comprehensive income for the three months ended March 31, 2018 and March 31, 2017 and the consolidated cash flows for the three months then ended. The consolidated statement of operations and comprehensive income for the three months ended March 31, 2018 and March 31, 2017 is not necessarily indicative of the results to be expected for the full year. The consolidated balance sheet data as of December 31, 2017 was derived from audited financial statements, but does not include all of the information and footnotes required by GAAP for complete financial statements. These interim financial statements should be read in conjunction with the audited consolidated financial statements and notes thereto appearing in our Annual Report for the year ended December 31, 2017.</w:t>
      </w:r>
    </w:p>
    <w:p>
      <w:pPr>
        <w:spacing w:after="0" w:line="163" w:lineRule="exact"/>
        <w:rPr>
          <w:sz w:val="20"/>
          <w:szCs w:val="20"/>
          <w:color w:val="auto"/>
        </w:rPr>
      </w:pPr>
    </w:p>
    <w:p>
      <w:pPr>
        <w:ind w:right="120"/>
        <w:spacing w:after="0" w:line="282" w:lineRule="auto"/>
        <w:rPr>
          <w:sz w:val="20"/>
          <w:szCs w:val="20"/>
          <w:color w:val="auto"/>
        </w:rPr>
      </w:pPr>
      <w:r>
        <w:rPr>
          <w:rFonts w:ascii="Arial" w:cs="Arial" w:eastAsia="Arial" w:hAnsi="Arial"/>
          <w:sz w:val="18"/>
          <w:szCs w:val="18"/>
          <w:b w:val="1"/>
          <w:bCs w:val="1"/>
          <w:color w:val="auto"/>
        </w:rPr>
        <w:t xml:space="preserve">Subsequent events: </w:t>
      </w:r>
      <w:r>
        <w:rPr>
          <w:rFonts w:ascii="Arial" w:cs="Arial" w:eastAsia="Arial" w:hAnsi="Arial"/>
          <w:sz w:val="18"/>
          <w:szCs w:val="18"/>
          <w:color w:val="auto"/>
        </w:rPr>
        <w:t>The Company has evaluated subsequent events for potential recognition and/or disclosure through May 30, 2018, the date the financial</w:t>
      </w:r>
      <w:r>
        <w:rPr>
          <w:rFonts w:ascii="Arial" w:cs="Arial" w:eastAsia="Arial" w:hAnsi="Arial"/>
          <w:sz w:val="18"/>
          <w:szCs w:val="18"/>
          <w:b w:val="1"/>
          <w:bCs w:val="1"/>
          <w:color w:val="auto"/>
        </w:rPr>
        <w:t xml:space="preserve"> </w:t>
      </w:r>
      <w:r>
        <w:rPr>
          <w:rFonts w:ascii="Arial" w:cs="Arial" w:eastAsia="Arial" w:hAnsi="Arial"/>
          <w:sz w:val="18"/>
          <w:szCs w:val="18"/>
          <w:color w:val="auto"/>
        </w:rPr>
        <w:t>statements were available to be issued.</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Inventories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For the period ended March 31, 2018 and the year ended December 31, 2017 inventories consisted of the following:</w:t>
      </w:r>
    </w:p>
    <w:p>
      <w:pPr>
        <w:spacing w:after="0" w:line="235"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2720" w:type="dxa"/>
            <w:vAlign w:val="bottom"/>
          </w:tcPr>
          <w:p>
            <w:pPr>
              <w:spacing w:after="0"/>
              <w:rPr>
                <w:sz w:val="14"/>
                <w:szCs w:val="14"/>
                <w:color w:val="auto"/>
              </w:rPr>
            </w:pPr>
          </w:p>
        </w:tc>
        <w:tc>
          <w:tcPr>
            <w:tcW w:w="3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jc w:val="right"/>
              <w:ind w:right="76"/>
              <w:spacing w:after="0"/>
              <w:rPr>
                <w:sz w:val="20"/>
                <w:szCs w:val="20"/>
                <w:color w:val="auto"/>
              </w:rPr>
            </w:pPr>
            <w:r>
              <w:rPr>
                <w:rFonts w:ascii="Arial" w:cs="Arial" w:eastAsia="Arial" w:hAnsi="Arial"/>
                <w:sz w:val="14"/>
                <w:szCs w:val="14"/>
                <w:color w:val="auto"/>
              </w:rPr>
              <w:t>March 31,</w:t>
            </w:r>
          </w:p>
        </w:tc>
        <w:tc>
          <w:tcPr>
            <w:tcW w:w="400" w:type="dxa"/>
            <w:vAlign w:val="bottom"/>
          </w:tcPr>
          <w:p>
            <w:pPr>
              <w:spacing w:after="0"/>
              <w:rPr>
                <w:sz w:val="14"/>
                <w:szCs w:val="14"/>
                <w:color w:val="auto"/>
              </w:rPr>
            </w:pPr>
          </w:p>
        </w:tc>
        <w:tc>
          <w:tcPr>
            <w:tcW w:w="960" w:type="dxa"/>
            <w:vAlign w:val="bottom"/>
            <w:gridSpan w:val="3"/>
          </w:tcPr>
          <w:p>
            <w:pPr>
              <w:ind w:left="40"/>
              <w:spacing w:after="0"/>
              <w:rPr>
                <w:sz w:val="20"/>
                <w:szCs w:val="20"/>
                <w:color w:val="auto"/>
              </w:rPr>
            </w:pPr>
            <w:r>
              <w:rPr>
                <w:rFonts w:ascii="Arial" w:cs="Arial" w:eastAsia="Arial" w:hAnsi="Arial"/>
                <w:sz w:val="14"/>
                <w:szCs w:val="14"/>
                <w:color w:val="auto"/>
              </w:rPr>
              <w:t>December 31,</w:t>
            </w:r>
          </w:p>
        </w:tc>
        <w:tc>
          <w:tcPr>
            <w:tcW w:w="0" w:type="dxa"/>
            <w:vAlign w:val="bottom"/>
          </w:tcPr>
          <w:p>
            <w:pPr>
              <w:spacing w:after="0"/>
              <w:rPr>
                <w:sz w:val="1"/>
                <w:szCs w:val="1"/>
                <w:color w:val="auto"/>
              </w:rPr>
            </w:pPr>
          </w:p>
        </w:tc>
      </w:tr>
      <w:tr>
        <w:trPr>
          <w:trHeight w:val="167"/>
        </w:trPr>
        <w:tc>
          <w:tcPr>
            <w:tcW w:w="2720" w:type="dxa"/>
            <w:vAlign w:val="bottom"/>
            <w:tcBorders>
              <w:bottom w:val="single" w:sz="8" w:color="CCEEFF"/>
            </w:tcBorders>
          </w:tcPr>
          <w:p>
            <w:pPr>
              <w:spacing w:after="0"/>
              <w:rPr>
                <w:sz w:val="14"/>
                <w:szCs w:val="14"/>
                <w:color w:val="auto"/>
              </w:rPr>
            </w:pPr>
          </w:p>
        </w:tc>
        <w:tc>
          <w:tcPr>
            <w:tcW w:w="370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216"/>
              <w:spacing w:after="0"/>
              <w:rPr>
                <w:sz w:val="20"/>
                <w:szCs w:val="20"/>
                <w:color w:val="auto"/>
              </w:rPr>
            </w:pPr>
            <w:r>
              <w:rPr>
                <w:rFonts w:ascii="Arial" w:cs="Arial" w:eastAsia="Arial" w:hAnsi="Arial"/>
                <w:sz w:val="14"/>
                <w:szCs w:val="14"/>
                <w:color w:val="auto"/>
              </w:rPr>
              <w:t>2018</w:t>
            </w:r>
          </w:p>
        </w:tc>
        <w:tc>
          <w:tcPr>
            <w:tcW w:w="40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234"/>
              <w:spacing w:after="0"/>
              <w:rPr>
                <w:sz w:val="20"/>
                <w:szCs w:val="20"/>
                <w:color w:val="auto"/>
              </w:rPr>
            </w:pPr>
            <w:r>
              <w:rPr>
                <w:rFonts w:ascii="Arial" w:cs="Arial" w:eastAsia="Arial" w:hAnsi="Arial"/>
                <w:sz w:val="14"/>
                <w:szCs w:val="14"/>
                <w:color w:val="auto"/>
              </w:rPr>
              <w:t>2017</w:t>
            </w:r>
          </w:p>
        </w:tc>
        <w:tc>
          <w:tcPr>
            <w:tcW w:w="6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720" w:type="dxa"/>
            <w:vAlign w:val="bottom"/>
            <w:shd w:val="clear" w:color="auto" w:fill="CCEEFF"/>
          </w:tcPr>
          <w:p>
            <w:pPr>
              <w:spacing w:after="0"/>
              <w:rPr>
                <w:sz w:val="20"/>
                <w:szCs w:val="20"/>
                <w:color w:val="auto"/>
              </w:rPr>
            </w:pPr>
            <w:r>
              <w:rPr>
                <w:rFonts w:ascii="Arial" w:cs="Arial" w:eastAsia="Arial" w:hAnsi="Arial"/>
                <w:sz w:val="18"/>
                <w:szCs w:val="18"/>
                <w:color w:val="auto"/>
              </w:rPr>
              <w:t>Raw materials</w:t>
            </w:r>
          </w:p>
        </w:tc>
        <w:tc>
          <w:tcPr>
            <w:tcW w:w="370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6,237,977</w:t>
            </w: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5,313,198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720" w:type="dxa"/>
            <w:vAlign w:val="bottom"/>
          </w:tcPr>
          <w:p>
            <w:pPr>
              <w:spacing w:after="0"/>
              <w:rPr>
                <w:sz w:val="20"/>
                <w:szCs w:val="20"/>
                <w:color w:val="auto"/>
              </w:rPr>
            </w:pPr>
            <w:r>
              <w:rPr>
                <w:rFonts w:ascii="Arial" w:cs="Arial" w:eastAsia="Arial" w:hAnsi="Arial"/>
                <w:sz w:val="18"/>
                <w:szCs w:val="18"/>
                <w:color w:val="auto"/>
              </w:rPr>
              <w:t>Work in process</w:t>
            </w:r>
          </w:p>
        </w:tc>
        <w:tc>
          <w:tcPr>
            <w:tcW w:w="3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99"/>
              </w:rPr>
              <w:t>9,165,569</w:t>
            </w: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99"/>
              </w:rPr>
              <w:t>9,416,146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720" w:type="dxa"/>
            <w:vAlign w:val="bottom"/>
            <w:shd w:val="clear" w:color="auto" w:fill="CCEEFF"/>
          </w:tcPr>
          <w:p>
            <w:pPr>
              <w:spacing w:after="0"/>
              <w:rPr>
                <w:sz w:val="20"/>
                <w:szCs w:val="20"/>
                <w:color w:val="auto"/>
              </w:rPr>
            </w:pPr>
            <w:r>
              <w:rPr>
                <w:rFonts w:ascii="Arial" w:cs="Arial" w:eastAsia="Arial" w:hAnsi="Arial"/>
                <w:sz w:val="18"/>
                <w:szCs w:val="18"/>
                <w:color w:val="auto"/>
              </w:rPr>
              <w:t>Finished goods</w:t>
            </w:r>
          </w:p>
        </w:tc>
        <w:tc>
          <w:tcPr>
            <w:tcW w:w="370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5,592,572</w:t>
            </w:r>
          </w:p>
        </w:tc>
        <w:tc>
          <w:tcPr>
            <w:tcW w:w="40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5,646,854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720" w:type="dxa"/>
            <w:vAlign w:val="bottom"/>
          </w:tcPr>
          <w:p>
            <w:pPr>
              <w:spacing w:after="0"/>
              <w:rPr>
                <w:sz w:val="19"/>
                <w:szCs w:val="19"/>
                <w:color w:val="auto"/>
              </w:rPr>
            </w:pPr>
          </w:p>
        </w:tc>
        <w:tc>
          <w:tcPr>
            <w:tcW w:w="3700" w:type="dxa"/>
            <w:vAlign w:val="bottom"/>
          </w:tcPr>
          <w:p>
            <w:pPr>
              <w:spacing w:after="0"/>
              <w:rPr>
                <w:sz w:val="19"/>
                <w:szCs w:val="19"/>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8"/>
              </w:rPr>
              <w:t>20,996,118</w:t>
            </w:r>
          </w:p>
        </w:tc>
        <w:tc>
          <w:tcPr>
            <w:tcW w:w="400" w:type="dxa"/>
            <w:vAlign w:val="bottom"/>
          </w:tcPr>
          <w:p>
            <w:pPr>
              <w:spacing w:after="0"/>
              <w:rPr>
                <w:sz w:val="19"/>
                <w:szCs w:val="19"/>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8"/>
              </w:rPr>
              <w:t>20,376,198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720" w:type="dxa"/>
            <w:vAlign w:val="bottom"/>
          </w:tcPr>
          <w:p>
            <w:pPr>
              <w:spacing w:after="0" w:line="20" w:lineRule="exact"/>
              <w:rPr>
                <w:sz w:val="1"/>
                <w:szCs w:val="1"/>
                <w:color w:val="auto"/>
              </w:rPr>
            </w:pPr>
          </w:p>
        </w:tc>
        <w:tc>
          <w:tcPr>
            <w:tcW w:w="3700" w:type="dxa"/>
            <w:vAlign w:val="bottom"/>
            <w:vMerge w:val="restart"/>
          </w:tcPr>
          <w:p>
            <w:pPr>
              <w:jc w:val="right"/>
              <w:ind w:right="1950"/>
              <w:spacing w:after="0"/>
              <w:rPr>
                <w:sz w:val="20"/>
                <w:szCs w:val="20"/>
                <w:color w:val="auto"/>
              </w:rPr>
            </w:pPr>
            <w:r>
              <w:rPr>
                <w:rFonts w:ascii="Arial" w:cs="Arial" w:eastAsia="Arial" w:hAnsi="Arial"/>
                <w:sz w:val="18"/>
                <w:szCs w:val="18"/>
                <w:color w:val="auto"/>
              </w:rPr>
              <w:t>7</w:t>
            </w:r>
          </w:p>
        </w:tc>
        <w:tc>
          <w:tcPr>
            <w:tcW w:w="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720" w:type="dxa"/>
            <w:vAlign w:val="bottom"/>
          </w:tcPr>
          <w:p>
            <w:pPr>
              <w:spacing w:after="0"/>
              <w:rPr>
                <w:sz w:val="24"/>
                <w:szCs w:val="24"/>
                <w:color w:val="auto"/>
              </w:rPr>
            </w:pPr>
          </w:p>
        </w:tc>
        <w:tc>
          <w:tcPr>
            <w:tcW w:w="3700" w:type="dxa"/>
            <w:vAlign w:val="bottom"/>
            <w:vMerge w:val="continue"/>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60"/>
          </w:cols>
          <w:pgMar w:left="240" w:top="270" w:right="299" w:bottom="1440" w:gutter="0" w:footer="0" w:header="0"/>
        </w:sectPr>
      </w:pPr>
    </w:p>
    <w:bookmarkStart w:id="35" w:name="page36"/>
    <w:bookmarkEnd w:id="35"/>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PMG Intermediate Holding Corporation and Subsidiaries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206375</wp:posOffset>
            </wp:positionV>
            <wp:extent cx="7246620"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Intangible Assets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Intangible assets for the period ended March 31, 2018 and the year ended December 31, 2017 consist of the following:</w:t>
      </w:r>
    </w:p>
    <w:p>
      <w:pPr>
        <w:spacing w:after="0" w:line="248" w:lineRule="exact"/>
        <w:rPr>
          <w:sz w:val="20"/>
          <w:szCs w:val="20"/>
          <w:color w:val="auto"/>
        </w:rPr>
      </w:pPr>
    </w:p>
    <w:tbl>
      <w:tblPr>
        <w:tblLayout w:type="fixed"/>
        <w:tblInd w:w="460" w:type="dxa"/>
        <w:tblCellMar>
          <w:top w:w="0" w:type="dxa"/>
          <w:left w:w="0" w:type="dxa"/>
          <w:bottom w:w="0" w:type="dxa"/>
          <w:right w:w="0" w:type="dxa"/>
        </w:tblCellMar>
      </w:tblPr>
      <w:tr>
        <w:trPr>
          <w:trHeight w:val="167"/>
        </w:trPr>
        <w:tc>
          <w:tcPr>
            <w:tcW w:w="6060" w:type="dxa"/>
            <w:vAlign w:val="bottom"/>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800" w:type="dxa"/>
            <w:vAlign w:val="bottom"/>
            <w:tcBorders>
              <w:bottom w:val="single" w:sz="8" w:color="auto"/>
            </w:tcBorders>
            <w:gridSpan w:val="5"/>
          </w:tcPr>
          <w:p>
            <w:pPr>
              <w:jc w:val="center"/>
              <w:ind w:right="420"/>
              <w:spacing w:after="0"/>
              <w:rPr>
                <w:sz w:val="20"/>
                <w:szCs w:val="20"/>
                <w:color w:val="auto"/>
              </w:rPr>
            </w:pPr>
            <w:r>
              <w:rPr>
                <w:rFonts w:ascii="Arial" w:cs="Arial" w:eastAsia="Arial" w:hAnsi="Arial"/>
                <w:sz w:val="14"/>
                <w:szCs w:val="14"/>
                <w:color w:val="auto"/>
                <w:w w:val="93"/>
              </w:rPr>
              <w:t>Three Months Ended March 31, 2018</w:t>
            </w:r>
          </w:p>
        </w:tc>
        <w:tc>
          <w:tcPr>
            <w:tcW w:w="58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r>
      <w:tr>
        <w:trPr>
          <w:trHeight w:val="123"/>
        </w:trPr>
        <w:tc>
          <w:tcPr>
            <w:tcW w:w="606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580" w:type="dxa"/>
            <w:vAlign w:val="bottom"/>
          </w:tcPr>
          <w:p>
            <w:pPr>
              <w:jc w:val="center"/>
              <w:spacing w:after="0" w:line="123" w:lineRule="exact"/>
              <w:rPr>
                <w:sz w:val="20"/>
                <w:szCs w:val="20"/>
                <w:color w:val="auto"/>
              </w:rPr>
            </w:pPr>
            <w:r>
              <w:rPr>
                <w:rFonts w:ascii="Arial" w:cs="Arial" w:eastAsia="Arial" w:hAnsi="Arial"/>
                <w:sz w:val="14"/>
                <w:szCs w:val="14"/>
                <w:color w:val="auto"/>
                <w:w w:val="93"/>
              </w:rPr>
              <w:t>Estimated</w:t>
            </w:r>
          </w:p>
        </w:tc>
        <w:tc>
          <w:tcPr>
            <w:tcW w:w="60" w:type="dxa"/>
            <w:vAlign w:val="bottom"/>
          </w:tcPr>
          <w:p>
            <w:pPr>
              <w:spacing w:after="0"/>
              <w:rPr>
                <w:sz w:val="10"/>
                <w:szCs w:val="10"/>
                <w:color w:val="auto"/>
              </w:rPr>
            </w:pPr>
          </w:p>
        </w:tc>
      </w:tr>
      <w:tr>
        <w:trPr>
          <w:trHeight w:val="149"/>
        </w:trPr>
        <w:tc>
          <w:tcPr>
            <w:tcW w:w="60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80" w:type="dxa"/>
            <w:vAlign w:val="bottom"/>
            <w:gridSpan w:val="2"/>
          </w:tcPr>
          <w:p>
            <w:pPr>
              <w:ind w:left="80"/>
              <w:spacing w:after="0" w:line="149" w:lineRule="exact"/>
              <w:rPr>
                <w:sz w:val="20"/>
                <w:szCs w:val="20"/>
                <w:color w:val="auto"/>
              </w:rPr>
            </w:pPr>
            <w:r>
              <w:rPr>
                <w:rFonts w:ascii="Arial" w:cs="Arial" w:eastAsia="Arial" w:hAnsi="Arial"/>
                <w:sz w:val="14"/>
                <w:szCs w:val="14"/>
                <w:color w:val="auto"/>
              </w:rPr>
              <w:t>Accumulated</w:t>
            </w:r>
          </w:p>
        </w:tc>
        <w:tc>
          <w:tcPr>
            <w:tcW w:w="1260" w:type="dxa"/>
            <w:vAlign w:val="bottom"/>
            <w:gridSpan w:val="2"/>
          </w:tcPr>
          <w:p>
            <w:pPr>
              <w:jc w:val="center"/>
              <w:ind w:right="360"/>
              <w:spacing w:after="0" w:line="149" w:lineRule="exact"/>
              <w:rPr>
                <w:sz w:val="20"/>
                <w:szCs w:val="20"/>
                <w:color w:val="auto"/>
              </w:rPr>
            </w:pPr>
            <w:r>
              <w:rPr>
                <w:rFonts w:ascii="Arial" w:cs="Arial" w:eastAsia="Arial" w:hAnsi="Arial"/>
                <w:sz w:val="14"/>
                <w:szCs w:val="14"/>
                <w:color w:val="auto"/>
              </w:rPr>
              <w:t>Net</w:t>
            </w:r>
          </w:p>
        </w:tc>
        <w:tc>
          <w:tcPr>
            <w:tcW w:w="640" w:type="dxa"/>
            <w:vAlign w:val="bottom"/>
            <w:gridSpan w:val="2"/>
          </w:tcPr>
          <w:p>
            <w:pPr>
              <w:jc w:val="center"/>
              <w:ind w:right="60"/>
              <w:spacing w:after="0" w:line="149" w:lineRule="exact"/>
              <w:rPr>
                <w:sz w:val="20"/>
                <w:szCs w:val="20"/>
                <w:color w:val="auto"/>
              </w:rPr>
            </w:pPr>
            <w:r>
              <w:rPr>
                <w:rFonts w:ascii="Arial" w:cs="Arial" w:eastAsia="Arial" w:hAnsi="Arial"/>
                <w:sz w:val="14"/>
                <w:szCs w:val="14"/>
                <w:color w:val="auto"/>
                <w:w w:val="95"/>
              </w:rPr>
              <w:t>Useful</w:t>
            </w:r>
          </w:p>
        </w:tc>
      </w:tr>
      <w:tr>
        <w:trPr>
          <w:trHeight w:val="167"/>
        </w:trPr>
        <w:tc>
          <w:tcPr>
            <w:tcW w:w="6060" w:type="dxa"/>
            <w:vAlign w:val="bottom"/>
          </w:tcPr>
          <w:p>
            <w:pPr>
              <w:spacing w:after="0"/>
              <w:rPr>
                <w:sz w:val="14"/>
                <w:szCs w:val="14"/>
                <w:color w:val="auto"/>
              </w:rPr>
            </w:pPr>
          </w:p>
        </w:tc>
        <w:tc>
          <w:tcPr>
            <w:tcW w:w="1000" w:type="dxa"/>
            <w:vAlign w:val="bottom"/>
            <w:gridSpan w:val="2"/>
          </w:tcPr>
          <w:p>
            <w:pPr>
              <w:jc w:val="right"/>
              <w:ind w:right="420"/>
              <w:spacing w:after="0"/>
              <w:rPr>
                <w:sz w:val="20"/>
                <w:szCs w:val="20"/>
                <w:color w:val="auto"/>
              </w:rPr>
            </w:pPr>
            <w:r>
              <w:rPr>
                <w:rFonts w:ascii="Arial" w:cs="Arial" w:eastAsia="Arial" w:hAnsi="Arial"/>
                <w:sz w:val="14"/>
                <w:szCs w:val="14"/>
                <w:color w:val="auto"/>
              </w:rPr>
              <w:t>Cost</w:t>
            </w:r>
          </w:p>
        </w:tc>
        <w:tc>
          <w:tcPr>
            <w:tcW w:w="260" w:type="dxa"/>
            <w:vAlign w:val="bottom"/>
          </w:tcPr>
          <w:p>
            <w:pPr>
              <w:spacing w:after="0"/>
              <w:rPr>
                <w:sz w:val="14"/>
                <w:szCs w:val="14"/>
                <w:color w:val="auto"/>
              </w:rPr>
            </w:pPr>
          </w:p>
        </w:tc>
        <w:tc>
          <w:tcPr>
            <w:tcW w:w="1280" w:type="dxa"/>
            <w:vAlign w:val="bottom"/>
            <w:gridSpan w:val="2"/>
          </w:tcPr>
          <w:p>
            <w:pPr>
              <w:ind w:left="80"/>
              <w:spacing w:after="0"/>
              <w:rPr>
                <w:sz w:val="20"/>
                <w:szCs w:val="20"/>
                <w:color w:val="auto"/>
              </w:rPr>
            </w:pPr>
            <w:r>
              <w:rPr>
                <w:rFonts w:ascii="Arial" w:cs="Arial" w:eastAsia="Arial" w:hAnsi="Arial"/>
                <w:sz w:val="14"/>
                <w:szCs w:val="14"/>
                <w:color w:val="auto"/>
              </w:rPr>
              <w:t>Amortization</w:t>
            </w:r>
          </w:p>
        </w:tc>
        <w:tc>
          <w:tcPr>
            <w:tcW w:w="1260" w:type="dxa"/>
            <w:vAlign w:val="bottom"/>
            <w:gridSpan w:val="2"/>
          </w:tcPr>
          <w:p>
            <w:pPr>
              <w:jc w:val="center"/>
              <w:ind w:right="360"/>
              <w:spacing w:after="0"/>
              <w:rPr>
                <w:sz w:val="20"/>
                <w:szCs w:val="20"/>
                <w:color w:val="auto"/>
              </w:rPr>
            </w:pPr>
            <w:r>
              <w:rPr>
                <w:rFonts w:ascii="Arial" w:cs="Arial" w:eastAsia="Arial" w:hAnsi="Arial"/>
                <w:sz w:val="14"/>
                <w:szCs w:val="14"/>
                <w:color w:val="auto"/>
                <w:w w:val="92"/>
              </w:rPr>
              <w:t>Book Value</w:t>
            </w:r>
          </w:p>
        </w:tc>
        <w:tc>
          <w:tcPr>
            <w:tcW w:w="640" w:type="dxa"/>
            <w:vAlign w:val="bottom"/>
            <w:gridSpan w:val="2"/>
          </w:tcPr>
          <w:p>
            <w:pPr>
              <w:jc w:val="center"/>
              <w:ind w:right="40"/>
              <w:spacing w:after="0"/>
              <w:rPr>
                <w:sz w:val="20"/>
                <w:szCs w:val="20"/>
                <w:color w:val="auto"/>
              </w:rPr>
            </w:pPr>
            <w:r>
              <w:rPr>
                <w:rFonts w:ascii="Arial" w:cs="Arial" w:eastAsia="Arial" w:hAnsi="Arial"/>
                <w:sz w:val="14"/>
                <w:szCs w:val="14"/>
                <w:color w:val="auto"/>
                <w:w w:val="97"/>
              </w:rPr>
              <w:t>Lives</w:t>
            </w:r>
          </w:p>
        </w:tc>
      </w:tr>
      <w:tr>
        <w:trPr>
          <w:trHeight w:val="210"/>
        </w:trPr>
        <w:tc>
          <w:tcPr>
            <w:tcW w:w="60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Customer base</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$59,600,000</w:t>
            </w: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$17,510,211</w:t>
            </w:r>
          </w:p>
        </w:tc>
        <w:tc>
          <w:tcPr>
            <w:tcW w:w="36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$42,089,789</w:t>
            </w:r>
          </w:p>
        </w:tc>
        <w:tc>
          <w:tcPr>
            <w:tcW w:w="36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10-15</w:t>
            </w: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6060" w:type="dxa"/>
            <w:vAlign w:val="bottom"/>
          </w:tcPr>
          <w:p>
            <w:pPr>
              <w:spacing w:after="0"/>
              <w:rPr>
                <w:sz w:val="20"/>
                <w:szCs w:val="20"/>
                <w:color w:val="auto"/>
              </w:rPr>
            </w:pPr>
            <w:r>
              <w:rPr>
                <w:rFonts w:ascii="Arial" w:cs="Arial" w:eastAsia="Arial" w:hAnsi="Arial"/>
                <w:sz w:val="18"/>
                <w:szCs w:val="18"/>
                <w:color w:val="auto"/>
              </w:rPr>
              <w:t>Trade name</w:t>
            </w:r>
          </w:p>
        </w:tc>
        <w:tc>
          <w:tcPr>
            <w:tcW w:w="900" w:type="dxa"/>
            <w:vAlign w:val="bottom"/>
          </w:tcPr>
          <w:p>
            <w:pPr>
              <w:jc w:val="right"/>
              <w:spacing w:after="0"/>
              <w:rPr>
                <w:sz w:val="20"/>
                <w:szCs w:val="20"/>
                <w:color w:val="auto"/>
              </w:rPr>
            </w:pPr>
            <w:r>
              <w:rPr>
                <w:rFonts w:ascii="Arial" w:cs="Arial" w:eastAsia="Arial" w:hAnsi="Arial"/>
                <w:sz w:val="18"/>
                <w:szCs w:val="18"/>
                <w:color w:val="auto"/>
              </w:rPr>
              <w:t>8,815,000</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2,540,232</w:t>
            </w:r>
          </w:p>
        </w:tc>
        <w:tc>
          <w:tcPr>
            <w:tcW w:w="360" w:type="dxa"/>
            <w:vAlign w:val="bottom"/>
          </w:tcPr>
          <w:p>
            <w:pPr>
              <w:spacing w:after="0"/>
              <w:rPr>
                <w:sz w:val="18"/>
                <w:szCs w:val="18"/>
                <w:color w:val="auto"/>
              </w:rPr>
            </w:pPr>
          </w:p>
        </w:tc>
        <w:tc>
          <w:tcPr>
            <w:tcW w:w="1260" w:type="dxa"/>
            <w:vAlign w:val="bottom"/>
            <w:gridSpan w:val="2"/>
          </w:tcPr>
          <w:p>
            <w:pPr>
              <w:jc w:val="right"/>
              <w:ind w:right="360"/>
              <w:spacing w:after="0"/>
              <w:rPr>
                <w:sz w:val="20"/>
                <w:szCs w:val="20"/>
                <w:color w:val="auto"/>
              </w:rPr>
            </w:pPr>
            <w:r>
              <w:rPr>
                <w:rFonts w:ascii="Arial" w:cs="Arial" w:eastAsia="Arial" w:hAnsi="Arial"/>
                <w:sz w:val="18"/>
                <w:szCs w:val="18"/>
                <w:color w:val="auto"/>
              </w:rPr>
              <w:t>6,274,768</w:t>
            </w:r>
          </w:p>
        </w:tc>
        <w:tc>
          <w:tcPr>
            <w:tcW w:w="580" w:type="dxa"/>
            <w:vAlign w:val="bottom"/>
          </w:tcPr>
          <w:p>
            <w:pPr>
              <w:jc w:val="right"/>
              <w:ind w:right="81"/>
              <w:spacing w:after="0"/>
              <w:rPr>
                <w:sz w:val="20"/>
                <w:szCs w:val="20"/>
                <w:color w:val="auto"/>
              </w:rPr>
            </w:pPr>
            <w:r>
              <w:rPr>
                <w:rFonts w:ascii="Arial" w:cs="Arial" w:eastAsia="Arial" w:hAnsi="Arial"/>
                <w:sz w:val="18"/>
                <w:szCs w:val="18"/>
                <w:color w:val="auto"/>
              </w:rPr>
              <w:t>15</w:t>
            </w:r>
          </w:p>
        </w:tc>
        <w:tc>
          <w:tcPr>
            <w:tcW w:w="60" w:type="dxa"/>
            <w:vAlign w:val="bottom"/>
          </w:tcPr>
          <w:p>
            <w:pPr>
              <w:spacing w:after="0"/>
              <w:rPr>
                <w:sz w:val="18"/>
                <w:szCs w:val="18"/>
                <w:color w:val="auto"/>
              </w:rPr>
            </w:pPr>
          </w:p>
        </w:tc>
      </w:tr>
      <w:tr>
        <w:trPr>
          <w:trHeight w:val="27"/>
        </w:trPr>
        <w:tc>
          <w:tcPr>
            <w:tcW w:w="606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580" w:type="dxa"/>
            <w:vAlign w:val="bottom"/>
          </w:tcPr>
          <w:p>
            <w:pPr>
              <w:spacing w:after="0"/>
              <w:rPr>
                <w:sz w:val="2"/>
                <w:szCs w:val="2"/>
                <w:color w:val="auto"/>
              </w:rPr>
            </w:pPr>
          </w:p>
        </w:tc>
        <w:tc>
          <w:tcPr>
            <w:tcW w:w="60" w:type="dxa"/>
            <w:vAlign w:val="bottom"/>
          </w:tcPr>
          <w:p>
            <w:pPr>
              <w:spacing w:after="0"/>
              <w:rPr>
                <w:sz w:val="2"/>
                <w:szCs w:val="2"/>
                <w:color w:val="auto"/>
              </w:rPr>
            </w:pPr>
          </w:p>
        </w:tc>
      </w:tr>
      <w:tr>
        <w:trPr>
          <w:trHeight w:val="216"/>
        </w:trPr>
        <w:tc>
          <w:tcPr>
            <w:tcW w:w="60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other intangible assets</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68,415,000</w:t>
            </w:r>
          </w:p>
        </w:tc>
        <w:tc>
          <w:tcPr>
            <w:tcW w:w="154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20,050,443</w:t>
            </w:r>
          </w:p>
        </w:tc>
        <w:tc>
          <w:tcPr>
            <w:tcW w:w="12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48,364,557</w:t>
            </w:r>
          </w:p>
        </w:tc>
        <w:tc>
          <w:tcPr>
            <w:tcW w:w="5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0"/>
        </w:trPr>
        <w:tc>
          <w:tcPr>
            <w:tcW w:w="606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72"/>
        </w:trPr>
        <w:tc>
          <w:tcPr>
            <w:tcW w:w="6060" w:type="dxa"/>
            <w:vAlign w:val="bottom"/>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540" w:type="dxa"/>
            <w:vAlign w:val="bottom"/>
            <w:tcBorders>
              <w:bottom w:val="single" w:sz="8" w:color="auto"/>
            </w:tcBorders>
            <w:gridSpan w:val="4"/>
          </w:tcPr>
          <w:p>
            <w:pPr>
              <w:jc w:val="center"/>
              <w:ind w:right="660"/>
              <w:spacing w:after="0"/>
              <w:rPr>
                <w:sz w:val="20"/>
                <w:szCs w:val="20"/>
                <w:color w:val="auto"/>
              </w:rPr>
            </w:pPr>
            <w:r>
              <w:rPr>
                <w:rFonts w:ascii="Arial" w:cs="Arial" w:eastAsia="Arial" w:hAnsi="Arial"/>
                <w:sz w:val="14"/>
                <w:szCs w:val="14"/>
                <w:color w:val="auto"/>
                <w:w w:val="91"/>
              </w:rPr>
              <w:t>Year Ended December 31, 2017</w:t>
            </w:r>
          </w:p>
        </w:tc>
        <w:tc>
          <w:tcPr>
            <w:tcW w:w="58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r>
      <w:tr>
        <w:trPr>
          <w:trHeight w:val="123"/>
        </w:trPr>
        <w:tc>
          <w:tcPr>
            <w:tcW w:w="606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580" w:type="dxa"/>
            <w:vAlign w:val="bottom"/>
          </w:tcPr>
          <w:p>
            <w:pPr>
              <w:jc w:val="center"/>
              <w:spacing w:after="0" w:line="123" w:lineRule="exact"/>
              <w:rPr>
                <w:sz w:val="20"/>
                <w:szCs w:val="20"/>
                <w:color w:val="auto"/>
              </w:rPr>
            </w:pPr>
            <w:r>
              <w:rPr>
                <w:rFonts w:ascii="Arial" w:cs="Arial" w:eastAsia="Arial" w:hAnsi="Arial"/>
                <w:sz w:val="14"/>
                <w:szCs w:val="14"/>
                <w:color w:val="auto"/>
                <w:w w:val="93"/>
              </w:rPr>
              <w:t>Estimated</w:t>
            </w:r>
          </w:p>
        </w:tc>
        <w:tc>
          <w:tcPr>
            <w:tcW w:w="60" w:type="dxa"/>
            <w:vAlign w:val="bottom"/>
          </w:tcPr>
          <w:p>
            <w:pPr>
              <w:spacing w:after="0"/>
              <w:rPr>
                <w:sz w:val="10"/>
                <w:szCs w:val="10"/>
                <w:color w:val="auto"/>
              </w:rPr>
            </w:pPr>
          </w:p>
        </w:tc>
      </w:tr>
      <w:tr>
        <w:trPr>
          <w:trHeight w:val="149"/>
        </w:trPr>
        <w:tc>
          <w:tcPr>
            <w:tcW w:w="60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80" w:type="dxa"/>
            <w:vAlign w:val="bottom"/>
            <w:gridSpan w:val="2"/>
          </w:tcPr>
          <w:p>
            <w:pPr>
              <w:ind w:left="80"/>
              <w:spacing w:after="0" w:line="149" w:lineRule="exact"/>
              <w:rPr>
                <w:sz w:val="20"/>
                <w:szCs w:val="20"/>
                <w:color w:val="auto"/>
              </w:rPr>
            </w:pPr>
            <w:r>
              <w:rPr>
                <w:rFonts w:ascii="Arial" w:cs="Arial" w:eastAsia="Arial" w:hAnsi="Arial"/>
                <w:sz w:val="14"/>
                <w:szCs w:val="14"/>
                <w:color w:val="auto"/>
              </w:rPr>
              <w:t>Accumulated</w:t>
            </w:r>
          </w:p>
        </w:tc>
        <w:tc>
          <w:tcPr>
            <w:tcW w:w="1260" w:type="dxa"/>
            <w:vAlign w:val="bottom"/>
            <w:gridSpan w:val="2"/>
          </w:tcPr>
          <w:p>
            <w:pPr>
              <w:jc w:val="center"/>
              <w:ind w:right="360"/>
              <w:spacing w:after="0" w:line="149" w:lineRule="exact"/>
              <w:rPr>
                <w:sz w:val="20"/>
                <w:szCs w:val="20"/>
                <w:color w:val="auto"/>
              </w:rPr>
            </w:pPr>
            <w:r>
              <w:rPr>
                <w:rFonts w:ascii="Arial" w:cs="Arial" w:eastAsia="Arial" w:hAnsi="Arial"/>
                <w:sz w:val="14"/>
                <w:szCs w:val="14"/>
                <w:color w:val="auto"/>
              </w:rPr>
              <w:t>Net</w:t>
            </w:r>
          </w:p>
        </w:tc>
        <w:tc>
          <w:tcPr>
            <w:tcW w:w="640" w:type="dxa"/>
            <w:vAlign w:val="bottom"/>
            <w:gridSpan w:val="2"/>
          </w:tcPr>
          <w:p>
            <w:pPr>
              <w:jc w:val="center"/>
              <w:ind w:right="60"/>
              <w:spacing w:after="0" w:line="149" w:lineRule="exact"/>
              <w:rPr>
                <w:sz w:val="20"/>
                <w:szCs w:val="20"/>
                <w:color w:val="auto"/>
              </w:rPr>
            </w:pPr>
            <w:r>
              <w:rPr>
                <w:rFonts w:ascii="Arial" w:cs="Arial" w:eastAsia="Arial" w:hAnsi="Arial"/>
                <w:sz w:val="14"/>
                <w:szCs w:val="14"/>
                <w:color w:val="auto"/>
                <w:w w:val="95"/>
              </w:rPr>
              <w:t>Useful</w:t>
            </w:r>
          </w:p>
        </w:tc>
      </w:tr>
      <w:tr>
        <w:trPr>
          <w:trHeight w:val="167"/>
        </w:trPr>
        <w:tc>
          <w:tcPr>
            <w:tcW w:w="6060" w:type="dxa"/>
            <w:vAlign w:val="bottom"/>
          </w:tcPr>
          <w:p>
            <w:pPr>
              <w:spacing w:after="0"/>
              <w:rPr>
                <w:sz w:val="14"/>
                <w:szCs w:val="14"/>
                <w:color w:val="auto"/>
              </w:rPr>
            </w:pPr>
          </w:p>
        </w:tc>
        <w:tc>
          <w:tcPr>
            <w:tcW w:w="1000" w:type="dxa"/>
            <w:vAlign w:val="bottom"/>
            <w:gridSpan w:val="2"/>
          </w:tcPr>
          <w:p>
            <w:pPr>
              <w:jc w:val="right"/>
              <w:ind w:right="420"/>
              <w:spacing w:after="0"/>
              <w:rPr>
                <w:sz w:val="20"/>
                <w:szCs w:val="20"/>
                <w:color w:val="auto"/>
              </w:rPr>
            </w:pPr>
            <w:r>
              <w:rPr>
                <w:rFonts w:ascii="Arial" w:cs="Arial" w:eastAsia="Arial" w:hAnsi="Arial"/>
                <w:sz w:val="14"/>
                <w:szCs w:val="14"/>
                <w:color w:val="auto"/>
              </w:rPr>
              <w:t>Cost</w:t>
            </w:r>
          </w:p>
        </w:tc>
        <w:tc>
          <w:tcPr>
            <w:tcW w:w="260" w:type="dxa"/>
            <w:vAlign w:val="bottom"/>
          </w:tcPr>
          <w:p>
            <w:pPr>
              <w:spacing w:after="0"/>
              <w:rPr>
                <w:sz w:val="14"/>
                <w:szCs w:val="14"/>
                <w:color w:val="auto"/>
              </w:rPr>
            </w:pPr>
          </w:p>
        </w:tc>
        <w:tc>
          <w:tcPr>
            <w:tcW w:w="1280" w:type="dxa"/>
            <w:vAlign w:val="bottom"/>
            <w:gridSpan w:val="2"/>
          </w:tcPr>
          <w:p>
            <w:pPr>
              <w:ind w:left="80"/>
              <w:spacing w:after="0"/>
              <w:rPr>
                <w:sz w:val="20"/>
                <w:szCs w:val="20"/>
                <w:color w:val="auto"/>
              </w:rPr>
            </w:pPr>
            <w:r>
              <w:rPr>
                <w:rFonts w:ascii="Arial" w:cs="Arial" w:eastAsia="Arial" w:hAnsi="Arial"/>
                <w:sz w:val="14"/>
                <w:szCs w:val="14"/>
                <w:color w:val="auto"/>
              </w:rPr>
              <w:t>Amortization</w:t>
            </w:r>
          </w:p>
        </w:tc>
        <w:tc>
          <w:tcPr>
            <w:tcW w:w="1260" w:type="dxa"/>
            <w:vAlign w:val="bottom"/>
            <w:gridSpan w:val="2"/>
          </w:tcPr>
          <w:p>
            <w:pPr>
              <w:jc w:val="center"/>
              <w:ind w:right="360"/>
              <w:spacing w:after="0"/>
              <w:rPr>
                <w:sz w:val="20"/>
                <w:szCs w:val="20"/>
                <w:color w:val="auto"/>
              </w:rPr>
            </w:pPr>
            <w:r>
              <w:rPr>
                <w:rFonts w:ascii="Arial" w:cs="Arial" w:eastAsia="Arial" w:hAnsi="Arial"/>
                <w:sz w:val="14"/>
                <w:szCs w:val="14"/>
                <w:color w:val="auto"/>
                <w:w w:val="92"/>
              </w:rPr>
              <w:t>Book Value</w:t>
            </w:r>
          </w:p>
        </w:tc>
        <w:tc>
          <w:tcPr>
            <w:tcW w:w="640" w:type="dxa"/>
            <w:vAlign w:val="bottom"/>
            <w:gridSpan w:val="2"/>
          </w:tcPr>
          <w:p>
            <w:pPr>
              <w:jc w:val="center"/>
              <w:ind w:right="40"/>
              <w:spacing w:after="0"/>
              <w:rPr>
                <w:sz w:val="20"/>
                <w:szCs w:val="20"/>
                <w:color w:val="auto"/>
              </w:rPr>
            </w:pPr>
            <w:r>
              <w:rPr>
                <w:rFonts w:ascii="Arial" w:cs="Arial" w:eastAsia="Arial" w:hAnsi="Arial"/>
                <w:sz w:val="14"/>
                <w:szCs w:val="14"/>
                <w:color w:val="auto"/>
                <w:w w:val="97"/>
              </w:rPr>
              <w:t>Lives</w:t>
            </w:r>
          </w:p>
        </w:tc>
      </w:tr>
      <w:tr>
        <w:trPr>
          <w:trHeight w:val="210"/>
        </w:trPr>
        <w:tc>
          <w:tcPr>
            <w:tcW w:w="60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Customer base</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$59,600,000</w:t>
            </w: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$16,441,044</w:t>
            </w:r>
          </w:p>
        </w:tc>
        <w:tc>
          <w:tcPr>
            <w:tcW w:w="36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$43,158,956</w:t>
            </w:r>
          </w:p>
        </w:tc>
        <w:tc>
          <w:tcPr>
            <w:tcW w:w="36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10-15</w:t>
            </w: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6060" w:type="dxa"/>
            <w:vAlign w:val="bottom"/>
          </w:tcPr>
          <w:p>
            <w:pPr>
              <w:spacing w:after="0"/>
              <w:rPr>
                <w:sz w:val="20"/>
                <w:szCs w:val="20"/>
                <w:color w:val="auto"/>
              </w:rPr>
            </w:pPr>
            <w:r>
              <w:rPr>
                <w:rFonts w:ascii="Arial" w:cs="Arial" w:eastAsia="Arial" w:hAnsi="Arial"/>
                <w:sz w:val="18"/>
                <w:szCs w:val="18"/>
                <w:color w:val="auto"/>
              </w:rPr>
              <w:t>Trade name</w:t>
            </w:r>
          </w:p>
        </w:tc>
        <w:tc>
          <w:tcPr>
            <w:tcW w:w="900" w:type="dxa"/>
            <w:vAlign w:val="bottom"/>
          </w:tcPr>
          <w:p>
            <w:pPr>
              <w:jc w:val="right"/>
              <w:spacing w:after="0"/>
              <w:rPr>
                <w:sz w:val="20"/>
                <w:szCs w:val="20"/>
                <w:color w:val="auto"/>
              </w:rPr>
            </w:pPr>
            <w:r>
              <w:rPr>
                <w:rFonts w:ascii="Arial" w:cs="Arial" w:eastAsia="Arial" w:hAnsi="Arial"/>
                <w:sz w:val="18"/>
                <w:szCs w:val="18"/>
                <w:color w:val="auto"/>
              </w:rPr>
              <w:t>8,815,000</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2,393,316</w:t>
            </w:r>
          </w:p>
        </w:tc>
        <w:tc>
          <w:tcPr>
            <w:tcW w:w="360" w:type="dxa"/>
            <w:vAlign w:val="bottom"/>
          </w:tcPr>
          <w:p>
            <w:pPr>
              <w:spacing w:after="0"/>
              <w:rPr>
                <w:sz w:val="18"/>
                <w:szCs w:val="18"/>
                <w:color w:val="auto"/>
              </w:rPr>
            </w:pPr>
          </w:p>
        </w:tc>
        <w:tc>
          <w:tcPr>
            <w:tcW w:w="1260" w:type="dxa"/>
            <w:vAlign w:val="bottom"/>
            <w:gridSpan w:val="2"/>
          </w:tcPr>
          <w:p>
            <w:pPr>
              <w:jc w:val="right"/>
              <w:ind w:right="360"/>
              <w:spacing w:after="0"/>
              <w:rPr>
                <w:sz w:val="20"/>
                <w:szCs w:val="20"/>
                <w:color w:val="auto"/>
              </w:rPr>
            </w:pPr>
            <w:r>
              <w:rPr>
                <w:rFonts w:ascii="Arial" w:cs="Arial" w:eastAsia="Arial" w:hAnsi="Arial"/>
                <w:sz w:val="18"/>
                <w:szCs w:val="18"/>
                <w:color w:val="auto"/>
              </w:rPr>
              <w:t>6,421,684</w:t>
            </w:r>
          </w:p>
        </w:tc>
        <w:tc>
          <w:tcPr>
            <w:tcW w:w="580" w:type="dxa"/>
            <w:vAlign w:val="bottom"/>
          </w:tcPr>
          <w:p>
            <w:pPr>
              <w:jc w:val="right"/>
              <w:ind w:right="81"/>
              <w:spacing w:after="0"/>
              <w:rPr>
                <w:sz w:val="20"/>
                <w:szCs w:val="20"/>
                <w:color w:val="auto"/>
              </w:rPr>
            </w:pPr>
            <w:r>
              <w:rPr>
                <w:rFonts w:ascii="Arial" w:cs="Arial" w:eastAsia="Arial" w:hAnsi="Arial"/>
                <w:sz w:val="18"/>
                <w:szCs w:val="18"/>
                <w:color w:val="auto"/>
              </w:rPr>
              <w:t>15</w:t>
            </w:r>
          </w:p>
        </w:tc>
        <w:tc>
          <w:tcPr>
            <w:tcW w:w="60" w:type="dxa"/>
            <w:vAlign w:val="bottom"/>
          </w:tcPr>
          <w:p>
            <w:pPr>
              <w:spacing w:after="0"/>
              <w:rPr>
                <w:sz w:val="18"/>
                <w:szCs w:val="18"/>
                <w:color w:val="auto"/>
              </w:rPr>
            </w:pPr>
          </w:p>
        </w:tc>
      </w:tr>
      <w:tr>
        <w:trPr>
          <w:trHeight w:val="27"/>
        </w:trPr>
        <w:tc>
          <w:tcPr>
            <w:tcW w:w="606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580" w:type="dxa"/>
            <w:vAlign w:val="bottom"/>
          </w:tcPr>
          <w:p>
            <w:pPr>
              <w:spacing w:after="0"/>
              <w:rPr>
                <w:sz w:val="2"/>
                <w:szCs w:val="2"/>
                <w:color w:val="auto"/>
              </w:rPr>
            </w:pPr>
          </w:p>
        </w:tc>
        <w:tc>
          <w:tcPr>
            <w:tcW w:w="60" w:type="dxa"/>
            <w:vAlign w:val="bottom"/>
          </w:tcPr>
          <w:p>
            <w:pPr>
              <w:spacing w:after="0"/>
              <w:rPr>
                <w:sz w:val="2"/>
                <w:szCs w:val="2"/>
                <w:color w:val="auto"/>
              </w:rPr>
            </w:pPr>
          </w:p>
        </w:tc>
      </w:tr>
      <w:tr>
        <w:trPr>
          <w:trHeight w:val="216"/>
        </w:trPr>
        <w:tc>
          <w:tcPr>
            <w:tcW w:w="60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other intangible assets</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68,415,000</w:t>
            </w:r>
          </w:p>
        </w:tc>
        <w:tc>
          <w:tcPr>
            <w:tcW w:w="154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18,834,360</w:t>
            </w:r>
          </w:p>
        </w:tc>
        <w:tc>
          <w:tcPr>
            <w:tcW w:w="12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49,580,640</w:t>
            </w:r>
          </w:p>
        </w:tc>
        <w:tc>
          <w:tcPr>
            <w:tcW w:w="5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0"/>
        </w:trPr>
        <w:tc>
          <w:tcPr>
            <w:tcW w:w="606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1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Aggregate amortization expense of intangible assets for the three months ended March 31, 2018 and 2017 was approximately $1,216,000 per period. Future amortization of intangible assets for the years ending December 31, 2018 through 2022 and thereafter is as follows:</w:t>
      </w:r>
    </w:p>
    <w:p>
      <w:pPr>
        <w:spacing w:after="0" w:line="212" w:lineRule="exact"/>
        <w:rPr>
          <w:sz w:val="20"/>
          <w:szCs w:val="20"/>
          <w:color w:val="auto"/>
        </w:rPr>
      </w:pPr>
    </w:p>
    <w:tbl>
      <w:tblPr>
        <w:tblLayout w:type="fixed"/>
        <w:tblInd w:w="1840" w:type="dxa"/>
        <w:tblCellMar>
          <w:top w:w="0" w:type="dxa"/>
          <w:left w:w="0" w:type="dxa"/>
          <w:bottom w:w="0" w:type="dxa"/>
          <w:right w:w="0" w:type="dxa"/>
        </w:tblCellMar>
      </w:tblPr>
      <w:tr>
        <w:trPr>
          <w:trHeight w:val="216"/>
        </w:trPr>
        <w:tc>
          <w:tcPr>
            <w:tcW w:w="2280" w:type="dxa"/>
            <w:vAlign w:val="bottom"/>
            <w:shd w:val="clear" w:color="auto" w:fill="CCEEFF"/>
          </w:tcPr>
          <w:p>
            <w:pPr>
              <w:spacing w:after="0"/>
              <w:rPr>
                <w:sz w:val="20"/>
                <w:szCs w:val="20"/>
                <w:color w:val="auto"/>
              </w:rPr>
            </w:pPr>
            <w:r>
              <w:rPr>
                <w:rFonts w:ascii="Arial" w:cs="Arial" w:eastAsia="Arial" w:hAnsi="Arial"/>
                <w:sz w:val="18"/>
                <w:szCs w:val="18"/>
                <w:color w:val="auto"/>
              </w:rPr>
              <w:t>2018</w:t>
            </w:r>
          </w:p>
        </w:tc>
        <w:tc>
          <w:tcPr>
            <w:tcW w:w="4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3,648,251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80" w:type="dxa"/>
            <w:vAlign w:val="bottom"/>
          </w:tcPr>
          <w:p>
            <w:pPr>
              <w:spacing w:after="0"/>
              <w:rPr>
                <w:sz w:val="20"/>
                <w:szCs w:val="20"/>
                <w:color w:val="auto"/>
              </w:rPr>
            </w:pPr>
            <w:r>
              <w:rPr>
                <w:rFonts w:ascii="Arial" w:cs="Arial" w:eastAsia="Arial" w:hAnsi="Arial"/>
                <w:sz w:val="18"/>
                <w:szCs w:val="18"/>
                <w:color w:val="auto"/>
              </w:rPr>
              <w:t>2019</w:t>
            </w:r>
          </w:p>
        </w:tc>
        <w:tc>
          <w:tcPr>
            <w:tcW w:w="4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99"/>
              </w:rPr>
              <w:t>4,864,334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80" w:type="dxa"/>
            <w:vAlign w:val="bottom"/>
            <w:shd w:val="clear" w:color="auto" w:fill="CCEEFF"/>
          </w:tcPr>
          <w:p>
            <w:pPr>
              <w:spacing w:after="0"/>
              <w:rPr>
                <w:sz w:val="20"/>
                <w:szCs w:val="20"/>
                <w:color w:val="auto"/>
              </w:rPr>
            </w:pPr>
            <w:r>
              <w:rPr>
                <w:rFonts w:ascii="Arial" w:cs="Arial" w:eastAsia="Arial" w:hAnsi="Arial"/>
                <w:sz w:val="18"/>
                <w:szCs w:val="18"/>
                <w:color w:val="auto"/>
              </w:rPr>
              <w:t>2020</w:t>
            </w:r>
          </w:p>
        </w:tc>
        <w:tc>
          <w:tcPr>
            <w:tcW w:w="4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4,864,334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80" w:type="dxa"/>
            <w:vAlign w:val="bottom"/>
          </w:tcPr>
          <w:p>
            <w:pPr>
              <w:spacing w:after="0"/>
              <w:rPr>
                <w:sz w:val="20"/>
                <w:szCs w:val="20"/>
                <w:color w:val="auto"/>
              </w:rPr>
            </w:pPr>
            <w:r>
              <w:rPr>
                <w:rFonts w:ascii="Arial" w:cs="Arial" w:eastAsia="Arial" w:hAnsi="Arial"/>
                <w:sz w:val="18"/>
                <w:szCs w:val="18"/>
                <w:color w:val="auto"/>
              </w:rPr>
              <w:t>2021</w:t>
            </w:r>
          </w:p>
        </w:tc>
        <w:tc>
          <w:tcPr>
            <w:tcW w:w="4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99"/>
              </w:rPr>
              <w:t>4,864,334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80" w:type="dxa"/>
            <w:vAlign w:val="bottom"/>
            <w:shd w:val="clear" w:color="auto" w:fill="CCEEFF"/>
          </w:tcPr>
          <w:p>
            <w:pPr>
              <w:spacing w:after="0"/>
              <w:rPr>
                <w:sz w:val="20"/>
                <w:szCs w:val="20"/>
                <w:color w:val="auto"/>
              </w:rPr>
            </w:pPr>
            <w:r>
              <w:rPr>
                <w:rFonts w:ascii="Arial" w:cs="Arial" w:eastAsia="Arial" w:hAnsi="Arial"/>
                <w:sz w:val="18"/>
                <w:szCs w:val="18"/>
                <w:color w:val="auto"/>
              </w:rPr>
              <w:t>2022</w:t>
            </w:r>
          </w:p>
        </w:tc>
        <w:tc>
          <w:tcPr>
            <w:tcW w:w="4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4,864,334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280" w:type="dxa"/>
            <w:vAlign w:val="bottom"/>
          </w:tcPr>
          <w:p>
            <w:pPr>
              <w:spacing w:after="0"/>
              <w:rPr>
                <w:sz w:val="20"/>
                <w:szCs w:val="20"/>
                <w:color w:val="auto"/>
              </w:rPr>
            </w:pPr>
            <w:r>
              <w:rPr>
                <w:rFonts w:ascii="Arial" w:cs="Arial" w:eastAsia="Arial" w:hAnsi="Arial"/>
                <w:sz w:val="18"/>
                <w:szCs w:val="18"/>
                <w:color w:val="auto"/>
              </w:rPr>
              <w:t>Thereafter</w:t>
            </w:r>
          </w:p>
        </w:tc>
        <w:tc>
          <w:tcPr>
            <w:tcW w:w="45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8"/>
              </w:rPr>
              <w:t>25,258,970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280" w:type="dxa"/>
            <w:vAlign w:val="bottom"/>
            <w:shd w:val="clear" w:color="auto" w:fill="CCEEFF"/>
          </w:tcPr>
          <w:p>
            <w:pPr>
              <w:spacing w:after="0"/>
              <w:rPr>
                <w:sz w:val="18"/>
                <w:szCs w:val="18"/>
                <w:color w:val="auto"/>
              </w:rPr>
            </w:pPr>
          </w:p>
        </w:tc>
        <w:tc>
          <w:tcPr>
            <w:tcW w:w="460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48,364,557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280" w:type="dxa"/>
            <w:vAlign w:val="bottom"/>
          </w:tcPr>
          <w:p>
            <w:pPr>
              <w:spacing w:after="0" w:line="20" w:lineRule="exact"/>
              <w:rPr>
                <w:sz w:val="1"/>
                <w:szCs w:val="1"/>
                <w:color w:val="auto"/>
              </w:rPr>
            </w:pPr>
          </w:p>
        </w:tc>
        <w:tc>
          <w:tcPr>
            <w:tcW w:w="4520" w:type="dxa"/>
            <w:vAlign w:val="bottom"/>
            <w:vMerge w:val="restart"/>
          </w:tcPr>
          <w:p>
            <w:pPr>
              <w:jc w:val="right"/>
              <w:ind w:right="2790"/>
              <w:spacing w:after="0"/>
              <w:rPr>
                <w:sz w:val="20"/>
                <w:szCs w:val="20"/>
                <w:color w:val="auto"/>
              </w:rPr>
            </w:pPr>
            <w:r>
              <w:rPr>
                <w:rFonts w:ascii="Arial" w:cs="Arial" w:eastAsia="Arial" w:hAnsi="Arial"/>
                <w:sz w:val="18"/>
                <w:szCs w:val="18"/>
                <w:color w:val="auto"/>
              </w:rPr>
              <w:t>8</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280" w:type="dxa"/>
            <w:vAlign w:val="bottom"/>
          </w:tcPr>
          <w:p>
            <w:pPr>
              <w:spacing w:after="0"/>
              <w:rPr>
                <w:sz w:val="24"/>
                <w:szCs w:val="24"/>
                <w:color w:val="auto"/>
              </w:rPr>
            </w:pPr>
          </w:p>
        </w:tc>
        <w:tc>
          <w:tcPr>
            <w:tcW w:w="4520" w:type="dxa"/>
            <w:vAlign w:val="bottom"/>
            <w:vMerge w:val="continue"/>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240" w:top="270" w:right="419" w:bottom="1440" w:gutter="0" w:footer="0" w:header="0"/>
        </w:sectPr>
      </w:pPr>
    </w:p>
    <w:bookmarkStart w:id="36" w:name="page37"/>
    <w:bookmarkEnd w:id="36"/>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PMG Intermediate Holding Corporation and Subsidiaries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206375</wp:posOffset>
            </wp:positionV>
            <wp:extent cx="7246620"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Line of Credit and Long-Term Debt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Long-term debt for the period ended March 31, 2018 and the year ended December 31, 2017 is as follows: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3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10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gridSpan w:val="4"/>
          </w:tcPr>
          <w:p>
            <w:pPr>
              <w:jc w:val="right"/>
              <w:ind w:right="190"/>
              <w:spacing w:after="0"/>
              <w:rPr>
                <w:sz w:val="20"/>
                <w:szCs w:val="20"/>
                <w:color w:val="auto"/>
              </w:rPr>
            </w:pPr>
            <w:r>
              <w:rPr>
                <w:rFonts w:ascii="Arial" w:cs="Arial" w:eastAsia="Arial" w:hAnsi="Arial"/>
                <w:sz w:val="14"/>
                <w:szCs w:val="14"/>
                <w:color w:val="auto"/>
              </w:rPr>
              <w:t>March 31,</w:t>
            </w:r>
          </w:p>
        </w:tc>
        <w:tc>
          <w:tcPr>
            <w:tcW w:w="320" w:type="dxa"/>
            <w:vAlign w:val="bottom"/>
          </w:tcPr>
          <w:p>
            <w:pPr>
              <w:spacing w:after="0"/>
              <w:rPr>
                <w:sz w:val="14"/>
                <w:szCs w:val="14"/>
                <w:color w:val="auto"/>
              </w:rPr>
            </w:pPr>
          </w:p>
        </w:tc>
        <w:tc>
          <w:tcPr>
            <w:tcW w:w="1020" w:type="dxa"/>
            <w:vAlign w:val="bottom"/>
            <w:gridSpan w:val="4"/>
          </w:tcPr>
          <w:p>
            <w:pPr>
              <w:jc w:val="right"/>
              <w:ind w:right="160"/>
              <w:spacing w:after="0"/>
              <w:rPr>
                <w:sz w:val="20"/>
                <w:szCs w:val="20"/>
                <w:color w:val="auto"/>
              </w:rPr>
            </w:pPr>
            <w:r>
              <w:rPr>
                <w:rFonts w:ascii="Arial" w:cs="Arial" w:eastAsia="Arial" w:hAnsi="Arial"/>
                <w:sz w:val="14"/>
                <w:szCs w:val="14"/>
                <w:color w:val="auto"/>
                <w:w w:val="95"/>
              </w:rPr>
              <w:t>December 31,</w:t>
            </w:r>
          </w:p>
        </w:tc>
        <w:tc>
          <w:tcPr>
            <w:tcW w:w="0" w:type="dxa"/>
            <w:vAlign w:val="bottom"/>
          </w:tcPr>
          <w:p>
            <w:pPr>
              <w:spacing w:after="0"/>
              <w:rPr>
                <w:sz w:val="1"/>
                <w:szCs w:val="1"/>
                <w:color w:val="auto"/>
              </w:rPr>
            </w:pPr>
          </w:p>
        </w:tc>
      </w:tr>
      <w:tr>
        <w:trPr>
          <w:trHeight w:val="167"/>
        </w:trPr>
        <w:tc>
          <w:tcPr>
            <w:tcW w:w="1380" w:type="dxa"/>
            <w:vAlign w:val="bottom"/>
          </w:tcPr>
          <w:p>
            <w:pPr>
              <w:spacing w:after="0"/>
              <w:rPr>
                <w:sz w:val="14"/>
                <w:szCs w:val="14"/>
                <w:color w:val="auto"/>
              </w:rPr>
            </w:pPr>
          </w:p>
        </w:tc>
        <w:tc>
          <w:tcPr>
            <w:tcW w:w="460" w:type="dxa"/>
            <w:vAlign w:val="bottom"/>
            <w:tcBorders>
              <w:bottom w:val="single" w:sz="8" w:color="CCEEFF"/>
            </w:tcBorders>
          </w:tcPr>
          <w:p>
            <w:pPr>
              <w:spacing w:after="0"/>
              <w:rPr>
                <w:sz w:val="14"/>
                <w:szCs w:val="14"/>
                <w:color w:val="auto"/>
              </w:rPr>
            </w:pPr>
          </w:p>
        </w:tc>
        <w:tc>
          <w:tcPr>
            <w:tcW w:w="4100" w:type="dxa"/>
            <w:vAlign w:val="bottom"/>
            <w:tcBorders>
              <w:bottom w:val="single" w:sz="8" w:color="CCEEFF"/>
            </w:tcBorders>
          </w:tcPr>
          <w:p>
            <w:pPr>
              <w:spacing w:after="0"/>
              <w:rPr>
                <w:sz w:val="14"/>
                <w:szCs w:val="14"/>
                <w:color w:val="auto"/>
              </w:rPr>
            </w:pPr>
          </w:p>
        </w:tc>
        <w:tc>
          <w:tcPr>
            <w:tcW w:w="176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234"/>
              <w:spacing w:after="0"/>
              <w:rPr>
                <w:sz w:val="20"/>
                <w:szCs w:val="20"/>
                <w:color w:val="auto"/>
              </w:rPr>
            </w:pPr>
            <w:r>
              <w:rPr>
                <w:rFonts w:ascii="Arial" w:cs="Arial" w:eastAsia="Arial" w:hAnsi="Arial"/>
                <w:sz w:val="14"/>
                <w:szCs w:val="14"/>
                <w:color w:val="auto"/>
              </w:rPr>
              <w:t>2018</w:t>
            </w:r>
          </w:p>
        </w:tc>
        <w:tc>
          <w:tcPr>
            <w:tcW w:w="4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60" w:type="dxa"/>
            <w:vAlign w:val="bottom"/>
            <w:tcBorders>
              <w:bottom w:val="single" w:sz="8" w:color="CCEEFF"/>
            </w:tcBorders>
          </w:tcPr>
          <w:p>
            <w:pPr>
              <w:spacing w:after="0"/>
              <w:rPr>
                <w:sz w:val="14"/>
                <w:szCs w:val="14"/>
                <w:color w:val="auto"/>
              </w:rPr>
            </w:pPr>
          </w:p>
        </w:tc>
        <w:tc>
          <w:tcPr>
            <w:tcW w:w="32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gridSpan w:val="2"/>
          </w:tcPr>
          <w:p>
            <w:pPr>
              <w:jc w:val="right"/>
              <w:ind w:right="210"/>
              <w:spacing w:after="0"/>
              <w:rPr>
                <w:sz w:val="20"/>
                <w:szCs w:val="20"/>
                <w:color w:val="auto"/>
              </w:rPr>
            </w:pPr>
            <w:r>
              <w:rPr>
                <w:rFonts w:ascii="Arial" w:cs="Arial" w:eastAsia="Arial" w:hAnsi="Arial"/>
                <w:sz w:val="14"/>
                <w:szCs w:val="14"/>
                <w:color w:val="auto"/>
              </w:rPr>
              <w:t>2017</w:t>
            </w:r>
          </w:p>
        </w:tc>
        <w:tc>
          <w:tcPr>
            <w:tcW w:w="12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1380" w:type="dxa"/>
            <w:vAlign w:val="bottom"/>
          </w:tcPr>
          <w:p>
            <w:pPr>
              <w:spacing w:after="0"/>
              <w:rPr>
                <w:sz w:val="18"/>
                <w:szCs w:val="18"/>
                <w:color w:val="auto"/>
              </w:rPr>
            </w:pPr>
          </w:p>
        </w:tc>
        <w:tc>
          <w:tcPr>
            <w:tcW w:w="4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Revolving line of credit</w:t>
            </w:r>
          </w:p>
        </w:tc>
        <w:tc>
          <w:tcPr>
            <w:tcW w:w="176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2,000,000</w:t>
            </w: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tcBorders>
              <w:right w:val="single" w:sz="8" w:color="CCEEFF"/>
            </w:tcBorders>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380" w:type="dxa"/>
            <w:vAlign w:val="bottom"/>
          </w:tcPr>
          <w:p>
            <w:pPr>
              <w:spacing w:after="0"/>
              <w:rPr>
                <w:sz w:val="19"/>
                <w:szCs w:val="19"/>
                <w:color w:val="auto"/>
              </w:rPr>
            </w:pPr>
          </w:p>
        </w:tc>
        <w:tc>
          <w:tcPr>
            <w:tcW w:w="4560" w:type="dxa"/>
            <w:vAlign w:val="bottom"/>
            <w:gridSpan w:val="2"/>
          </w:tcPr>
          <w:p>
            <w:pPr>
              <w:spacing w:after="0"/>
              <w:rPr>
                <w:sz w:val="20"/>
                <w:szCs w:val="20"/>
                <w:color w:val="auto"/>
              </w:rPr>
            </w:pPr>
            <w:r>
              <w:rPr>
                <w:rFonts w:ascii="Arial" w:cs="Arial" w:eastAsia="Arial" w:hAnsi="Arial"/>
                <w:sz w:val="18"/>
                <w:szCs w:val="18"/>
                <w:color w:val="auto"/>
              </w:rPr>
              <w:t>Term loans</w:t>
            </w:r>
          </w:p>
        </w:tc>
        <w:tc>
          <w:tcPr>
            <w:tcW w:w="176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8"/>
              </w:rPr>
              <w:t>85,810,000</w:t>
            </w: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88"/>
              </w:rPr>
              <w:t>86,030,000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10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87,810,000</w:t>
            </w: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8"/>
              </w:rPr>
              <w:t>86,030,000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4560" w:type="dxa"/>
            <w:vAlign w:val="bottom"/>
            <w:gridSpan w:val="2"/>
          </w:tcPr>
          <w:p>
            <w:pPr>
              <w:spacing w:after="0"/>
              <w:rPr>
                <w:sz w:val="20"/>
                <w:szCs w:val="20"/>
                <w:color w:val="auto"/>
              </w:rPr>
            </w:pPr>
            <w:r>
              <w:rPr>
                <w:rFonts w:ascii="Arial" w:cs="Arial" w:eastAsia="Arial" w:hAnsi="Arial"/>
                <w:sz w:val="18"/>
                <w:szCs w:val="18"/>
                <w:color w:val="auto"/>
              </w:rPr>
              <w:t>Less deferred financing costs</w:t>
            </w:r>
          </w:p>
        </w:tc>
        <w:tc>
          <w:tcPr>
            <w:tcW w:w="1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4560" w:type="dxa"/>
            <w:vAlign w:val="bottom"/>
            <w:gridSpan w:val="2"/>
            <w:shd w:val="clear" w:color="auto" w:fill="CCEEFF"/>
          </w:tcPr>
          <w:p>
            <w:pPr>
              <w:jc w:val="right"/>
              <w:ind w:right="1670"/>
              <w:spacing w:after="0"/>
              <w:rPr>
                <w:sz w:val="20"/>
                <w:szCs w:val="20"/>
                <w:color w:val="auto"/>
              </w:rPr>
            </w:pPr>
            <w:r>
              <w:rPr>
                <w:rFonts w:ascii="Arial" w:cs="Arial" w:eastAsia="Arial" w:hAnsi="Arial"/>
                <w:sz w:val="18"/>
                <w:szCs w:val="18"/>
                <w:color w:val="auto"/>
              </w:rPr>
              <w:t>(net of accumulated amortization)</w:t>
            </w:r>
          </w:p>
        </w:tc>
        <w:tc>
          <w:tcPr>
            <w:tcW w:w="17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w w:val="93"/>
              </w:rPr>
              <w:t>(1,994,320)</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w w:val="93"/>
              </w:rPr>
              <w:t>(2,137,639)</w:t>
            </w: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4560" w:type="dxa"/>
            <w:vAlign w:val="bottom"/>
            <w:gridSpan w:val="2"/>
          </w:tcPr>
          <w:p>
            <w:pPr>
              <w:spacing w:after="0"/>
              <w:rPr>
                <w:sz w:val="20"/>
                <w:szCs w:val="20"/>
                <w:color w:val="auto"/>
              </w:rPr>
            </w:pPr>
            <w:r>
              <w:rPr>
                <w:rFonts w:ascii="Arial" w:cs="Arial" w:eastAsia="Arial" w:hAnsi="Arial"/>
                <w:sz w:val="18"/>
                <w:szCs w:val="18"/>
                <w:color w:val="auto"/>
              </w:rPr>
              <w:t>Less current maturities</w:t>
            </w:r>
          </w:p>
        </w:tc>
        <w:tc>
          <w:tcPr>
            <w:tcW w:w="1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gridSpan w:val="4"/>
          </w:tcPr>
          <w:p>
            <w:pPr>
              <w:jc w:val="right"/>
              <w:spacing w:after="0"/>
              <w:rPr>
                <w:sz w:val="20"/>
                <w:szCs w:val="20"/>
                <w:color w:val="auto"/>
              </w:rPr>
            </w:pPr>
            <w:r>
              <w:rPr>
                <w:rFonts w:ascii="Arial" w:cs="Arial" w:eastAsia="Arial" w:hAnsi="Arial"/>
                <w:sz w:val="18"/>
                <w:szCs w:val="18"/>
                <w:color w:val="auto"/>
              </w:rPr>
              <w:t>(880,000)</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gridSpan w:val="3"/>
          </w:tcPr>
          <w:p>
            <w:pPr>
              <w:jc w:val="right"/>
              <w:ind w:right="60"/>
              <w:spacing w:after="0"/>
              <w:rPr>
                <w:sz w:val="20"/>
                <w:szCs w:val="20"/>
                <w:color w:val="auto"/>
              </w:rPr>
            </w:pPr>
            <w:r>
              <w:rPr>
                <w:rFonts w:ascii="Arial" w:cs="Arial" w:eastAsia="Arial" w:hAnsi="Arial"/>
                <w:sz w:val="18"/>
                <w:szCs w:val="18"/>
                <w:color w:val="auto"/>
              </w:rPr>
              <w:t>(880,000)</w:t>
            </w:r>
          </w:p>
        </w:tc>
        <w:tc>
          <w:tcPr>
            <w:tcW w:w="0" w:type="dxa"/>
            <w:vAlign w:val="bottom"/>
          </w:tcPr>
          <w:p>
            <w:pPr>
              <w:spacing w:after="0"/>
              <w:rPr>
                <w:sz w:val="1"/>
                <w:szCs w:val="1"/>
                <w:color w:val="auto"/>
              </w:rPr>
            </w:pPr>
          </w:p>
        </w:tc>
      </w:tr>
      <w:tr>
        <w:trPr>
          <w:trHeight w:val="27"/>
        </w:trPr>
        <w:tc>
          <w:tcPr>
            <w:tcW w:w="1380" w:type="dxa"/>
            <w:vAlign w:val="bottom"/>
          </w:tcPr>
          <w:p>
            <w:pPr>
              <w:spacing w:after="0"/>
              <w:rPr>
                <w:sz w:val="2"/>
                <w:szCs w:val="2"/>
                <w:color w:val="auto"/>
              </w:rPr>
            </w:pPr>
          </w:p>
        </w:tc>
        <w:tc>
          <w:tcPr>
            <w:tcW w:w="460" w:type="dxa"/>
            <w:vAlign w:val="bottom"/>
          </w:tcPr>
          <w:p>
            <w:pPr>
              <w:spacing w:after="0"/>
              <w:rPr>
                <w:sz w:val="2"/>
                <w:szCs w:val="2"/>
                <w:color w:val="auto"/>
              </w:rPr>
            </w:pPr>
          </w:p>
        </w:tc>
        <w:tc>
          <w:tcPr>
            <w:tcW w:w="4100" w:type="dxa"/>
            <w:vAlign w:val="bottom"/>
          </w:tcPr>
          <w:p>
            <w:pPr>
              <w:spacing w:after="0"/>
              <w:rPr>
                <w:sz w:val="2"/>
                <w:szCs w:val="2"/>
                <w:color w:val="auto"/>
              </w:rPr>
            </w:pPr>
          </w:p>
        </w:tc>
        <w:tc>
          <w:tcPr>
            <w:tcW w:w="17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80" w:type="dxa"/>
            <w:vAlign w:val="bottom"/>
            <w:tcBorders>
              <w:right w:val="single" w:sz="8" w:color="auto"/>
            </w:tcBorders>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1380" w:type="dxa"/>
            <w:vAlign w:val="bottom"/>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100" w:type="dxa"/>
            <w:vAlign w:val="bottom"/>
            <w:shd w:val="clear" w:color="auto" w:fill="CCEEFF"/>
          </w:tcPr>
          <w:p>
            <w:pPr>
              <w:spacing w:after="0"/>
              <w:rPr>
                <w:sz w:val="18"/>
                <w:szCs w:val="18"/>
                <w:color w:val="auto"/>
              </w:rPr>
            </w:pPr>
          </w:p>
        </w:tc>
        <w:tc>
          <w:tcPr>
            <w:tcW w:w="184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84,935,680</w:t>
            </w: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8"/>
              </w:rPr>
              <w:t>83,012,361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940" w:type="dxa"/>
            <w:vAlign w:val="bottom"/>
            <w:gridSpan w:val="3"/>
            <w:vMerge w:val="restart"/>
          </w:tcPr>
          <w:p>
            <w:pPr>
              <w:jc w:val="right"/>
              <w:ind w:right="2710"/>
              <w:spacing w:after="0"/>
              <w:rPr>
                <w:sz w:val="20"/>
                <w:szCs w:val="20"/>
                <w:color w:val="auto"/>
              </w:rPr>
            </w:pPr>
            <w:r>
              <w:rPr>
                <w:rFonts w:ascii="Arial" w:cs="Arial" w:eastAsia="Arial" w:hAnsi="Arial"/>
                <w:sz w:val="18"/>
                <w:szCs w:val="18"/>
                <w:color w:val="auto"/>
                <w:w w:val="91"/>
              </w:rPr>
              <w:t>Maturities of long-term debt are as follows:</w:t>
            </w:r>
          </w:p>
        </w:tc>
        <w:tc>
          <w:tcPr>
            <w:tcW w:w="17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5940" w:type="dxa"/>
            <w:vAlign w:val="bottom"/>
            <w:gridSpan w:val="3"/>
            <w:vMerge w:val="continue"/>
          </w:tcPr>
          <w:p>
            <w:pPr>
              <w:spacing w:after="0"/>
              <w:rPr>
                <w:sz w:val="24"/>
                <w:szCs w:val="24"/>
                <w:color w:val="auto"/>
              </w:rPr>
            </w:pPr>
          </w:p>
        </w:tc>
        <w:tc>
          <w:tcPr>
            <w:tcW w:w="1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1840" w:type="dxa"/>
            <w:vAlign w:val="bottom"/>
            <w:gridSpan w:val="2"/>
            <w:vMerge w:val="restart"/>
          </w:tcPr>
          <w:p>
            <w:pPr>
              <w:spacing w:after="0"/>
              <w:rPr>
                <w:sz w:val="21"/>
                <w:szCs w:val="21"/>
                <w:color w:val="auto"/>
              </w:rPr>
            </w:pPr>
          </w:p>
        </w:tc>
        <w:tc>
          <w:tcPr>
            <w:tcW w:w="4100" w:type="dxa"/>
            <w:vAlign w:val="bottom"/>
          </w:tcPr>
          <w:p>
            <w:pPr>
              <w:spacing w:after="0"/>
              <w:rPr>
                <w:sz w:val="21"/>
                <w:szCs w:val="21"/>
                <w:color w:val="auto"/>
              </w:rPr>
            </w:pPr>
          </w:p>
        </w:tc>
        <w:tc>
          <w:tcPr>
            <w:tcW w:w="17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60" w:type="dxa"/>
            <w:vAlign w:val="bottom"/>
            <w:gridSpan w:val="2"/>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80" w:type="dxa"/>
            <w:vAlign w:val="bottom"/>
            <w:gridSpan w:val="3"/>
          </w:tcPr>
          <w:p>
            <w:pPr>
              <w:spacing w:after="0"/>
              <w:rPr>
                <w:sz w:val="21"/>
                <w:szCs w:val="21"/>
                <w:color w:val="auto"/>
              </w:rPr>
            </w:pPr>
          </w:p>
        </w:tc>
        <w:tc>
          <w:tcPr>
            <w:tcW w:w="3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1840" w:type="dxa"/>
            <w:vAlign w:val="bottom"/>
            <w:gridSpan w:val="2"/>
            <w:vMerge w:val="continue"/>
          </w:tcPr>
          <w:p>
            <w:pPr>
              <w:spacing w:after="0"/>
              <w:rPr>
                <w:sz w:val="18"/>
                <w:szCs w:val="18"/>
                <w:color w:val="auto"/>
              </w:rPr>
            </w:pPr>
          </w:p>
        </w:tc>
        <w:tc>
          <w:tcPr>
            <w:tcW w:w="4100" w:type="dxa"/>
            <w:vAlign w:val="bottom"/>
            <w:shd w:val="clear" w:color="auto" w:fill="CCEEFF"/>
          </w:tcPr>
          <w:p>
            <w:pPr>
              <w:jc w:val="right"/>
              <w:ind w:right="3650"/>
              <w:spacing w:after="0"/>
              <w:rPr>
                <w:sz w:val="20"/>
                <w:szCs w:val="20"/>
                <w:color w:val="auto"/>
              </w:rPr>
            </w:pPr>
            <w:r>
              <w:rPr>
                <w:rFonts w:ascii="Arial" w:cs="Arial" w:eastAsia="Arial" w:hAnsi="Arial"/>
                <w:sz w:val="18"/>
                <w:szCs w:val="18"/>
                <w:color w:val="auto"/>
                <w:w w:val="84"/>
              </w:rPr>
              <w:t>2018</w:t>
            </w:r>
          </w:p>
        </w:tc>
        <w:tc>
          <w:tcPr>
            <w:tcW w:w="17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tcBorders>
              <w:right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880,000</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40" w:type="dxa"/>
            <w:vAlign w:val="bottom"/>
            <w:gridSpan w:val="2"/>
          </w:tcPr>
          <w:p>
            <w:pPr>
              <w:spacing w:after="0"/>
              <w:rPr>
                <w:sz w:val="18"/>
                <w:szCs w:val="18"/>
                <w:color w:val="auto"/>
              </w:rPr>
            </w:pPr>
          </w:p>
        </w:tc>
        <w:tc>
          <w:tcPr>
            <w:tcW w:w="4100" w:type="dxa"/>
            <w:vAlign w:val="bottom"/>
          </w:tcPr>
          <w:p>
            <w:pPr>
              <w:jc w:val="right"/>
              <w:ind w:right="3650"/>
              <w:spacing w:after="0"/>
              <w:rPr>
                <w:sz w:val="20"/>
                <w:szCs w:val="20"/>
                <w:color w:val="auto"/>
              </w:rPr>
            </w:pPr>
            <w:r>
              <w:rPr>
                <w:rFonts w:ascii="Arial" w:cs="Arial" w:eastAsia="Arial" w:hAnsi="Arial"/>
                <w:sz w:val="18"/>
                <w:szCs w:val="18"/>
                <w:color w:val="auto"/>
                <w:w w:val="84"/>
              </w:rPr>
              <w:t>2019</w:t>
            </w:r>
          </w:p>
        </w:tc>
        <w:tc>
          <w:tcPr>
            <w:tcW w:w="1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80" w:type="dxa"/>
            <w:vAlign w:val="bottom"/>
            <w:gridSpan w:val="3"/>
          </w:tcPr>
          <w:p>
            <w:pPr>
              <w:jc w:val="right"/>
              <w:spacing w:after="0"/>
              <w:rPr>
                <w:sz w:val="20"/>
                <w:szCs w:val="20"/>
                <w:color w:val="auto"/>
              </w:rPr>
            </w:pPr>
            <w:r>
              <w:rPr>
                <w:rFonts w:ascii="Arial" w:cs="Arial" w:eastAsia="Arial" w:hAnsi="Arial"/>
                <w:sz w:val="18"/>
                <w:szCs w:val="18"/>
                <w:color w:val="auto"/>
              </w:rPr>
              <w:t>880,000</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40" w:type="dxa"/>
            <w:vAlign w:val="bottom"/>
            <w:gridSpan w:val="2"/>
          </w:tcPr>
          <w:p>
            <w:pPr>
              <w:spacing w:after="0"/>
              <w:rPr>
                <w:sz w:val="18"/>
                <w:szCs w:val="18"/>
                <w:color w:val="auto"/>
              </w:rPr>
            </w:pPr>
          </w:p>
        </w:tc>
        <w:tc>
          <w:tcPr>
            <w:tcW w:w="4100" w:type="dxa"/>
            <w:vAlign w:val="bottom"/>
            <w:shd w:val="clear" w:color="auto" w:fill="CCEEFF"/>
          </w:tcPr>
          <w:p>
            <w:pPr>
              <w:jc w:val="right"/>
              <w:ind w:right="3650"/>
              <w:spacing w:after="0"/>
              <w:rPr>
                <w:sz w:val="20"/>
                <w:szCs w:val="20"/>
                <w:color w:val="auto"/>
              </w:rPr>
            </w:pPr>
            <w:r>
              <w:rPr>
                <w:rFonts w:ascii="Arial" w:cs="Arial" w:eastAsia="Arial" w:hAnsi="Arial"/>
                <w:sz w:val="18"/>
                <w:szCs w:val="18"/>
                <w:color w:val="auto"/>
                <w:w w:val="84"/>
              </w:rPr>
              <w:t>2020</w:t>
            </w:r>
          </w:p>
        </w:tc>
        <w:tc>
          <w:tcPr>
            <w:tcW w:w="17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80" w:type="dxa"/>
            <w:vAlign w:val="bottom"/>
            <w:tcBorders>
              <w:right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880,000</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40" w:type="dxa"/>
            <w:vAlign w:val="bottom"/>
            <w:gridSpan w:val="2"/>
          </w:tcPr>
          <w:p>
            <w:pPr>
              <w:spacing w:after="0"/>
              <w:rPr>
                <w:sz w:val="18"/>
                <w:szCs w:val="18"/>
                <w:color w:val="auto"/>
              </w:rPr>
            </w:pPr>
          </w:p>
        </w:tc>
        <w:tc>
          <w:tcPr>
            <w:tcW w:w="4100" w:type="dxa"/>
            <w:vAlign w:val="bottom"/>
          </w:tcPr>
          <w:p>
            <w:pPr>
              <w:jc w:val="right"/>
              <w:ind w:right="3650"/>
              <w:spacing w:after="0"/>
              <w:rPr>
                <w:sz w:val="20"/>
                <w:szCs w:val="20"/>
                <w:color w:val="auto"/>
              </w:rPr>
            </w:pPr>
            <w:r>
              <w:rPr>
                <w:rFonts w:ascii="Arial" w:cs="Arial" w:eastAsia="Arial" w:hAnsi="Arial"/>
                <w:sz w:val="18"/>
                <w:szCs w:val="18"/>
                <w:color w:val="auto"/>
                <w:w w:val="84"/>
              </w:rPr>
              <w:t>2021</w:t>
            </w:r>
          </w:p>
        </w:tc>
        <w:tc>
          <w:tcPr>
            <w:tcW w:w="1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80" w:type="dxa"/>
            <w:vAlign w:val="bottom"/>
            <w:gridSpan w:val="3"/>
          </w:tcPr>
          <w:p>
            <w:pPr>
              <w:jc w:val="right"/>
              <w:spacing w:after="0"/>
              <w:rPr>
                <w:sz w:val="20"/>
                <w:szCs w:val="20"/>
                <w:color w:val="auto"/>
              </w:rPr>
            </w:pPr>
            <w:r>
              <w:rPr>
                <w:rFonts w:ascii="Arial" w:cs="Arial" w:eastAsia="Arial" w:hAnsi="Arial"/>
                <w:sz w:val="18"/>
                <w:szCs w:val="18"/>
                <w:color w:val="auto"/>
              </w:rPr>
              <w:t>880,000</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40" w:type="dxa"/>
            <w:vAlign w:val="bottom"/>
            <w:gridSpan w:val="2"/>
          </w:tcPr>
          <w:p>
            <w:pPr>
              <w:spacing w:after="0"/>
              <w:rPr>
                <w:sz w:val="18"/>
                <w:szCs w:val="18"/>
                <w:color w:val="auto"/>
              </w:rPr>
            </w:pPr>
          </w:p>
        </w:tc>
        <w:tc>
          <w:tcPr>
            <w:tcW w:w="4100" w:type="dxa"/>
            <w:vAlign w:val="bottom"/>
            <w:shd w:val="clear" w:color="auto" w:fill="CCEEFF"/>
          </w:tcPr>
          <w:p>
            <w:pPr>
              <w:jc w:val="right"/>
              <w:ind w:right="3650"/>
              <w:spacing w:after="0"/>
              <w:rPr>
                <w:sz w:val="20"/>
                <w:szCs w:val="20"/>
                <w:color w:val="auto"/>
              </w:rPr>
            </w:pPr>
            <w:r>
              <w:rPr>
                <w:rFonts w:ascii="Arial" w:cs="Arial" w:eastAsia="Arial" w:hAnsi="Arial"/>
                <w:sz w:val="18"/>
                <w:szCs w:val="18"/>
                <w:color w:val="auto"/>
                <w:w w:val="84"/>
              </w:rPr>
              <w:t>2022</w:t>
            </w:r>
          </w:p>
        </w:tc>
        <w:tc>
          <w:tcPr>
            <w:tcW w:w="17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right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w w:val="88"/>
              </w:rPr>
              <w:t>84,290,000</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3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10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60" w:type="dxa"/>
            <w:vAlign w:val="bottom"/>
            <w:gridSpan w:val="2"/>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u w:val="single" w:color="auto"/>
                <w:color w:val="auto"/>
                <w:w w:val="85"/>
              </w:rPr>
              <w:t>$</w:t>
            </w:r>
            <w:r>
              <w:rPr>
                <w:rFonts w:ascii="Arial" w:cs="Arial" w:eastAsia="Arial" w:hAnsi="Arial"/>
                <w:sz w:val="18"/>
                <w:szCs w:val="18"/>
                <w:color w:val="auto"/>
                <w:w w:val="85"/>
              </w:rPr>
              <w:t>87,810,000</w:t>
            </w: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3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10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Operating Leases</w:t>
      </w:r>
    </w:p>
    <w:p>
      <w:pPr>
        <w:spacing w:after="0" w:line="12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Company leases facilities under operating leases, which expire at various dates through December 2028. Monthly lease payments range from $1,696 to $44,333 per month. The Company is required to pay all taxes, insurance, repairs and maintenance on the leased premises. In addition, the leases include various options to extend the lease terms. The Company also leases vehicles and equipment under operating leases, which expire at various dates through December 2018. Monthly lease payments range from $38 to $5,000 per month.</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800" w:type="dxa"/>
            <w:vAlign w:val="bottom"/>
            <w:gridSpan w:val="2"/>
          </w:tcPr>
          <w:p>
            <w:pPr>
              <w:spacing w:after="0"/>
              <w:rPr>
                <w:sz w:val="20"/>
                <w:szCs w:val="20"/>
                <w:color w:val="auto"/>
              </w:rPr>
            </w:pPr>
            <w:r>
              <w:rPr>
                <w:rFonts w:ascii="Arial" w:cs="Arial" w:eastAsia="Arial" w:hAnsi="Arial"/>
                <w:sz w:val="18"/>
                <w:szCs w:val="18"/>
                <w:color w:val="auto"/>
              </w:rPr>
              <w:t>Annual minimum lease payments for operating leases are as follows:</w:t>
            </w:r>
          </w:p>
        </w:tc>
        <w:tc>
          <w:tcPr>
            <w:tcW w:w="18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1840" w:type="dxa"/>
            <w:vAlign w:val="bottom"/>
            <w:vMerge w:val="restart"/>
          </w:tcPr>
          <w:p>
            <w:pPr>
              <w:spacing w:after="0"/>
              <w:rPr>
                <w:sz w:val="21"/>
                <w:szCs w:val="21"/>
                <w:color w:val="auto"/>
              </w:rPr>
            </w:pPr>
          </w:p>
        </w:tc>
        <w:tc>
          <w:tcPr>
            <w:tcW w:w="4960" w:type="dxa"/>
            <w:vAlign w:val="bottom"/>
          </w:tcPr>
          <w:p>
            <w:pPr>
              <w:spacing w:after="0"/>
              <w:rPr>
                <w:sz w:val="21"/>
                <w:szCs w:val="21"/>
                <w:color w:val="auto"/>
              </w:rPr>
            </w:pPr>
          </w:p>
        </w:tc>
        <w:tc>
          <w:tcPr>
            <w:tcW w:w="18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1840" w:type="dxa"/>
            <w:vAlign w:val="bottom"/>
            <w:vMerge w:val="continue"/>
          </w:tcPr>
          <w:p>
            <w:pPr>
              <w:spacing w:after="0"/>
              <w:rPr>
                <w:sz w:val="18"/>
                <w:szCs w:val="18"/>
                <w:color w:val="auto"/>
              </w:rPr>
            </w:pPr>
          </w:p>
        </w:tc>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rPr>
              <w:t>2018</w:t>
            </w:r>
          </w:p>
        </w:tc>
        <w:tc>
          <w:tcPr>
            <w:tcW w:w="1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2,507,334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40" w:type="dxa"/>
            <w:vAlign w:val="bottom"/>
          </w:tcPr>
          <w:p>
            <w:pPr>
              <w:spacing w:after="0"/>
              <w:rPr>
                <w:sz w:val="18"/>
                <w:szCs w:val="18"/>
                <w:color w:val="auto"/>
              </w:rPr>
            </w:pPr>
          </w:p>
        </w:tc>
        <w:tc>
          <w:tcPr>
            <w:tcW w:w="4960" w:type="dxa"/>
            <w:vAlign w:val="bottom"/>
          </w:tcPr>
          <w:p>
            <w:pPr>
              <w:spacing w:after="0"/>
              <w:rPr>
                <w:sz w:val="20"/>
                <w:szCs w:val="20"/>
                <w:color w:val="auto"/>
              </w:rPr>
            </w:pPr>
            <w:r>
              <w:rPr>
                <w:rFonts w:ascii="Arial" w:cs="Arial" w:eastAsia="Arial" w:hAnsi="Arial"/>
                <w:sz w:val="18"/>
                <w:szCs w:val="18"/>
                <w:color w:val="auto"/>
              </w:rPr>
              <w:t>2019</w:t>
            </w:r>
          </w:p>
        </w:tc>
        <w:tc>
          <w:tcPr>
            <w:tcW w:w="1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99"/>
              </w:rPr>
              <w:t>2,360,104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40" w:type="dxa"/>
            <w:vAlign w:val="bottom"/>
          </w:tcPr>
          <w:p>
            <w:pPr>
              <w:spacing w:after="0"/>
              <w:rPr>
                <w:sz w:val="18"/>
                <w:szCs w:val="18"/>
                <w:color w:val="auto"/>
              </w:rPr>
            </w:pPr>
          </w:p>
        </w:tc>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rPr>
              <w:t>2020</w:t>
            </w:r>
          </w:p>
        </w:tc>
        <w:tc>
          <w:tcPr>
            <w:tcW w:w="18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2,308,957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40" w:type="dxa"/>
            <w:vAlign w:val="bottom"/>
          </w:tcPr>
          <w:p>
            <w:pPr>
              <w:spacing w:after="0"/>
              <w:rPr>
                <w:sz w:val="18"/>
                <w:szCs w:val="18"/>
                <w:color w:val="auto"/>
              </w:rPr>
            </w:pPr>
          </w:p>
        </w:tc>
        <w:tc>
          <w:tcPr>
            <w:tcW w:w="4960" w:type="dxa"/>
            <w:vAlign w:val="bottom"/>
          </w:tcPr>
          <w:p>
            <w:pPr>
              <w:spacing w:after="0"/>
              <w:rPr>
                <w:sz w:val="20"/>
                <w:szCs w:val="20"/>
                <w:color w:val="auto"/>
              </w:rPr>
            </w:pPr>
            <w:r>
              <w:rPr>
                <w:rFonts w:ascii="Arial" w:cs="Arial" w:eastAsia="Arial" w:hAnsi="Arial"/>
                <w:sz w:val="18"/>
                <w:szCs w:val="18"/>
                <w:color w:val="auto"/>
              </w:rPr>
              <w:t>2021</w:t>
            </w:r>
          </w:p>
        </w:tc>
        <w:tc>
          <w:tcPr>
            <w:tcW w:w="1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99"/>
              </w:rPr>
              <w:t>2,279,796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40" w:type="dxa"/>
            <w:vAlign w:val="bottom"/>
          </w:tcPr>
          <w:p>
            <w:pPr>
              <w:spacing w:after="0"/>
              <w:rPr>
                <w:sz w:val="18"/>
                <w:szCs w:val="18"/>
                <w:color w:val="auto"/>
              </w:rPr>
            </w:pPr>
          </w:p>
        </w:tc>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rPr>
              <w:t>2022</w:t>
            </w:r>
          </w:p>
        </w:tc>
        <w:tc>
          <w:tcPr>
            <w:tcW w:w="18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2,257,617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840" w:type="dxa"/>
            <w:vAlign w:val="bottom"/>
          </w:tcPr>
          <w:p>
            <w:pPr>
              <w:spacing w:after="0"/>
              <w:rPr>
                <w:sz w:val="19"/>
                <w:szCs w:val="19"/>
                <w:color w:val="auto"/>
              </w:rPr>
            </w:pPr>
          </w:p>
        </w:tc>
        <w:tc>
          <w:tcPr>
            <w:tcW w:w="4960" w:type="dxa"/>
            <w:vAlign w:val="bottom"/>
          </w:tcPr>
          <w:p>
            <w:pPr>
              <w:spacing w:after="0"/>
              <w:rPr>
                <w:sz w:val="20"/>
                <w:szCs w:val="20"/>
                <w:color w:val="auto"/>
              </w:rPr>
            </w:pPr>
            <w:r>
              <w:rPr>
                <w:rFonts w:ascii="Arial" w:cs="Arial" w:eastAsia="Arial" w:hAnsi="Arial"/>
                <w:sz w:val="18"/>
                <w:szCs w:val="18"/>
                <w:color w:val="auto"/>
              </w:rPr>
              <w:t>Thereafter</w:t>
            </w:r>
          </w:p>
        </w:tc>
        <w:tc>
          <w:tcPr>
            <w:tcW w:w="18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8"/>
              </w:rPr>
              <w:t>10,170,846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840" w:type="dxa"/>
            <w:vAlign w:val="bottom"/>
          </w:tcPr>
          <w:p>
            <w:pPr>
              <w:spacing w:after="0"/>
              <w:rPr>
                <w:sz w:val="18"/>
                <w:szCs w:val="18"/>
                <w:color w:val="auto"/>
              </w:rPr>
            </w:pPr>
          </w:p>
        </w:tc>
        <w:tc>
          <w:tcPr>
            <w:tcW w:w="4960" w:type="dxa"/>
            <w:vAlign w:val="bottom"/>
            <w:shd w:val="clear" w:color="auto" w:fill="CCEEFF"/>
          </w:tcPr>
          <w:p>
            <w:pPr>
              <w:spacing w:after="0"/>
              <w:rPr>
                <w:sz w:val="18"/>
                <w:szCs w:val="18"/>
                <w:color w:val="auto"/>
              </w:rPr>
            </w:pPr>
          </w:p>
        </w:tc>
        <w:tc>
          <w:tcPr>
            <w:tcW w:w="192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21,884,654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840" w:type="dxa"/>
            <w:vAlign w:val="bottom"/>
          </w:tcPr>
          <w:p>
            <w:pPr>
              <w:spacing w:after="0" w:line="20" w:lineRule="exact"/>
              <w:rPr>
                <w:sz w:val="1"/>
                <w:szCs w:val="1"/>
                <w:color w:val="auto"/>
              </w:rPr>
            </w:pPr>
          </w:p>
        </w:tc>
        <w:tc>
          <w:tcPr>
            <w:tcW w:w="496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For the periods ended March 31, 2018 and 2017 the Company reported rent expense of approximately $600,184 and $578,863 respectively.</w:t>
      </w:r>
    </w:p>
    <w:p>
      <w:pPr>
        <w:spacing w:after="0" w:line="158"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220"/>
          </w:cols>
          <w:pgMar w:left="240" w:top="270" w:right="439" w:bottom="1440" w:gutter="0" w:footer="0" w:header="0"/>
        </w:sectPr>
      </w:pPr>
    </w:p>
    <w:bookmarkStart w:id="37" w:name="page38"/>
    <w:bookmarkEnd w:id="37"/>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PMG Intermediate Holding Corporation and Subsidiaries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206375</wp:posOffset>
            </wp:positionV>
            <wp:extent cx="7246620"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Equity Incentive Plan</w:t>
      </w:r>
    </w:p>
    <w:p>
      <w:pPr>
        <w:spacing w:after="0" w:line="121" w:lineRule="exact"/>
        <w:rPr>
          <w:sz w:val="20"/>
          <w:szCs w:val="20"/>
          <w:color w:val="auto"/>
        </w:rPr>
      </w:pPr>
    </w:p>
    <w:p>
      <w:pPr>
        <w:spacing w:after="0"/>
        <w:rPr>
          <w:sz w:val="20"/>
          <w:szCs w:val="20"/>
          <w:color w:val="auto"/>
        </w:rPr>
      </w:pPr>
      <w:r>
        <w:rPr>
          <w:rFonts w:ascii="Arial" w:cs="Arial" w:eastAsia="Arial" w:hAnsi="Arial"/>
          <w:sz w:val="16"/>
          <w:szCs w:val="16"/>
          <w:color w:val="auto"/>
        </w:rPr>
        <w:t>The Company has an equity incentive plan for executives and directors that granted Class C and P common units of the Parent at no cost to the recipients.</w:t>
      </w:r>
    </w:p>
    <w:p>
      <w:pPr>
        <w:spacing w:after="0" w:line="248"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Certain of these units vest annually over a five year period of time and the rest are subject to performance vesting upon a sale of the Company based upon a sales cash multiple realization. For the time based units, vesting is accelerated upon a sale of the Company. For the three months ended March 31, 2018 and 2017, expenses recognized associated with vesting of the grants issued to executives and directors was $81,553 and $24,650, respectively. Unrecognized compensation cost at March 31, 2018 and 2017 related to the non-vested class P units for executives and directors is approximately $108,000 and $247,000, respectively.</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Income Taxes</w:t>
      </w:r>
    </w:p>
    <w:p>
      <w:pPr>
        <w:spacing w:after="0" w:line="12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For interim financial reporting, the Company estimates its annual effective tax rate based on projected taxable income for the full year and records a quarterly tax provision based on the estimated annual effective rate.</w:t>
      </w:r>
    </w:p>
    <w:p>
      <w:pPr>
        <w:spacing w:after="0" w:line="170" w:lineRule="exact"/>
        <w:rPr>
          <w:sz w:val="20"/>
          <w:szCs w:val="20"/>
          <w:color w:val="auto"/>
        </w:rPr>
      </w:pPr>
    </w:p>
    <w:p>
      <w:pPr>
        <w:jc w:val="both"/>
        <w:ind w:right="280"/>
        <w:spacing w:after="0" w:line="259" w:lineRule="auto"/>
        <w:rPr>
          <w:sz w:val="20"/>
          <w:szCs w:val="20"/>
          <w:color w:val="auto"/>
        </w:rPr>
      </w:pPr>
      <w:r>
        <w:rPr>
          <w:rFonts w:ascii="Arial" w:cs="Arial" w:eastAsia="Arial" w:hAnsi="Arial"/>
          <w:sz w:val="18"/>
          <w:szCs w:val="18"/>
          <w:color w:val="auto"/>
        </w:rPr>
        <w:t>The Company’s effective income tax rate was approximately 18 percent and -14 percent of pretax income for the three months ended March 31, 2018 and 2017, respectively. The effective tax rates for 2018 and 2017 differ from the U.S. federal statutory tax rate of 21 percent and 35 percent, respectively, due primarily to permanent differences and earnings outside the United States that are indefinitely reinvested and taxed at rates different than the U.S. federal statutory rate.</w:t>
      </w:r>
    </w:p>
    <w:p>
      <w:pPr>
        <w:spacing w:after="0" w:line="11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360"/>
          </w:cols>
          <w:pgMar w:left="240" w:top="270" w:right="299" w:bottom="1440" w:gutter="0" w:footer="0" w:header="0"/>
        </w:sectPr>
      </w:pPr>
    </w:p>
    <w:bookmarkStart w:id="38" w:name="page39"/>
    <w:bookmarkEnd w:id="38"/>
    <w:p>
      <w:pPr>
        <w:jc w:val="right"/>
        <w:spacing w:after="0"/>
        <w:rPr>
          <w:sz w:val="20"/>
          <w:szCs w:val="20"/>
          <w:color w:val="auto"/>
        </w:rPr>
      </w:pPr>
      <w:r>
        <w:rPr>
          <w:rFonts w:ascii="Arial" w:cs="Arial" w:eastAsia="Arial" w:hAnsi="Arial"/>
          <w:sz w:val="18"/>
          <w:szCs w:val="18"/>
          <w:b w:val="1"/>
          <w:bCs w:val="1"/>
          <w:color w:val="auto"/>
        </w:rPr>
        <w:t>Exhibit 99.3</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Pro Forma Condensed Combined Financial Information</w:t>
      </w:r>
    </w:p>
    <w:p>
      <w:pPr>
        <w:spacing w:after="0" w:line="229" w:lineRule="exact"/>
        <w:rPr>
          <w:sz w:val="20"/>
          <w:szCs w:val="20"/>
          <w:color w:val="auto"/>
        </w:rPr>
      </w:pPr>
    </w:p>
    <w:p>
      <w:pPr>
        <w:jc w:val="both"/>
        <w:ind w:right="120" w:firstLine="913"/>
        <w:spacing w:after="0" w:line="286" w:lineRule="auto"/>
        <w:rPr>
          <w:sz w:val="20"/>
          <w:szCs w:val="20"/>
          <w:color w:val="auto"/>
        </w:rPr>
      </w:pPr>
      <w:r>
        <w:rPr>
          <w:rFonts w:ascii="Arial" w:cs="Arial" w:eastAsia="Arial" w:hAnsi="Arial"/>
          <w:sz w:val="17"/>
          <w:szCs w:val="17"/>
          <w:color w:val="auto"/>
        </w:rPr>
        <w:t>The Unaudited Pro Forma Condensed Combined Financial Statements (referred to as the “unaudited pro forma financial statements”) presented below are derived from the historical consolidated financial statements of NN, Inc. (“NN”, “we”, “our” or “us”) and PMG Intermediate Holding Corporation (“Paragon”) and its subsidiaries. Paragon was a wholly-owned subsidiary of Paragon Equity, LLC (“Paragon Parent”).</w:t>
      </w:r>
    </w:p>
    <w:p>
      <w:pPr>
        <w:spacing w:after="0" w:line="166" w:lineRule="exact"/>
        <w:rPr>
          <w:sz w:val="20"/>
          <w:szCs w:val="20"/>
          <w:color w:val="auto"/>
        </w:rPr>
      </w:pPr>
    </w:p>
    <w:p>
      <w:pPr>
        <w:ind w:right="200" w:firstLine="913"/>
        <w:spacing w:after="0" w:line="259" w:lineRule="auto"/>
        <w:rPr>
          <w:sz w:val="20"/>
          <w:szCs w:val="20"/>
          <w:color w:val="auto"/>
        </w:rPr>
      </w:pPr>
      <w:r>
        <w:rPr>
          <w:rFonts w:ascii="Arial" w:cs="Arial" w:eastAsia="Arial" w:hAnsi="Arial"/>
          <w:sz w:val="18"/>
          <w:szCs w:val="18"/>
          <w:color w:val="auto"/>
        </w:rPr>
        <w:t>On April 2, 2018, we entered into a Stock Purchase Agreement (“SPA”) with Paragon Parent to acquire 100% of the issued and outstanding shares of Paragon, the parent company of Paragon Medical, Inc. (the “Acquisition”). Paragon Medical, Inc. is a medical device manufacturer which focuses on the orthopedic, case and tray, implant and instrument markets. On May 7, 2018, we completed the Acquisition. As a result of the Acquisition, Paragon became our wholly-owned subsidiary.</w:t>
      </w:r>
    </w:p>
    <w:p>
      <w:pPr>
        <w:spacing w:after="0" w:line="187" w:lineRule="exact"/>
        <w:rPr>
          <w:sz w:val="20"/>
          <w:szCs w:val="20"/>
          <w:color w:val="auto"/>
        </w:rPr>
      </w:pPr>
    </w:p>
    <w:p>
      <w:pPr>
        <w:ind w:right="40" w:firstLine="913"/>
        <w:spacing w:after="0" w:line="259" w:lineRule="auto"/>
        <w:rPr>
          <w:sz w:val="20"/>
          <w:szCs w:val="20"/>
          <w:color w:val="auto"/>
        </w:rPr>
      </w:pPr>
      <w:r>
        <w:rPr>
          <w:rFonts w:ascii="Arial" w:cs="Arial" w:eastAsia="Arial" w:hAnsi="Arial"/>
          <w:sz w:val="18"/>
          <w:szCs w:val="18"/>
          <w:color w:val="auto"/>
        </w:rPr>
        <w:t>The Unaudited Pro Forma Condensed Combined Statements of Operations presented below (the “unaudited pro forma statements of operations”) for the three months ended March 31, 2018 and the year ended December 31, 2017, give effect to the Acquisition as if it was consummated on January 1, 2017. The Unaudited Pro Forma Condensed Combined Balance Sheet (the “unaudited pro forma balance sheet”) as of March 31, 2018, gives effect to the Acquisition as if it was consummated on March 31, 2018.</w:t>
      </w:r>
    </w:p>
    <w:p>
      <w:pPr>
        <w:spacing w:after="0" w:line="187" w:lineRule="exact"/>
        <w:rPr>
          <w:sz w:val="20"/>
          <w:szCs w:val="20"/>
          <w:color w:val="auto"/>
        </w:rPr>
      </w:pPr>
    </w:p>
    <w:p>
      <w:pPr>
        <w:ind w:right="120" w:firstLine="913"/>
        <w:spacing w:after="0" w:line="297" w:lineRule="auto"/>
        <w:rPr>
          <w:sz w:val="20"/>
          <w:szCs w:val="20"/>
          <w:color w:val="auto"/>
        </w:rPr>
      </w:pPr>
      <w:r>
        <w:rPr>
          <w:rFonts w:ascii="Arial" w:cs="Arial" w:eastAsia="Arial" w:hAnsi="Arial"/>
          <w:sz w:val="16"/>
          <w:szCs w:val="16"/>
          <w:color w:val="auto"/>
        </w:rPr>
        <w:t>Our historical consolidated financial information has been adjusted in the unaudited pro forma financial statements to give effect to pro forma events that are: (i) directly attributable to the Acquisition; (ii) factually supportable; and (iii) with respect to the pro forma statements of operations, expected to have a continuing impact on our combined results of operations. Our historical consolidated financial information for the year ended December 31, 2017, has not been adjusted in the unaudited pro forma financial statements to give effect to pro forma impacts of our acquisition of the assets of Bridgemedica, LLC, which was completed on February 22, 2018, as the transaction is not significant in accordance with Rule 3-05 of Regulation S-X.</w:t>
      </w:r>
    </w:p>
    <w:p>
      <w:pPr>
        <w:spacing w:after="0" w:line="158" w:lineRule="exact"/>
        <w:rPr>
          <w:sz w:val="20"/>
          <w:szCs w:val="20"/>
          <w:color w:val="auto"/>
        </w:rPr>
      </w:pPr>
    </w:p>
    <w:p>
      <w:pPr>
        <w:ind w:right="260" w:firstLine="913"/>
        <w:spacing w:after="0" w:line="277" w:lineRule="auto"/>
        <w:rPr>
          <w:sz w:val="20"/>
          <w:szCs w:val="20"/>
          <w:color w:val="auto"/>
        </w:rPr>
      </w:pPr>
      <w:r>
        <w:rPr>
          <w:rFonts w:ascii="Arial" w:cs="Arial" w:eastAsia="Arial" w:hAnsi="Arial"/>
          <w:sz w:val="18"/>
          <w:szCs w:val="18"/>
          <w:color w:val="auto"/>
        </w:rPr>
        <w:t>Assumptions and estimates underlying the unaudited pro forma adjustments are described in the accompanying notes, which should be read in connection with the unaudited pro forma financial statements.</w:t>
      </w:r>
    </w:p>
    <w:p>
      <w:pPr>
        <w:spacing w:after="0" w:line="170" w:lineRule="exact"/>
        <w:rPr>
          <w:sz w:val="20"/>
          <w:szCs w:val="20"/>
          <w:color w:val="auto"/>
        </w:rPr>
      </w:pPr>
    </w:p>
    <w:p>
      <w:pPr>
        <w:ind w:right="100" w:firstLine="913"/>
        <w:spacing w:after="0" w:line="276" w:lineRule="auto"/>
        <w:rPr>
          <w:sz w:val="20"/>
          <w:szCs w:val="20"/>
          <w:color w:val="auto"/>
        </w:rPr>
      </w:pPr>
      <w:r>
        <w:rPr>
          <w:rFonts w:ascii="Arial" w:cs="Arial" w:eastAsia="Arial" w:hAnsi="Arial"/>
          <w:sz w:val="17"/>
          <w:szCs w:val="17"/>
          <w:color w:val="auto"/>
        </w:rPr>
        <w:t>To produce the pro forma financial statements, the assets acquired and liabilities assumed in the Acquisition were adjusted to their estimated fair values. As of the date of this filing, we have not fully completed the detailed valuation work necessary to arrive at the required estimates of the fair value of Paragon’s assets acquired, the liabilities assumed, and the related allocation of the purchase price. Accordingly, the accompanying unaudited pro forma accounting for the Acquisition is preliminary and is subject to further adjustments as additional analyses are performed. The final fair values of the assets acquired and liabilities assumed as of the date of the Acquisition may differ materially from the information presented herein.</w:t>
      </w:r>
    </w:p>
    <w:p>
      <w:pPr>
        <w:spacing w:after="0" w:line="173" w:lineRule="exact"/>
        <w:rPr>
          <w:sz w:val="20"/>
          <w:szCs w:val="20"/>
          <w:color w:val="auto"/>
        </w:rPr>
      </w:pPr>
    </w:p>
    <w:p>
      <w:pPr>
        <w:ind w:right="140" w:firstLine="913"/>
        <w:spacing w:after="0" w:line="297" w:lineRule="auto"/>
        <w:rPr>
          <w:sz w:val="20"/>
          <w:szCs w:val="20"/>
          <w:color w:val="auto"/>
        </w:rPr>
      </w:pPr>
      <w:r>
        <w:rPr>
          <w:rFonts w:ascii="Arial" w:cs="Arial" w:eastAsia="Arial" w:hAnsi="Arial"/>
          <w:sz w:val="16"/>
          <w:szCs w:val="16"/>
          <w:color w:val="auto"/>
        </w:rPr>
        <w:t>The unaudited pro forma financial statements have been presented for illustrative purposes only, in accordance with Article 11 of Regulation S-X, and are not indicative of the results of operations that would have been realized had the Acquisition actually been completed on the dates indicated, nor are they indicative of the combined operations going forward. We expect to incur significant costs and achieve synergies in connection with integrating Paragon’s operations with our operations. The unaudited pro forma financial statements do not reflect the costs of any integration activities or benefits that may result from realization of future cost savings from operating efficiencies or any revenue, tax, or other synergies expected to result from the Acquisition.</w:t>
      </w:r>
    </w:p>
    <w:p>
      <w:pPr>
        <w:spacing w:after="0" w:line="158" w:lineRule="exact"/>
        <w:rPr>
          <w:sz w:val="20"/>
          <w:szCs w:val="20"/>
          <w:color w:val="auto"/>
        </w:rPr>
      </w:pPr>
    </w:p>
    <w:p>
      <w:pPr>
        <w:ind w:right="60" w:firstLine="913"/>
        <w:spacing w:after="0" w:line="312" w:lineRule="auto"/>
        <w:rPr>
          <w:sz w:val="20"/>
          <w:szCs w:val="20"/>
          <w:color w:val="auto"/>
        </w:rPr>
      </w:pPr>
      <w:r>
        <w:rPr>
          <w:rFonts w:ascii="Arial" w:cs="Arial" w:eastAsia="Arial" w:hAnsi="Arial"/>
          <w:sz w:val="16"/>
          <w:szCs w:val="16"/>
          <w:color w:val="auto"/>
        </w:rPr>
        <w:t>The unaudited pro forma financial statements reflect our entry on May 7, 2018, into that certain Second Lien Credit Agreement, pursuant to which SunTrust Robinson Humphrey, Inc. and the other lenders named therein extended a $200.0 million secured second lien term loan facility, maturing on April 19, 2023 (the “Second Lien Credit Facility”). Proceeds from the Second Lien Credit Facility were used to finance the purchase price of the Acquisition.</w:t>
      </w:r>
    </w:p>
    <w:p>
      <w:pPr>
        <w:spacing w:after="0" w:line="14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The unaudited pro forma financial statements should be read in conjunction with:</w:t>
      </w:r>
    </w:p>
    <w:p>
      <w:pPr>
        <w:spacing w:after="0" w:line="131" w:lineRule="exact"/>
        <w:rPr>
          <w:sz w:val="20"/>
          <w:szCs w:val="20"/>
          <w:color w:val="auto"/>
        </w:rPr>
      </w:pPr>
    </w:p>
    <w:p>
      <w:pPr>
        <w:ind w:left="1480" w:hanging="446"/>
        <w:spacing w:after="0"/>
        <w:tabs>
          <w:tab w:leader="none" w:pos="148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accompanying notes to unaudited pro forma financial information;</w:t>
      </w:r>
    </w:p>
    <w:p>
      <w:pPr>
        <w:spacing w:after="0" w:line="130" w:lineRule="exact"/>
        <w:rPr>
          <w:rFonts w:ascii="Arial" w:cs="Arial" w:eastAsia="Arial" w:hAnsi="Arial"/>
          <w:sz w:val="18"/>
          <w:szCs w:val="18"/>
          <w:color w:val="auto"/>
        </w:rPr>
      </w:pPr>
    </w:p>
    <w:p>
      <w:pPr>
        <w:ind w:left="1480" w:right="120" w:hanging="446"/>
        <w:spacing w:after="0" w:line="277" w:lineRule="auto"/>
        <w:tabs>
          <w:tab w:leader="none" w:pos="148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separate historical consolidated financial statements as of and for the year ended December 31, 2017, included in our Annual Report on Form 10-K filed with the Securities and Exchange Commission (the “SEC”) on April 2, 2018;</w:t>
      </w:r>
    </w:p>
    <w:p>
      <w:pPr>
        <w:spacing w:after="0" w:line="75" w:lineRule="exact"/>
        <w:rPr>
          <w:rFonts w:ascii="Arial" w:cs="Arial" w:eastAsia="Arial" w:hAnsi="Arial"/>
          <w:sz w:val="18"/>
          <w:szCs w:val="18"/>
          <w:color w:val="auto"/>
        </w:rPr>
      </w:pPr>
    </w:p>
    <w:p>
      <w:pPr>
        <w:ind w:left="1480" w:right="20" w:hanging="446"/>
        <w:spacing w:after="0" w:line="277" w:lineRule="auto"/>
        <w:tabs>
          <w:tab w:leader="none" w:pos="148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separate historical unaudited condensed consolidated financial statements as of and for the quarter ended March 31, 2018, included in our Quarterly Report on Form 10-Q filed with the SEC on May 10, 2018;</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121" w:right="239" w:bottom="1440" w:gutter="0" w:footer="0" w:header="0"/>
        </w:sectPr>
      </w:pPr>
    </w:p>
    <w:bookmarkStart w:id="39" w:name="page40"/>
    <w:bookmarkEnd w:id="39"/>
    <w:p>
      <w:pPr>
        <w:ind w:left="446" w:right="60" w:hanging="446"/>
        <w:spacing w:after="0" w:line="277" w:lineRule="auto"/>
        <w:tabs>
          <w:tab w:leader="none" w:pos="446" w:val="left"/>
        </w:tabs>
        <w:numPr>
          <w:ilvl w:val="0"/>
          <w:numId w:val="7"/>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separate restated historical consolidated financial statements of Paragon for the year ended December 31, 2017, included as Exhibit 99.1 to our Amendment to Current Report on Form 8-K/A filed herewith; and</w:t>
      </w:r>
    </w:p>
    <w:p>
      <w:pPr>
        <w:spacing w:after="0" w:line="75" w:lineRule="exact"/>
        <w:rPr>
          <w:rFonts w:ascii="Arial" w:cs="Arial" w:eastAsia="Arial" w:hAnsi="Arial"/>
          <w:sz w:val="18"/>
          <w:szCs w:val="18"/>
          <w:color w:val="auto"/>
        </w:rPr>
      </w:pPr>
    </w:p>
    <w:p>
      <w:pPr>
        <w:ind w:left="446" w:hanging="446"/>
        <w:spacing w:after="0" w:line="277" w:lineRule="auto"/>
        <w:tabs>
          <w:tab w:leader="none" w:pos="446"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separate restated historical consolidated financial statements of Paragon as of and for the quarter ended March 31, 2018, included as Exhibit 99.2 to our Amendment to Current Report on Form 8-K/A filed herewith.</w:t>
      </w:r>
    </w:p>
    <w:p>
      <w:pPr>
        <w:spacing w:after="0" w:line="103" w:lineRule="exact"/>
        <w:rPr>
          <w:sz w:val="20"/>
          <w:szCs w:val="20"/>
          <w:color w:val="auto"/>
        </w:rPr>
      </w:pPr>
    </w:p>
    <w:p>
      <w:pPr>
        <w:ind w:left="4626"/>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226"/>
          </w:cols>
          <w:pgMar w:left="1274" w:top="274" w:right="399" w:bottom="1440" w:gutter="0" w:footer="0" w:header="0"/>
        </w:sectPr>
      </w:pPr>
    </w:p>
    <w:bookmarkStart w:id="40" w:name="page41"/>
    <w:bookmarkEnd w:id="4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NN, Inc. and PMG Intermediate Holding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Pro Forma Condensed Combined Statement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Year Ended December 31, 2017</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Amounts in thousands of dollars, except per share data</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520" w:type="dxa"/>
            <w:vAlign w:val="bottom"/>
          </w:tcPr>
          <w:p>
            <w:pPr>
              <w:spacing w:after="0"/>
              <w:rPr>
                <w:sz w:val="14"/>
                <w:szCs w:val="14"/>
                <w:color w:val="auto"/>
              </w:rPr>
            </w:pPr>
          </w:p>
        </w:tc>
        <w:tc>
          <w:tcPr>
            <w:tcW w:w="940" w:type="dxa"/>
            <w:vAlign w:val="bottom"/>
            <w:gridSpan w:val="4"/>
            <w:vMerge w:val="restart"/>
          </w:tcPr>
          <w:p>
            <w:pPr>
              <w:spacing w:after="0"/>
              <w:rPr>
                <w:sz w:val="20"/>
                <w:szCs w:val="20"/>
                <w:color w:val="auto"/>
              </w:rPr>
            </w:pPr>
            <w:r>
              <w:rPr>
                <w:rFonts w:ascii="Arial" w:cs="Arial" w:eastAsia="Arial" w:hAnsi="Arial"/>
                <w:sz w:val="14"/>
                <w:szCs w:val="14"/>
                <w:b w:val="1"/>
                <w:bCs w:val="1"/>
                <w:color w:val="auto"/>
              </w:rPr>
              <w:t>Consolidated</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w w:val="93"/>
              </w:rPr>
              <w:t>Accounting</w:t>
            </w:r>
          </w:p>
        </w:tc>
        <w:tc>
          <w:tcPr>
            <w:tcW w:w="4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520" w:type="dxa"/>
            <w:vAlign w:val="bottom"/>
          </w:tcPr>
          <w:p>
            <w:pPr>
              <w:spacing w:after="0"/>
              <w:rPr>
                <w:sz w:val="12"/>
                <w:szCs w:val="12"/>
                <w:color w:val="auto"/>
              </w:rPr>
            </w:pPr>
          </w:p>
        </w:tc>
        <w:tc>
          <w:tcPr>
            <w:tcW w:w="940" w:type="dxa"/>
            <w:vAlign w:val="bottom"/>
            <w:gridSpan w:val="4"/>
            <w:vMerge w:val="continue"/>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3"/>
            <w:vMerge w:val="restart"/>
          </w:tcPr>
          <w:p>
            <w:pPr>
              <w:jc w:val="right"/>
              <w:ind w:right="220"/>
              <w:spacing w:after="0"/>
              <w:rPr>
                <w:sz w:val="20"/>
                <w:szCs w:val="20"/>
                <w:color w:val="auto"/>
              </w:rPr>
            </w:pPr>
            <w:r>
              <w:rPr>
                <w:rFonts w:ascii="Arial" w:cs="Arial" w:eastAsia="Arial" w:hAnsi="Arial"/>
                <w:sz w:val="14"/>
                <w:szCs w:val="14"/>
                <w:b w:val="1"/>
                <w:bCs w:val="1"/>
                <w:color w:val="auto"/>
              </w:rPr>
              <w:t>Paragon</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gridSpan w:val="2"/>
          </w:tcPr>
          <w:p>
            <w:pPr>
              <w:jc w:val="right"/>
              <w:ind w:right="460"/>
              <w:spacing w:after="0" w:line="149" w:lineRule="exact"/>
              <w:rPr>
                <w:sz w:val="20"/>
                <w:szCs w:val="20"/>
                <w:color w:val="auto"/>
              </w:rPr>
            </w:pPr>
            <w:r>
              <w:rPr>
                <w:rFonts w:ascii="Arial" w:cs="Arial" w:eastAsia="Arial" w:hAnsi="Arial"/>
                <w:sz w:val="14"/>
                <w:szCs w:val="14"/>
                <w:b w:val="1"/>
                <w:bCs w:val="1"/>
                <w:color w:val="auto"/>
              </w:rPr>
              <w:t>Policy</w:t>
            </w:r>
          </w:p>
        </w:tc>
        <w:tc>
          <w:tcPr>
            <w:tcW w:w="4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60" w:type="dxa"/>
            <w:vAlign w:val="bottom"/>
            <w:gridSpan w:val="3"/>
            <w:vMerge w:val="restart"/>
          </w:tcPr>
          <w:p>
            <w:pPr>
              <w:jc w:val="right"/>
              <w:ind w:right="140"/>
              <w:spacing w:after="0"/>
              <w:rPr>
                <w:sz w:val="20"/>
                <w:szCs w:val="20"/>
                <w:color w:val="auto"/>
              </w:rPr>
            </w:pPr>
            <w:r>
              <w:rPr>
                <w:rFonts w:ascii="Arial" w:cs="Arial" w:eastAsia="Arial" w:hAnsi="Arial"/>
                <w:sz w:val="14"/>
                <w:szCs w:val="14"/>
                <w:b w:val="1"/>
                <w:bCs w:val="1"/>
                <w:color w:val="auto"/>
              </w:rPr>
              <w:t>Pro Forma</w:t>
            </w:r>
          </w:p>
        </w:tc>
        <w:tc>
          <w:tcPr>
            <w:tcW w:w="540" w:type="dxa"/>
            <w:vAlign w:val="bottom"/>
          </w:tcPr>
          <w:p>
            <w:pPr>
              <w:spacing w:after="0"/>
              <w:rPr>
                <w:sz w:val="12"/>
                <w:szCs w:val="12"/>
                <w:color w:val="auto"/>
              </w:rPr>
            </w:pPr>
          </w:p>
        </w:tc>
        <w:tc>
          <w:tcPr>
            <w:tcW w:w="80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Pro Forma</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gridSpan w:val="3"/>
          </w:tcPr>
          <w:p>
            <w:pPr>
              <w:jc w:val="right"/>
              <w:ind w:right="220"/>
              <w:spacing w:after="0" w:line="149" w:lineRule="exact"/>
              <w:rPr>
                <w:sz w:val="20"/>
                <w:szCs w:val="20"/>
                <w:color w:val="auto"/>
              </w:rPr>
            </w:pPr>
            <w:r>
              <w:rPr>
                <w:rFonts w:ascii="Arial" w:cs="Arial" w:eastAsia="Arial" w:hAnsi="Arial"/>
                <w:sz w:val="14"/>
                <w:szCs w:val="14"/>
                <w:b w:val="1"/>
                <w:bCs w:val="1"/>
                <w:color w:val="auto"/>
                <w:w w:val="93"/>
              </w:rPr>
              <w:t>Historical</w:t>
            </w:r>
          </w:p>
        </w:tc>
        <w:tc>
          <w:tcPr>
            <w:tcW w:w="80" w:type="dxa"/>
            <w:vAlign w:val="bottom"/>
          </w:tcPr>
          <w:p>
            <w:pPr>
              <w:spacing w:after="0"/>
              <w:rPr>
                <w:sz w:val="12"/>
                <w:szCs w:val="12"/>
                <w:color w:val="auto"/>
              </w:rPr>
            </w:pPr>
          </w:p>
        </w:tc>
        <w:tc>
          <w:tcPr>
            <w:tcW w:w="820" w:type="dxa"/>
            <w:vAlign w:val="bottom"/>
            <w:gridSpan w:val="3"/>
            <w:vMerge w:val="continue"/>
          </w:tcPr>
          <w:p>
            <w:pPr>
              <w:spacing w:after="0"/>
              <w:rPr>
                <w:sz w:val="12"/>
                <w:szCs w:val="12"/>
                <w:color w:val="auto"/>
              </w:rPr>
            </w:pPr>
          </w:p>
        </w:tc>
        <w:tc>
          <w:tcPr>
            <w:tcW w:w="60" w:type="dxa"/>
            <w:vAlign w:val="bottom"/>
          </w:tcPr>
          <w:p>
            <w:pPr>
              <w:spacing w:after="0"/>
              <w:rPr>
                <w:sz w:val="12"/>
                <w:szCs w:val="12"/>
                <w:color w:val="auto"/>
              </w:rPr>
            </w:pPr>
          </w:p>
        </w:tc>
        <w:tc>
          <w:tcPr>
            <w:tcW w:w="114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Reclassification</w:t>
            </w:r>
          </w:p>
        </w:tc>
        <w:tc>
          <w:tcPr>
            <w:tcW w:w="4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60" w:type="dxa"/>
            <w:vAlign w:val="bottom"/>
            <w:gridSpan w:val="3"/>
            <w:vMerge w:val="continue"/>
          </w:tcPr>
          <w:p>
            <w:pPr>
              <w:spacing w:after="0"/>
              <w:rPr>
                <w:sz w:val="12"/>
                <w:szCs w:val="12"/>
                <w:color w:val="auto"/>
              </w:rPr>
            </w:pPr>
          </w:p>
        </w:tc>
        <w:tc>
          <w:tcPr>
            <w:tcW w:w="540" w:type="dxa"/>
            <w:vAlign w:val="bottom"/>
          </w:tcPr>
          <w:p>
            <w:pPr>
              <w:spacing w:after="0"/>
              <w:rPr>
                <w:sz w:val="12"/>
                <w:szCs w:val="12"/>
                <w:color w:val="auto"/>
              </w:rPr>
            </w:pPr>
          </w:p>
        </w:tc>
        <w:tc>
          <w:tcPr>
            <w:tcW w:w="80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gridSpan w:val="3"/>
          </w:tcPr>
          <w:p>
            <w:pPr>
              <w:jc w:val="right"/>
              <w:ind w:right="280"/>
              <w:spacing w:after="0"/>
              <w:rPr>
                <w:sz w:val="20"/>
                <w:szCs w:val="20"/>
                <w:color w:val="auto"/>
              </w:rPr>
            </w:pPr>
            <w:r>
              <w:rPr>
                <w:rFonts w:ascii="Arial" w:cs="Arial" w:eastAsia="Arial" w:hAnsi="Arial"/>
                <w:sz w:val="14"/>
                <w:szCs w:val="14"/>
                <w:b w:val="1"/>
                <w:bCs w:val="1"/>
                <w:color w:val="auto"/>
              </w:rPr>
              <w:t>NN, Inc.</w:t>
            </w:r>
          </w:p>
        </w:tc>
        <w:tc>
          <w:tcPr>
            <w:tcW w:w="80" w:type="dxa"/>
            <w:vAlign w:val="bottom"/>
          </w:tcPr>
          <w:p>
            <w:pPr>
              <w:spacing w:after="0"/>
              <w:rPr>
                <w:sz w:val="14"/>
                <w:szCs w:val="14"/>
                <w:color w:val="auto"/>
              </w:rPr>
            </w:pPr>
          </w:p>
        </w:tc>
        <w:tc>
          <w:tcPr>
            <w:tcW w:w="820" w:type="dxa"/>
            <w:vAlign w:val="bottom"/>
            <w:gridSpan w:val="3"/>
          </w:tcPr>
          <w:p>
            <w:pPr>
              <w:jc w:val="right"/>
              <w:ind w:right="180"/>
              <w:spacing w:after="0"/>
              <w:rPr>
                <w:sz w:val="20"/>
                <w:szCs w:val="20"/>
                <w:color w:val="auto"/>
              </w:rPr>
            </w:pPr>
            <w:r>
              <w:rPr>
                <w:rFonts w:ascii="Arial" w:cs="Arial" w:eastAsia="Arial" w:hAnsi="Arial"/>
                <w:sz w:val="14"/>
                <w:szCs w:val="14"/>
                <w:b w:val="1"/>
                <w:bCs w:val="1"/>
                <w:color w:val="auto"/>
                <w:w w:val="97"/>
              </w:rPr>
              <w:t>Historical</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w w:val="89"/>
              </w:rPr>
              <w:t>Adjustments</w:t>
            </w:r>
          </w:p>
        </w:tc>
        <w:tc>
          <w:tcPr>
            <w:tcW w:w="4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60" w:type="dxa"/>
            <w:vAlign w:val="bottom"/>
            <w:gridSpan w:val="3"/>
          </w:tcPr>
          <w:p>
            <w:pPr>
              <w:ind w:left="20"/>
              <w:spacing w:after="0"/>
              <w:rPr>
                <w:sz w:val="20"/>
                <w:szCs w:val="20"/>
                <w:color w:val="auto"/>
              </w:rPr>
            </w:pPr>
            <w:r>
              <w:rPr>
                <w:rFonts w:ascii="Arial" w:cs="Arial" w:eastAsia="Arial" w:hAnsi="Arial"/>
                <w:sz w:val="14"/>
                <w:szCs w:val="14"/>
                <w:b w:val="1"/>
                <w:bCs w:val="1"/>
                <w:color w:val="auto"/>
              </w:rPr>
              <w:t>Adjustments</w:t>
            </w:r>
          </w:p>
        </w:tc>
        <w:tc>
          <w:tcPr>
            <w:tcW w:w="540" w:type="dxa"/>
            <w:vAlign w:val="bottom"/>
          </w:tcPr>
          <w:p>
            <w:pPr>
              <w:spacing w:after="0"/>
              <w:rPr>
                <w:sz w:val="14"/>
                <w:szCs w:val="14"/>
                <w:color w:val="auto"/>
              </w:rPr>
            </w:pPr>
          </w:p>
        </w:tc>
        <w:tc>
          <w:tcPr>
            <w:tcW w:w="800" w:type="dxa"/>
            <w:vAlign w:val="bottom"/>
            <w:gridSpan w:val="3"/>
          </w:tcPr>
          <w:p>
            <w:pPr>
              <w:ind w:left="20"/>
              <w:spacing w:after="0"/>
              <w:rPr>
                <w:sz w:val="20"/>
                <w:szCs w:val="20"/>
                <w:color w:val="auto"/>
              </w:rPr>
            </w:pPr>
            <w:r>
              <w:rPr>
                <w:rFonts w:ascii="Arial" w:cs="Arial" w:eastAsia="Arial" w:hAnsi="Arial"/>
                <w:sz w:val="14"/>
                <w:szCs w:val="14"/>
                <w:b w:val="1"/>
                <w:bCs w:val="1"/>
                <w:color w:val="auto"/>
              </w:rPr>
              <w:t>Combined</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5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sales</w:t>
            </w: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619,793</w:t>
            </w: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140,979</w:t>
            </w:r>
          </w:p>
        </w:tc>
        <w:tc>
          <w:tcPr>
            <w:tcW w:w="1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20" w:type="dxa"/>
            <w:vAlign w:val="bottom"/>
            <w:tcBorders>
              <w:top w:val="single" w:sz="8" w:color="auto"/>
            </w:tcBorders>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16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760,772</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520" w:type="dxa"/>
            <w:vAlign w:val="bottom"/>
          </w:tcPr>
          <w:p>
            <w:pPr>
              <w:spacing w:after="0" w:line="201" w:lineRule="exact"/>
              <w:rPr>
                <w:sz w:val="20"/>
                <w:szCs w:val="20"/>
                <w:color w:val="auto"/>
              </w:rPr>
            </w:pPr>
            <w:r>
              <w:rPr>
                <w:rFonts w:ascii="Arial" w:cs="Arial" w:eastAsia="Arial" w:hAnsi="Arial"/>
                <w:sz w:val="18"/>
                <w:szCs w:val="18"/>
                <w:color w:val="auto"/>
                <w:w w:val="92"/>
              </w:rPr>
              <w:t>Cost of sales (exclusive of depreciation and amortization shown separately</w:t>
            </w: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520" w:type="dxa"/>
            <w:vAlign w:val="bottom"/>
          </w:tcPr>
          <w:p>
            <w:pPr>
              <w:ind w:left="160"/>
              <w:spacing w:after="0"/>
              <w:rPr>
                <w:sz w:val="20"/>
                <w:szCs w:val="20"/>
                <w:color w:val="auto"/>
              </w:rPr>
            </w:pPr>
            <w:r>
              <w:rPr>
                <w:rFonts w:ascii="Arial" w:cs="Arial" w:eastAsia="Arial" w:hAnsi="Arial"/>
                <w:sz w:val="18"/>
                <w:szCs w:val="18"/>
                <w:color w:val="auto"/>
              </w:rPr>
              <w:t>below)</w:t>
            </w:r>
          </w:p>
        </w:tc>
        <w:tc>
          <w:tcPr>
            <w:tcW w:w="100" w:type="dxa"/>
            <w:vAlign w:val="bottom"/>
          </w:tcPr>
          <w:p>
            <w:pPr>
              <w:spacing w:after="0"/>
              <w:rPr>
                <w:sz w:val="20"/>
                <w:szCs w:val="20"/>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459,080</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8"/>
                <w:szCs w:val="18"/>
                <w:color w:val="auto"/>
                <w:w w:val="86"/>
              </w:rPr>
              <w:t>107,819</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(7,594)</w:t>
            </w:r>
          </w:p>
        </w:tc>
        <w:tc>
          <w:tcPr>
            <w:tcW w:w="480" w:type="dxa"/>
            <w:vAlign w:val="bottom"/>
          </w:tcPr>
          <w:p>
            <w:pPr>
              <w:ind w:left="100"/>
              <w:spacing w:after="0"/>
              <w:rPr>
                <w:sz w:val="20"/>
                <w:szCs w:val="20"/>
                <w:color w:val="auto"/>
              </w:rPr>
            </w:pPr>
            <w:r>
              <w:rPr>
                <w:rFonts w:ascii="Arial" w:cs="Arial" w:eastAsia="Arial" w:hAnsi="Arial"/>
                <w:sz w:val="18"/>
                <w:szCs w:val="18"/>
                <w:color w:val="auto"/>
              </w:rPr>
              <w:t>2(a)</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8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w w:val="89"/>
              </w:rPr>
              <w:t>559,305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Selling, general and administrative expense</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74,112</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21,927</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(298)</w:t>
            </w:r>
          </w:p>
        </w:tc>
        <w:tc>
          <w:tcPr>
            <w:tcW w:w="4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2(b)</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368</w:t>
            </w:r>
          </w:p>
        </w:tc>
        <w:tc>
          <w:tcPr>
            <w:tcW w:w="5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4(a)</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96,109</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520" w:type="dxa"/>
            <w:vAlign w:val="bottom"/>
          </w:tcPr>
          <w:p>
            <w:pPr>
              <w:spacing w:after="0" w:line="201" w:lineRule="exact"/>
              <w:rPr>
                <w:sz w:val="20"/>
                <w:szCs w:val="20"/>
                <w:color w:val="auto"/>
              </w:rPr>
            </w:pPr>
            <w:r>
              <w:rPr>
                <w:rFonts w:ascii="Arial" w:cs="Arial" w:eastAsia="Arial" w:hAnsi="Arial"/>
                <w:sz w:val="18"/>
                <w:szCs w:val="18"/>
                <w:color w:val="auto"/>
                <w:w w:val="93"/>
              </w:rPr>
              <w:t>Acquisition related costs excluded from selling, general and administrative</w:t>
            </w: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520" w:type="dxa"/>
            <w:vAlign w:val="bottom"/>
          </w:tcPr>
          <w:p>
            <w:pPr>
              <w:ind w:left="160"/>
              <w:spacing w:after="0"/>
              <w:rPr>
                <w:sz w:val="20"/>
                <w:szCs w:val="20"/>
                <w:color w:val="auto"/>
              </w:rPr>
            </w:pPr>
            <w:r>
              <w:rPr>
                <w:rFonts w:ascii="Arial" w:cs="Arial" w:eastAsia="Arial" w:hAnsi="Arial"/>
                <w:sz w:val="18"/>
                <w:szCs w:val="18"/>
                <w:color w:val="auto"/>
              </w:rPr>
              <w:t>expense</w:t>
            </w:r>
          </w:p>
        </w:tc>
        <w:tc>
          <w:tcPr>
            <w:tcW w:w="100" w:type="dxa"/>
            <w:vAlign w:val="bottom"/>
          </w:tcPr>
          <w:p>
            <w:pPr>
              <w:spacing w:after="0"/>
              <w:rPr>
                <w:sz w:val="20"/>
                <w:szCs w:val="20"/>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344</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8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344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Depreciation and amortization</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52,406</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4,864</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7,892</w:t>
            </w:r>
          </w:p>
        </w:tc>
        <w:tc>
          <w:tcPr>
            <w:tcW w:w="4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2(c)</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2,331</w:t>
            </w:r>
          </w:p>
        </w:tc>
        <w:tc>
          <w:tcPr>
            <w:tcW w:w="5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4(b)</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67,493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tcPr>
          <w:p>
            <w:pPr>
              <w:spacing w:after="0"/>
              <w:rPr>
                <w:sz w:val="20"/>
                <w:szCs w:val="20"/>
                <w:color w:val="auto"/>
              </w:rPr>
            </w:pPr>
            <w:r>
              <w:rPr>
                <w:rFonts w:ascii="Arial" w:cs="Arial" w:eastAsia="Arial" w:hAnsi="Arial"/>
                <w:sz w:val="18"/>
                <w:szCs w:val="18"/>
                <w:color w:val="auto"/>
              </w:rPr>
              <w:t>Other operating expense (income)</w:t>
            </w:r>
          </w:p>
        </w:tc>
        <w:tc>
          <w:tcPr>
            <w:tcW w:w="100" w:type="dxa"/>
            <w:vAlign w:val="bottom"/>
          </w:tcPr>
          <w:p>
            <w:pPr>
              <w:spacing w:after="0"/>
              <w:rPr>
                <w:sz w:val="18"/>
                <w:szCs w:val="18"/>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351</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351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Restructuring and integration expense</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386</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386</w:t>
            </w:r>
          </w:p>
        </w:tc>
        <w:tc>
          <w:tcPr>
            <w:tcW w:w="0" w:type="dxa"/>
            <w:vAlign w:val="bottom"/>
          </w:tcPr>
          <w:p>
            <w:pPr>
              <w:spacing w:after="0"/>
              <w:rPr>
                <w:sz w:val="1"/>
                <w:szCs w:val="1"/>
                <w:color w:val="auto"/>
              </w:rPr>
            </w:pPr>
          </w:p>
        </w:tc>
      </w:tr>
      <w:tr>
        <w:trPr>
          <w:trHeight w:val="224"/>
        </w:trPr>
        <w:tc>
          <w:tcPr>
            <w:tcW w:w="5540" w:type="dxa"/>
            <w:vAlign w:val="bottom"/>
            <w:gridSpan w:val="2"/>
          </w:tcPr>
          <w:p>
            <w:pPr>
              <w:spacing w:after="0"/>
              <w:rPr>
                <w:sz w:val="20"/>
                <w:szCs w:val="20"/>
                <w:color w:val="auto"/>
              </w:rPr>
            </w:pPr>
            <w:r>
              <w:rPr>
                <w:rFonts w:ascii="Arial" w:cs="Arial" w:eastAsia="Arial" w:hAnsi="Arial"/>
                <w:sz w:val="18"/>
                <w:szCs w:val="18"/>
                <w:color w:val="auto"/>
              </w:rPr>
              <w:t>Income from operations</w:t>
            </w:r>
          </w:p>
        </w:tc>
        <w:tc>
          <w:tcPr>
            <w:tcW w:w="100" w:type="dxa"/>
            <w:vAlign w:val="bottom"/>
            <w:tcBorders>
              <w:top w:val="single" w:sz="8" w:color="auto"/>
            </w:tcBorders>
          </w:tcPr>
          <w:p>
            <w:pPr>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33,114</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6,369</w:t>
            </w: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Borders>
              <w:top w:val="single" w:sz="8" w:color="auto"/>
            </w:tcBorders>
          </w:tcPr>
          <w:p>
            <w:pPr>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w:t>
            </w: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(2,699)</w:t>
            </w:r>
          </w:p>
        </w:tc>
        <w:tc>
          <w:tcPr>
            <w:tcW w:w="1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Borders>
              <w:top w:val="single" w:sz="8" w:color="auto"/>
            </w:tcBorders>
          </w:tcPr>
          <w:p>
            <w:pPr>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36,784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7"/>
        </w:trPr>
        <w:tc>
          <w:tcPr>
            <w:tcW w:w="20" w:type="dxa"/>
            <w:vAlign w:val="bottom"/>
            <w:vMerge w:val="restart"/>
          </w:tcPr>
          <w:p>
            <w:pPr>
              <w:spacing w:after="0"/>
              <w:rPr>
                <w:sz w:val="9"/>
                <w:szCs w:val="9"/>
                <w:color w:val="auto"/>
              </w:rPr>
            </w:pPr>
          </w:p>
        </w:tc>
        <w:tc>
          <w:tcPr>
            <w:tcW w:w="5520" w:type="dxa"/>
            <w:vAlign w:val="bottom"/>
          </w:tcPr>
          <w:p>
            <w:pPr>
              <w:spacing w:after="0"/>
              <w:rPr>
                <w:sz w:val="9"/>
                <w:szCs w:val="9"/>
                <w:color w:val="auto"/>
              </w:rPr>
            </w:pPr>
          </w:p>
        </w:tc>
        <w:tc>
          <w:tcPr>
            <w:tcW w:w="10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880" w:type="dxa"/>
            <w:vAlign w:val="bottom"/>
          </w:tcPr>
          <w:p>
            <w:pPr>
              <w:spacing w:after="0"/>
              <w:rPr>
                <w:sz w:val="9"/>
                <w:szCs w:val="9"/>
                <w:color w:val="auto"/>
              </w:rPr>
            </w:pPr>
          </w:p>
        </w:tc>
        <w:tc>
          <w:tcPr>
            <w:tcW w:w="160" w:type="dxa"/>
            <w:vAlign w:val="bottom"/>
          </w:tcPr>
          <w:p>
            <w:pPr>
              <w:spacing w:after="0"/>
              <w:rPr>
                <w:sz w:val="9"/>
                <w:szCs w:val="9"/>
                <w:color w:val="auto"/>
              </w:rPr>
            </w:pPr>
          </w:p>
        </w:tc>
        <w:tc>
          <w:tcPr>
            <w:tcW w:w="480" w:type="dxa"/>
            <w:vAlign w:val="bottom"/>
          </w:tcPr>
          <w:p>
            <w:pPr>
              <w:spacing w:after="0"/>
              <w:rPr>
                <w:sz w:val="9"/>
                <w:szCs w:val="9"/>
                <w:color w:val="auto"/>
              </w:rPr>
            </w:pPr>
          </w:p>
        </w:tc>
        <w:tc>
          <w:tcPr>
            <w:tcW w:w="60" w:type="dxa"/>
            <w:vAlign w:val="bottom"/>
          </w:tcPr>
          <w:p>
            <w:pPr>
              <w:spacing w:after="0"/>
              <w:rPr>
                <w:sz w:val="9"/>
                <w:szCs w:val="9"/>
                <w:color w:val="auto"/>
              </w:rPr>
            </w:pPr>
          </w:p>
        </w:tc>
        <w:tc>
          <w:tcPr>
            <w:tcW w:w="180" w:type="dxa"/>
            <w:vAlign w:val="bottom"/>
          </w:tcPr>
          <w:p>
            <w:pPr>
              <w:spacing w:after="0"/>
              <w:rPr>
                <w:sz w:val="9"/>
                <w:szCs w:val="9"/>
                <w:color w:val="auto"/>
              </w:rPr>
            </w:pPr>
          </w:p>
        </w:tc>
        <w:tc>
          <w:tcPr>
            <w:tcW w:w="620" w:type="dxa"/>
            <w:vAlign w:val="bottom"/>
          </w:tcPr>
          <w:p>
            <w:pPr>
              <w:spacing w:after="0"/>
              <w:rPr>
                <w:sz w:val="9"/>
                <w:szCs w:val="9"/>
                <w:color w:val="auto"/>
              </w:rPr>
            </w:pPr>
          </w:p>
        </w:tc>
        <w:tc>
          <w:tcPr>
            <w:tcW w:w="160" w:type="dxa"/>
            <w:vAlign w:val="bottom"/>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52,085</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7,971</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13,093</w:t>
            </w:r>
          </w:p>
        </w:tc>
        <w:tc>
          <w:tcPr>
            <w:tcW w:w="5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4(c)</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73,149</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520" w:type="dxa"/>
            <w:vAlign w:val="bottom"/>
          </w:tcPr>
          <w:p>
            <w:pPr>
              <w:spacing w:after="0" w:line="201" w:lineRule="exact"/>
              <w:rPr>
                <w:sz w:val="20"/>
                <w:szCs w:val="20"/>
                <w:color w:val="auto"/>
              </w:rPr>
            </w:pPr>
            <w:r>
              <w:rPr>
                <w:rFonts w:ascii="Arial" w:cs="Arial" w:eastAsia="Arial" w:hAnsi="Arial"/>
                <w:sz w:val="18"/>
                <w:szCs w:val="18"/>
                <w:color w:val="auto"/>
                <w:w w:val="92"/>
              </w:rPr>
              <w:t>Loss on extinguishment of debt and write-off of unamortized debt issuance</w:t>
            </w: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520" w:type="dxa"/>
            <w:vAlign w:val="bottom"/>
          </w:tcPr>
          <w:p>
            <w:pPr>
              <w:ind w:left="160"/>
              <w:spacing w:after="0"/>
              <w:rPr>
                <w:sz w:val="20"/>
                <w:szCs w:val="20"/>
                <w:color w:val="auto"/>
              </w:rPr>
            </w:pPr>
            <w:r>
              <w:rPr>
                <w:rFonts w:ascii="Arial" w:cs="Arial" w:eastAsia="Arial" w:hAnsi="Arial"/>
                <w:sz w:val="18"/>
                <w:szCs w:val="18"/>
                <w:color w:val="auto"/>
              </w:rPr>
              <w:t>costs</w:t>
            </w:r>
          </w:p>
        </w:tc>
        <w:tc>
          <w:tcPr>
            <w:tcW w:w="100" w:type="dxa"/>
            <w:vAlign w:val="bottom"/>
          </w:tcPr>
          <w:p>
            <w:pPr>
              <w:spacing w:after="0"/>
              <w:rPr>
                <w:sz w:val="20"/>
                <w:szCs w:val="20"/>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42,087</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8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42,087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Derivative loss (gain) on change in interest rate swap value</w:t>
            </w:r>
          </w:p>
        </w:tc>
        <w:tc>
          <w:tcPr>
            <w:tcW w:w="10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(101)</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520" w:type="dxa"/>
            <w:vAlign w:val="bottom"/>
          </w:tcPr>
          <w:p>
            <w:pPr>
              <w:spacing w:after="0"/>
              <w:rPr>
                <w:sz w:val="20"/>
                <w:szCs w:val="20"/>
                <w:color w:val="auto"/>
              </w:rPr>
            </w:pPr>
            <w:r>
              <w:rPr>
                <w:rFonts w:ascii="Arial" w:cs="Arial" w:eastAsia="Arial" w:hAnsi="Arial"/>
                <w:sz w:val="18"/>
                <w:szCs w:val="18"/>
                <w:color w:val="auto"/>
              </w:rPr>
              <w:t>Other expense (income), net</w:t>
            </w:r>
          </w:p>
        </w:tc>
        <w:tc>
          <w:tcPr>
            <w:tcW w:w="100" w:type="dxa"/>
            <w:vAlign w:val="bottom"/>
          </w:tcPr>
          <w:p>
            <w:pPr>
              <w:spacing w:after="0"/>
              <w:rPr>
                <w:sz w:val="19"/>
                <w:szCs w:val="19"/>
                <w:color w:val="auto"/>
              </w:rPr>
            </w:pPr>
          </w:p>
        </w:tc>
        <w:tc>
          <w:tcPr>
            <w:tcW w:w="840" w:type="dxa"/>
            <w:vAlign w:val="bottom"/>
            <w:gridSpan w:val="3"/>
          </w:tcPr>
          <w:p>
            <w:pPr>
              <w:jc w:val="right"/>
              <w:ind w:right="60"/>
              <w:spacing w:after="0"/>
              <w:rPr>
                <w:sz w:val="20"/>
                <w:szCs w:val="20"/>
                <w:color w:val="auto"/>
              </w:rPr>
            </w:pPr>
            <w:r>
              <w:rPr>
                <w:rFonts w:ascii="Arial" w:cs="Arial" w:eastAsia="Arial" w:hAnsi="Arial"/>
                <w:sz w:val="18"/>
                <w:szCs w:val="18"/>
                <w:color w:val="auto"/>
              </w:rPr>
              <w:t>(2,084)</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8"/>
                <w:szCs w:val="18"/>
                <w:color w:val="auto"/>
              </w:rPr>
              <w:t>(1,617)</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8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(3,701)</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5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Loss from continuing operations before provision (benefit) for income</w:t>
            </w:r>
          </w:p>
        </w:tc>
        <w:tc>
          <w:tcPr>
            <w:tcW w:w="10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5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taxes and share of net income from joint venture</w:t>
            </w:r>
          </w:p>
        </w:tc>
        <w:tc>
          <w:tcPr>
            <w:tcW w:w="100" w:type="dxa"/>
            <w:vAlign w:val="bottom"/>
            <w:shd w:val="clear" w:color="auto" w:fill="CCEEFF"/>
          </w:tcPr>
          <w:p>
            <w:pPr>
              <w:spacing w:after="0"/>
              <w:rPr>
                <w:sz w:val="20"/>
                <w:szCs w:val="20"/>
                <w:color w:val="auto"/>
              </w:rPr>
            </w:pPr>
          </w:p>
        </w:tc>
        <w:tc>
          <w:tcPr>
            <w:tcW w:w="8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(58,873)</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4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8"/>
              </w:rPr>
              <w:t>(15,792)</w:t>
            </w:r>
          </w:p>
        </w:tc>
        <w:tc>
          <w:tcPr>
            <w:tcW w:w="5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5"/>
              </w:rPr>
              <w:t>(74,650)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tcPr>
          <w:p>
            <w:pPr>
              <w:spacing w:after="0"/>
              <w:rPr>
                <w:sz w:val="20"/>
                <w:szCs w:val="20"/>
                <w:color w:val="auto"/>
              </w:rPr>
            </w:pPr>
            <w:r>
              <w:rPr>
                <w:rFonts w:ascii="Arial" w:cs="Arial" w:eastAsia="Arial" w:hAnsi="Arial"/>
                <w:sz w:val="18"/>
                <w:szCs w:val="18"/>
                <w:color w:val="auto"/>
              </w:rPr>
              <w:t>Provision (benefit) for income taxes</w:t>
            </w:r>
          </w:p>
        </w:tc>
        <w:tc>
          <w:tcPr>
            <w:tcW w:w="100" w:type="dxa"/>
            <w:vAlign w:val="bottom"/>
          </w:tcPr>
          <w:p>
            <w:pPr>
              <w:spacing w:after="0"/>
              <w:rPr>
                <w:sz w:val="18"/>
                <w:szCs w:val="18"/>
                <w:color w:val="auto"/>
              </w:rPr>
            </w:pPr>
          </w:p>
        </w:tc>
        <w:tc>
          <w:tcPr>
            <w:tcW w:w="840" w:type="dxa"/>
            <w:vAlign w:val="bottom"/>
            <w:gridSpan w:val="3"/>
          </w:tcPr>
          <w:p>
            <w:pPr>
              <w:jc w:val="right"/>
              <w:ind w:right="60"/>
              <w:spacing w:after="0"/>
              <w:rPr>
                <w:sz w:val="20"/>
                <w:szCs w:val="20"/>
                <w:color w:val="auto"/>
              </w:rPr>
            </w:pPr>
            <w:r>
              <w:rPr>
                <w:rFonts w:ascii="Arial" w:cs="Arial" w:eastAsia="Arial" w:hAnsi="Arial"/>
                <w:sz w:val="18"/>
                <w:szCs w:val="18"/>
                <w:color w:val="auto"/>
              </w:rPr>
              <w:t>(79,026)</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8"/>
                <w:szCs w:val="18"/>
                <w:color w:val="auto"/>
              </w:rPr>
              <w:t>(7,280)</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(5,528)</w:t>
            </w:r>
          </w:p>
        </w:tc>
        <w:tc>
          <w:tcPr>
            <w:tcW w:w="540" w:type="dxa"/>
            <w:vAlign w:val="bottom"/>
          </w:tcPr>
          <w:p>
            <w:pPr>
              <w:ind w:left="100"/>
              <w:spacing w:after="0"/>
              <w:rPr>
                <w:sz w:val="20"/>
                <w:szCs w:val="20"/>
                <w:color w:val="auto"/>
              </w:rPr>
            </w:pPr>
            <w:r>
              <w:rPr>
                <w:rFonts w:ascii="Arial" w:cs="Arial" w:eastAsia="Arial" w:hAnsi="Arial"/>
                <w:sz w:val="18"/>
                <w:szCs w:val="18"/>
                <w:color w:val="auto"/>
              </w:rPr>
              <w:t>4(d)</w:t>
            </w:r>
          </w:p>
        </w:tc>
        <w:tc>
          <w:tcPr>
            <w:tcW w:w="10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w w:val="95"/>
              </w:rPr>
              <w:t>(91,834)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Share of net income from joint venture</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5,211</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5,211</w:t>
            </w:r>
          </w:p>
        </w:tc>
        <w:tc>
          <w:tcPr>
            <w:tcW w:w="0" w:type="dxa"/>
            <w:vAlign w:val="bottom"/>
          </w:tcPr>
          <w:p>
            <w:pPr>
              <w:spacing w:after="0"/>
              <w:rPr>
                <w:sz w:val="1"/>
                <w:szCs w:val="1"/>
                <w:color w:val="auto"/>
              </w:rPr>
            </w:pPr>
          </w:p>
        </w:tc>
      </w:tr>
      <w:tr>
        <w:trPr>
          <w:trHeight w:val="223"/>
        </w:trPr>
        <w:tc>
          <w:tcPr>
            <w:tcW w:w="5540" w:type="dxa"/>
            <w:vAlign w:val="bottom"/>
            <w:gridSpan w:val="2"/>
          </w:tcPr>
          <w:p>
            <w:pPr>
              <w:spacing w:after="0"/>
              <w:rPr>
                <w:sz w:val="20"/>
                <w:szCs w:val="20"/>
                <w:color w:val="auto"/>
              </w:rPr>
            </w:pPr>
            <w:r>
              <w:rPr>
                <w:rFonts w:ascii="Arial" w:cs="Arial" w:eastAsia="Arial" w:hAnsi="Arial"/>
                <w:sz w:val="18"/>
                <w:szCs w:val="18"/>
                <w:color w:val="auto"/>
              </w:rPr>
              <w:t>Income (loss) from continuing operations</w:t>
            </w: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25,364</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7,295</w:t>
            </w: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(10,264</w:t>
            </w:r>
          </w:p>
        </w:tc>
        <w:tc>
          <w:tcPr>
            <w:tcW w:w="160" w:type="dxa"/>
            <w:vAlign w:val="bottom"/>
          </w:tcPr>
          <w:p>
            <w:pPr>
              <w:jc w:val="right"/>
              <w:ind w:right="20"/>
              <w:spacing w:after="0"/>
              <w:rPr>
                <w:sz w:val="20"/>
                <w:szCs w:val="20"/>
                <w:color w:val="auto"/>
              </w:rPr>
            </w:pPr>
            <w:r>
              <w:rPr>
                <w:rFonts w:ascii="Arial" w:cs="Arial" w:eastAsia="Arial" w:hAnsi="Arial"/>
                <w:sz w:val="16"/>
                <w:szCs w:val="16"/>
                <w:color w:val="auto"/>
                <w:w w:val="74"/>
              </w:rPr>
              <w:t>)</w:t>
            </w:r>
          </w:p>
        </w:tc>
        <w:tc>
          <w:tcPr>
            <w:tcW w:w="54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22,395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5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5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Basic income (loss) from continuing operations per share:</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tcPr>
          <w:p>
            <w:pPr>
              <w:ind w:left="340"/>
              <w:spacing w:after="0"/>
              <w:rPr>
                <w:sz w:val="20"/>
                <w:szCs w:val="20"/>
                <w:color w:val="auto"/>
              </w:rPr>
            </w:pPr>
            <w:r>
              <w:rPr>
                <w:rFonts w:ascii="Arial" w:cs="Arial" w:eastAsia="Arial" w:hAnsi="Arial"/>
                <w:sz w:val="18"/>
                <w:szCs w:val="18"/>
                <w:color w:val="auto"/>
              </w:rPr>
              <w:t>Income (loss) from continuing operations per share</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0.92</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0.82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5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5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Weighted average shares outstanding</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27,433</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27,433</w:t>
            </w:r>
          </w:p>
        </w:tc>
        <w:tc>
          <w:tcPr>
            <w:tcW w:w="0" w:type="dxa"/>
            <w:vAlign w:val="bottom"/>
          </w:tcPr>
          <w:p>
            <w:pPr>
              <w:spacing w:after="0"/>
              <w:rPr>
                <w:sz w:val="1"/>
                <w:szCs w:val="1"/>
                <w:color w:val="auto"/>
              </w:rPr>
            </w:pPr>
          </w:p>
        </w:tc>
      </w:tr>
      <w:tr>
        <w:trPr>
          <w:trHeight w:val="20"/>
        </w:trPr>
        <w:tc>
          <w:tcPr>
            <w:tcW w:w="554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Diluted income (loss) from continuing operations per share:</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54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Income (loss) from continuing operations per share</w:t>
            </w:r>
          </w:p>
        </w:tc>
        <w:tc>
          <w:tcPr>
            <w:tcW w:w="1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0.91</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0.81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520" w:type="dxa"/>
            <w:vAlign w:val="bottom"/>
            <w:vMerge w:val="restart"/>
          </w:tcPr>
          <w:p>
            <w:pPr>
              <w:ind w:left="340"/>
              <w:spacing w:after="0"/>
              <w:rPr>
                <w:sz w:val="20"/>
                <w:szCs w:val="20"/>
                <w:color w:val="auto"/>
              </w:rPr>
            </w:pPr>
            <w:r>
              <w:rPr>
                <w:rFonts w:ascii="Arial" w:cs="Arial" w:eastAsia="Arial" w:hAnsi="Arial"/>
                <w:sz w:val="18"/>
                <w:szCs w:val="18"/>
                <w:color w:val="auto"/>
              </w:rPr>
              <w:t>Weighted average shares outstanding</w:t>
            </w:r>
          </w:p>
        </w:tc>
        <w:tc>
          <w:tcPr>
            <w:tcW w:w="10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520" w:type="dxa"/>
            <w:vAlign w:val="bottom"/>
            <w:vMerge w:val="continue"/>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27,755</w:t>
            </w:r>
          </w:p>
        </w:tc>
        <w:tc>
          <w:tcPr>
            <w:tcW w:w="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27,755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5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See accompanying Notes to Unaudited Pro Forma Condensed Combined Financial Information.</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270" w:right="239" w:bottom="1440" w:gutter="0" w:footer="0" w:header="0"/>
        </w:sectPr>
      </w:pPr>
    </w:p>
    <w:bookmarkStart w:id="41" w:name="page42"/>
    <w:bookmarkEnd w:id="41"/>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NN, Inc. and PMG Intermediate Holding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Pro Forma Condensed Combined Statement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Three Months Ended March 31, 2018</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Amounts in thousands of dollars, except per share data</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gridSpan w:val="4"/>
            <w:vMerge w:val="restart"/>
          </w:tcPr>
          <w:p>
            <w:pPr>
              <w:spacing w:after="0"/>
              <w:rPr>
                <w:sz w:val="20"/>
                <w:szCs w:val="20"/>
                <w:color w:val="auto"/>
              </w:rPr>
            </w:pPr>
            <w:r>
              <w:rPr>
                <w:rFonts w:ascii="Arial" w:cs="Arial" w:eastAsia="Arial" w:hAnsi="Arial"/>
                <w:sz w:val="14"/>
                <w:szCs w:val="14"/>
                <w:b w:val="1"/>
                <w:bCs w:val="1"/>
                <w:color w:val="auto"/>
              </w:rPr>
              <w:t>Consolidated</w:t>
            </w: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w w:val="93"/>
              </w:rPr>
              <w:t>Accounting</w:t>
            </w:r>
          </w:p>
        </w:tc>
        <w:tc>
          <w:tcPr>
            <w:tcW w:w="4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4"/>
            <w:vMerge w:val="continue"/>
          </w:tcPr>
          <w:p>
            <w:pPr>
              <w:spacing w:after="0"/>
              <w:rPr>
                <w:sz w:val="12"/>
                <w:szCs w:val="12"/>
                <w:color w:val="auto"/>
              </w:rPr>
            </w:pPr>
          </w:p>
        </w:tc>
        <w:tc>
          <w:tcPr>
            <w:tcW w:w="680" w:type="dxa"/>
            <w:vAlign w:val="bottom"/>
            <w:gridSpan w:val="3"/>
            <w:vMerge w:val="restart"/>
          </w:tcPr>
          <w:p>
            <w:pPr>
              <w:jc w:val="right"/>
              <w:ind w:right="120"/>
              <w:spacing w:after="0"/>
              <w:rPr>
                <w:sz w:val="20"/>
                <w:szCs w:val="20"/>
                <w:color w:val="auto"/>
              </w:rPr>
            </w:pPr>
            <w:r>
              <w:rPr>
                <w:rFonts w:ascii="Arial" w:cs="Arial" w:eastAsia="Arial" w:hAnsi="Arial"/>
                <w:sz w:val="14"/>
                <w:szCs w:val="14"/>
                <w:b w:val="1"/>
                <w:bCs w:val="1"/>
                <w:color w:val="auto"/>
                <w:w w:val="96"/>
              </w:rPr>
              <w:t>Paragon</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gridSpan w:val="2"/>
          </w:tcPr>
          <w:p>
            <w:pPr>
              <w:jc w:val="right"/>
              <w:ind w:right="460"/>
              <w:spacing w:after="0" w:line="149" w:lineRule="exact"/>
              <w:rPr>
                <w:sz w:val="20"/>
                <w:szCs w:val="20"/>
                <w:color w:val="auto"/>
              </w:rPr>
            </w:pPr>
            <w:r>
              <w:rPr>
                <w:rFonts w:ascii="Arial" w:cs="Arial" w:eastAsia="Arial" w:hAnsi="Arial"/>
                <w:sz w:val="14"/>
                <w:szCs w:val="14"/>
                <w:b w:val="1"/>
                <w:bCs w:val="1"/>
                <w:color w:val="auto"/>
              </w:rPr>
              <w:t>Policy</w:t>
            </w:r>
          </w:p>
        </w:tc>
        <w:tc>
          <w:tcPr>
            <w:tcW w:w="4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60" w:type="dxa"/>
            <w:vAlign w:val="bottom"/>
            <w:gridSpan w:val="3"/>
            <w:vMerge w:val="restart"/>
          </w:tcPr>
          <w:p>
            <w:pPr>
              <w:jc w:val="right"/>
              <w:ind w:right="140"/>
              <w:spacing w:after="0"/>
              <w:rPr>
                <w:sz w:val="20"/>
                <w:szCs w:val="20"/>
                <w:color w:val="auto"/>
              </w:rPr>
            </w:pPr>
            <w:r>
              <w:rPr>
                <w:rFonts w:ascii="Arial" w:cs="Arial" w:eastAsia="Arial" w:hAnsi="Arial"/>
                <w:sz w:val="14"/>
                <w:szCs w:val="14"/>
                <w:b w:val="1"/>
                <w:bCs w:val="1"/>
                <w:color w:val="auto"/>
              </w:rPr>
              <w:t>Pro Forma</w:t>
            </w:r>
          </w:p>
        </w:tc>
        <w:tc>
          <w:tcPr>
            <w:tcW w:w="540" w:type="dxa"/>
            <w:vAlign w:val="bottom"/>
          </w:tcPr>
          <w:p>
            <w:pPr>
              <w:spacing w:after="0"/>
              <w:rPr>
                <w:sz w:val="12"/>
                <w:szCs w:val="12"/>
                <w:color w:val="auto"/>
              </w:rPr>
            </w:pPr>
          </w:p>
        </w:tc>
        <w:tc>
          <w:tcPr>
            <w:tcW w:w="80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Pro Forma</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3"/>
          </w:tcPr>
          <w:p>
            <w:pPr>
              <w:jc w:val="right"/>
              <w:ind w:right="320"/>
              <w:spacing w:after="0" w:line="149" w:lineRule="exact"/>
              <w:rPr>
                <w:sz w:val="20"/>
                <w:szCs w:val="20"/>
                <w:color w:val="auto"/>
              </w:rPr>
            </w:pPr>
            <w:r>
              <w:rPr>
                <w:rFonts w:ascii="Arial" w:cs="Arial" w:eastAsia="Arial" w:hAnsi="Arial"/>
                <w:sz w:val="14"/>
                <w:szCs w:val="14"/>
                <w:b w:val="1"/>
                <w:bCs w:val="1"/>
                <w:color w:val="auto"/>
                <w:w w:val="90"/>
              </w:rPr>
              <w:t>Historical</w:t>
            </w:r>
          </w:p>
        </w:tc>
        <w:tc>
          <w:tcPr>
            <w:tcW w:w="680" w:type="dxa"/>
            <w:vAlign w:val="bottom"/>
            <w:gridSpan w:val="3"/>
            <w:vMerge w:val="continue"/>
          </w:tcPr>
          <w:p>
            <w:pPr>
              <w:spacing w:after="0"/>
              <w:rPr>
                <w:sz w:val="12"/>
                <w:szCs w:val="12"/>
                <w:color w:val="auto"/>
              </w:rPr>
            </w:pPr>
          </w:p>
        </w:tc>
        <w:tc>
          <w:tcPr>
            <w:tcW w:w="60" w:type="dxa"/>
            <w:vAlign w:val="bottom"/>
          </w:tcPr>
          <w:p>
            <w:pPr>
              <w:spacing w:after="0"/>
              <w:rPr>
                <w:sz w:val="12"/>
                <w:szCs w:val="12"/>
                <w:color w:val="auto"/>
              </w:rPr>
            </w:pPr>
          </w:p>
        </w:tc>
        <w:tc>
          <w:tcPr>
            <w:tcW w:w="114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Reclassification</w:t>
            </w:r>
          </w:p>
        </w:tc>
        <w:tc>
          <w:tcPr>
            <w:tcW w:w="4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60" w:type="dxa"/>
            <w:vAlign w:val="bottom"/>
            <w:gridSpan w:val="3"/>
            <w:vMerge w:val="continue"/>
          </w:tcPr>
          <w:p>
            <w:pPr>
              <w:spacing w:after="0"/>
              <w:rPr>
                <w:sz w:val="12"/>
                <w:szCs w:val="12"/>
                <w:color w:val="auto"/>
              </w:rPr>
            </w:pPr>
          </w:p>
        </w:tc>
        <w:tc>
          <w:tcPr>
            <w:tcW w:w="540" w:type="dxa"/>
            <w:vAlign w:val="bottom"/>
          </w:tcPr>
          <w:p>
            <w:pPr>
              <w:spacing w:after="0"/>
              <w:rPr>
                <w:sz w:val="12"/>
                <w:szCs w:val="12"/>
                <w:color w:val="auto"/>
              </w:rPr>
            </w:pPr>
          </w:p>
        </w:tc>
        <w:tc>
          <w:tcPr>
            <w:tcW w:w="80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gridSpan w:val="3"/>
          </w:tcPr>
          <w:p>
            <w:pPr>
              <w:jc w:val="right"/>
              <w:ind w:right="360"/>
              <w:spacing w:after="0"/>
              <w:rPr>
                <w:sz w:val="20"/>
                <w:szCs w:val="20"/>
                <w:color w:val="auto"/>
              </w:rPr>
            </w:pPr>
            <w:r>
              <w:rPr>
                <w:rFonts w:ascii="Arial" w:cs="Arial" w:eastAsia="Arial" w:hAnsi="Arial"/>
                <w:sz w:val="14"/>
                <w:szCs w:val="14"/>
                <w:b w:val="1"/>
                <w:bCs w:val="1"/>
                <w:color w:val="auto"/>
              </w:rPr>
              <w:t>NN, Inc.</w:t>
            </w:r>
          </w:p>
        </w:tc>
        <w:tc>
          <w:tcPr>
            <w:tcW w:w="680" w:type="dxa"/>
            <w:vAlign w:val="bottom"/>
            <w:gridSpan w:val="3"/>
          </w:tcPr>
          <w:p>
            <w:pPr>
              <w:spacing w:after="0"/>
              <w:rPr>
                <w:sz w:val="20"/>
                <w:szCs w:val="20"/>
                <w:color w:val="auto"/>
              </w:rPr>
            </w:pPr>
            <w:r>
              <w:rPr>
                <w:rFonts w:ascii="Arial" w:cs="Arial" w:eastAsia="Arial" w:hAnsi="Arial"/>
                <w:sz w:val="14"/>
                <w:szCs w:val="14"/>
                <w:b w:val="1"/>
                <w:bCs w:val="1"/>
                <w:color w:val="auto"/>
              </w:rPr>
              <w:t>Historical</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w w:val="89"/>
              </w:rPr>
              <w:t>Adjustments</w:t>
            </w:r>
          </w:p>
        </w:tc>
        <w:tc>
          <w:tcPr>
            <w:tcW w:w="4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60" w:type="dxa"/>
            <w:vAlign w:val="bottom"/>
            <w:gridSpan w:val="3"/>
          </w:tcPr>
          <w:p>
            <w:pPr>
              <w:ind w:left="20"/>
              <w:spacing w:after="0"/>
              <w:rPr>
                <w:sz w:val="20"/>
                <w:szCs w:val="20"/>
                <w:color w:val="auto"/>
              </w:rPr>
            </w:pPr>
            <w:r>
              <w:rPr>
                <w:rFonts w:ascii="Arial" w:cs="Arial" w:eastAsia="Arial" w:hAnsi="Arial"/>
                <w:sz w:val="14"/>
                <w:szCs w:val="14"/>
                <w:b w:val="1"/>
                <w:bCs w:val="1"/>
                <w:color w:val="auto"/>
              </w:rPr>
              <w:t>Adjustments</w:t>
            </w:r>
          </w:p>
        </w:tc>
        <w:tc>
          <w:tcPr>
            <w:tcW w:w="540" w:type="dxa"/>
            <w:vAlign w:val="bottom"/>
          </w:tcPr>
          <w:p>
            <w:pPr>
              <w:spacing w:after="0"/>
              <w:rPr>
                <w:sz w:val="14"/>
                <w:szCs w:val="14"/>
                <w:color w:val="auto"/>
              </w:rPr>
            </w:pPr>
          </w:p>
        </w:tc>
        <w:tc>
          <w:tcPr>
            <w:tcW w:w="800" w:type="dxa"/>
            <w:vAlign w:val="bottom"/>
            <w:gridSpan w:val="3"/>
          </w:tcPr>
          <w:p>
            <w:pPr>
              <w:ind w:left="20"/>
              <w:spacing w:after="0"/>
              <w:rPr>
                <w:sz w:val="20"/>
                <w:szCs w:val="20"/>
                <w:color w:val="auto"/>
              </w:rPr>
            </w:pPr>
            <w:r>
              <w:rPr>
                <w:rFonts w:ascii="Arial" w:cs="Arial" w:eastAsia="Arial" w:hAnsi="Arial"/>
                <w:sz w:val="14"/>
                <w:szCs w:val="14"/>
                <w:b w:val="1"/>
                <w:bCs w:val="1"/>
                <w:color w:val="auto"/>
              </w:rPr>
              <w:t>Combined</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5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sales</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169,148</w:t>
            </w:r>
          </w:p>
        </w:tc>
        <w:tc>
          <w:tcPr>
            <w:tcW w:w="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40,650</w:t>
            </w:r>
          </w:p>
        </w:tc>
        <w:tc>
          <w:tcPr>
            <w:tcW w:w="8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80" w:type="dxa"/>
            <w:vAlign w:val="bottom"/>
            <w:tcBorders>
              <w:top w:val="single" w:sz="8" w:color="auto"/>
            </w:tcBorders>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6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209,798</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560" w:type="dxa"/>
            <w:vAlign w:val="bottom"/>
          </w:tcPr>
          <w:p>
            <w:pPr>
              <w:spacing w:after="0" w:line="201" w:lineRule="exact"/>
              <w:rPr>
                <w:sz w:val="20"/>
                <w:szCs w:val="20"/>
                <w:color w:val="auto"/>
              </w:rPr>
            </w:pPr>
            <w:r>
              <w:rPr>
                <w:rFonts w:ascii="Arial" w:cs="Arial" w:eastAsia="Arial" w:hAnsi="Arial"/>
                <w:sz w:val="18"/>
                <w:szCs w:val="18"/>
                <w:color w:val="auto"/>
                <w:w w:val="93"/>
              </w:rPr>
              <w:t>Cost of sales (exclusive of depreciation and amortization shown separately</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560" w:type="dxa"/>
            <w:vAlign w:val="bottom"/>
          </w:tcPr>
          <w:p>
            <w:pPr>
              <w:ind w:left="160"/>
              <w:spacing w:after="0"/>
              <w:rPr>
                <w:sz w:val="20"/>
                <w:szCs w:val="20"/>
                <w:color w:val="auto"/>
              </w:rPr>
            </w:pPr>
            <w:r>
              <w:rPr>
                <w:rFonts w:ascii="Arial" w:cs="Arial" w:eastAsia="Arial" w:hAnsi="Arial"/>
                <w:sz w:val="18"/>
                <w:szCs w:val="18"/>
                <w:color w:val="auto"/>
              </w:rPr>
              <w:t>below)</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126,444</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gridSpan w:val="2"/>
          </w:tcPr>
          <w:p>
            <w:pPr>
              <w:jc w:val="right"/>
              <w:ind w:right="80"/>
              <w:spacing w:after="0"/>
              <w:rPr>
                <w:sz w:val="20"/>
                <w:szCs w:val="20"/>
                <w:color w:val="auto"/>
              </w:rPr>
            </w:pPr>
            <w:r>
              <w:rPr>
                <w:rFonts w:ascii="Arial" w:cs="Arial" w:eastAsia="Arial" w:hAnsi="Arial"/>
                <w:sz w:val="18"/>
                <w:szCs w:val="18"/>
                <w:color w:val="auto"/>
                <w:w w:val="87"/>
              </w:rPr>
              <w:t>30,498</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(1,904)</w:t>
            </w:r>
          </w:p>
        </w:tc>
        <w:tc>
          <w:tcPr>
            <w:tcW w:w="480" w:type="dxa"/>
            <w:vAlign w:val="bottom"/>
          </w:tcPr>
          <w:p>
            <w:pPr>
              <w:ind w:left="100"/>
              <w:spacing w:after="0"/>
              <w:rPr>
                <w:sz w:val="20"/>
                <w:szCs w:val="20"/>
                <w:color w:val="auto"/>
              </w:rPr>
            </w:pPr>
            <w:r>
              <w:rPr>
                <w:rFonts w:ascii="Arial" w:cs="Arial" w:eastAsia="Arial" w:hAnsi="Arial"/>
                <w:sz w:val="18"/>
                <w:szCs w:val="18"/>
                <w:color w:val="auto"/>
              </w:rPr>
              <w:t>2(a)</w:t>
            </w: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4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w w:val="89"/>
              </w:rPr>
              <w:t>155,038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shd w:val="clear" w:color="auto" w:fill="CCEEFF"/>
          </w:tcPr>
          <w:p>
            <w:pPr>
              <w:spacing w:after="0"/>
              <w:rPr>
                <w:sz w:val="20"/>
                <w:szCs w:val="20"/>
                <w:color w:val="auto"/>
              </w:rPr>
            </w:pPr>
            <w:r>
              <w:rPr>
                <w:rFonts w:ascii="Arial" w:cs="Arial" w:eastAsia="Arial" w:hAnsi="Arial"/>
                <w:sz w:val="18"/>
                <w:szCs w:val="18"/>
                <w:color w:val="auto"/>
              </w:rPr>
              <w:t>Selling, general and administrative expense</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22,177</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4,086</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(81)</w:t>
            </w:r>
          </w:p>
        </w:tc>
        <w:tc>
          <w:tcPr>
            <w:tcW w:w="4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2(b)</w:t>
            </w: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w:t>
            </w: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4(a)</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26,274</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560" w:type="dxa"/>
            <w:vAlign w:val="bottom"/>
          </w:tcPr>
          <w:p>
            <w:pPr>
              <w:spacing w:after="0" w:line="201" w:lineRule="exact"/>
              <w:rPr>
                <w:sz w:val="20"/>
                <w:szCs w:val="20"/>
                <w:color w:val="auto"/>
              </w:rPr>
            </w:pPr>
            <w:r>
              <w:rPr>
                <w:rFonts w:ascii="Arial" w:cs="Arial" w:eastAsia="Arial" w:hAnsi="Arial"/>
                <w:sz w:val="18"/>
                <w:szCs w:val="18"/>
                <w:color w:val="auto"/>
                <w:w w:val="94"/>
              </w:rPr>
              <w:t>Acquisition related costs excluded from selling, general and administrative</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560" w:type="dxa"/>
            <w:vAlign w:val="bottom"/>
          </w:tcPr>
          <w:p>
            <w:pPr>
              <w:ind w:left="160"/>
              <w:spacing w:after="0"/>
              <w:rPr>
                <w:sz w:val="20"/>
                <w:szCs w:val="20"/>
                <w:color w:val="auto"/>
              </w:rPr>
            </w:pPr>
            <w:r>
              <w:rPr>
                <w:rFonts w:ascii="Arial" w:cs="Arial" w:eastAsia="Arial" w:hAnsi="Arial"/>
                <w:sz w:val="18"/>
                <w:szCs w:val="18"/>
                <w:color w:val="auto"/>
              </w:rPr>
              <w:t>expense</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1,776</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(1,548)</w:t>
            </w:r>
          </w:p>
        </w:tc>
        <w:tc>
          <w:tcPr>
            <w:tcW w:w="540" w:type="dxa"/>
            <w:vAlign w:val="bottom"/>
          </w:tcPr>
          <w:p>
            <w:pPr>
              <w:ind w:left="100"/>
              <w:spacing w:after="0"/>
              <w:rPr>
                <w:sz w:val="20"/>
                <w:szCs w:val="20"/>
                <w:color w:val="auto"/>
              </w:rPr>
            </w:pPr>
            <w:r>
              <w:rPr>
                <w:rFonts w:ascii="Arial" w:cs="Arial" w:eastAsia="Arial" w:hAnsi="Arial"/>
                <w:sz w:val="18"/>
                <w:szCs w:val="18"/>
                <w:color w:val="auto"/>
              </w:rPr>
              <w:t>4(e)</w:t>
            </w:r>
          </w:p>
        </w:tc>
        <w:tc>
          <w:tcPr>
            <w:tcW w:w="100" w:type="dxa"/>
            <w:vAlign w:val="bottom"/>
          </w:tcPr>
          <w:p>
            <w:pPr>
              <w:spacing w:after="0"/>
              <w:rPr>
                <w:sz w:val="20"/>
                <w:szCs w:val="20"/>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228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shd w:val="clear" w:color="auto" w:fill="CCEEFF"/>
          </w:tcPr>
          <w:p>
            <w:pPr>
              <w:spacing w:after="0"/>
              <w:rPr>
                <w:sz w:val="20"/>
                <w:szCs w:val="20"/>
                <w:color w:val="auto"/>
              </w:rPr>
            </w:pPr>
            <w:r>
              <w:rPr>
                <w:rFonts w:ascii="Arial" w:cs="Arial" w:eastAsia="Arial" w:hAnsi="Arial"/>
                <w:sz w:val="18"/>
                <w:szCs w:val="18"/>
                <w:color w:val="auto"/>
              </w:rPr>
              <w:t>Depreciation and amortization</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14,281</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1,216</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1,985</w:t>
            </w:r>
          </w:p>
        </w:tc>
        <w:tc>
          <w:tcPr>
            <w:tcW w:w="4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2(c)</w:t>
            </w: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570</w:t>
            </w:r>
          </w:p>
        </w:tc>
        <w:tc>
          <w:tcPr>
            <w:tcW w:w="5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4(b)</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18,052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tcPr>
          <w:p>
            <w:pPr>
              <w:spacing w:after="0"/>
              <w:rPr>
                <w:sz w:val="20"/>
                <w:szCs w:val="20"/>
                <w:color w:val="auto"/>
              </w:rPr>
            </w:pPr>
            <w:r>
              <w:rPr>
                <w:rFonts w:ascii="Arial" w:cs="Arial" w:eastAsia="Arial" w:hAnsi="Arial"/>
                <w:sz w:val="18"/>
                <w:szCs w:val="18"/>
                <w:color w:val="auto"/>
              </w:rPr>
              <w:t>Other operating expense (income)</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22</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shd w:val="clear" w:color="auto" w:fill="CCEEFF"/>
          </w:tcPr>
          <w:p>
            <w:pPr>
              <w:spacing w:after="0"/>
              <w:rPr>
                <w:sz w:val="20"/>
                <w:szCs w:val="20"/>
                <w:color w:val="auto"/>
              </w:rPr>
            </w:pPr>
            <w:r>
              <w:rPr>
                <w:rFonts w:ascii="Arial" w:cs="Arial" w:eastAsia="Arial" w:hAnsi="Arial"/>
                <w:sz w:val="18"/>
                <w:szCs w:val="18"/>
                <w:color w:val="auto"/>
              </w:rPr>
              <w:t>Restructuring and integration expense</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755</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755</w:t>
            </w:r>
          </w:p>
        </w:tc>
        <w:tc>
          <w:tcPr>
            <w:tcW w:w="0" w:type="dxa"/>
            <w:vAlign w:val="bottom"/>
          </w:tcPr>
          <w:p>
            <w:pPr>
              <w:spacing w:after="0"/>
              <w:rPr>
                <w:sz w:val="1"/>
                <w:szCs w:val="1"/>
                <w:color w:val="auto"/>
              </w:rPr>
            </w:pPr>
          </w:p>
        </w:tc>
      </w:tr>
      <w:tr>
        <w:trPr>
          <w:trHeight w:val="224"/>
        </w:trPr>
        <w:tc>
          <w:tcPr>
            <w:tcW w:w="5580" w:type="dxa"/>
            <w:vAlign w:val="bottom"/>
            <w:gridSpan w:val="2"/>
          </w:tcPr>
          <w:p>
            <w:pPr>
              <w:spacing w:after="0"/>
              <w:rPr>
                <w:sz w:val="20"/>
                <w:szCs w:val="20"/>
                <w:color w:val="auto"/>
              </w:rPr>
            </w:pPr>
            <w:r>
              <w:rPr>
                <w:rFonts w:ascii="Arial" w:cs="Arial" w:eastAsia="Arial" w:hAnsi="Arial"/>
                <w:sz w:val="18"/>
                <w:szCs w:val="18"/>
                <w:color w:val="auto"/>
              </w:rPr>
              <w:t>Income from operations</w:t>
            </w:r>
          </w:p>
        </w:tc>
        <w:tc>
          <w:tcPr>
            <w:tcW w:w="100" w:type="dxa"/>
            <w:vAlign w:val="bottom"/>
          </w:tcPr>
          <w:p>
            <w:pPr>
              <w:spacing w:after="0"/>
              <w:rPr>
                <w:sz w:val="19"/>
                <w:szCs w:val="19"/>
                <w:color w:val="auto"/>
              </w:rPr>
            </w:pPr>
          </w:p>
        </w:tc>
        <w:tc>
          <w:tcPr>
            <w:tcW w:w="100" w:type="dxa"/>
            <w:vAlign w:val="bottom"/>
            <w:tcBorders>
              <w:top w:val="single" w:sz="8" w:color="auto"/>
            </w:tcBorders>
          </w:tcPr>
          <w:p>
            <w:pPr>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3,693</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top w:val="single" w:sz="8" w:color="auto"/>
            </w:tcBorders>
          </w:tcPr>
          <w:p>
            <w:pPr>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4,850</w:t>
            </w: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Borders>
              <w:top w:val="single" w:sz="8" w:color="auto"/>
            </w:tcBorders>
          </w:tcPr>
          <w:p>
            <w:pPr>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w:t>
            </w:r>
          </w:p>
        </w:tc>
        <w:tc>
          <w:tcPr>
            <w:tcW w:w="580" w:type="dxa"/>
            <w:vAlign w:val="bottom"/>
            <w:tcBorders>
              <w:top w:val="single" w:sz="8" w:color="auto"/>
            </w:tcBorders>
          </w:tcPr>
          <w:p>
            <w:pPr>
              <w:ind w:left="320"/>
              <w:spacing w:after="0"/>
              <w:rPr>
                <w:sz w:val="20"/>
                <w:szCs w:val="20"/>
                <w:color w:val="auto"/>
              </w:rPr>
            </w:pPr>
            <w:r>
              <w:rPr>
                <w:rFonts w:ascii="Arial" w:cs="Arial" w:eastAsia="Arial" w:hAnsi="Arial"/>
                <w:sz w:val="18"/>
                <w:szCs w:val="18"/>
                <w:color w:val="auto"/>
                <w:w w:val="79"/>
              </w:rPr>
              <w:t>886</w:t>
            </w:r>
          </w:p>
        </w:tc>
        <w:tc>
          <w:tcPr>
            <w:tcW w:w="1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Borders>
              <w:top w:val="single" w:sz="8" w:color="auto"/>
            </w:tcBorders>
          </w:tcPr>
          <w:p>
            <w:pPr>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9,429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7"/>
        </w:trPr>
        <w:tc>
          <w:tcPr>
            <w:tcW w:w="20" w:type="dxa"/>
            <w:vAlign w:val="bottom"/>
            <w:vMerge w:val="restart"/>
          </w:tcPr>
          <w:p>
            <w:pPr>
              <w:spacing w:after="0"/>
              <w:rPr>
                <w:sz w:val="9"/>
                <w:szCs w:val="9"/>
                <w:color w:val="auto"/>
              </w:rPr>
            </w:pPr>
          </w:p>
        </w:tc>
        <w:tc>
          <w:tcPr>
            <w:tcW w:w="55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880" w:type="dxa"/>
            <w:vAlign w:val="bottom"/>
          </w:tcPr>
          <w:p>
            <w:pPr>
              <w:spacing w:after="0"/>
              <w:rPr>
                <w:sz w:val="9"/>
                <w:szCs w:val="9"/>
                <w:color w:val="auto"/>
              </w:rPr>
            </w:pPr>
          </w:p>
        </w:tc>
        <w:tc>
          <w:tcPr>
            <w:tcW w:w="160" w:type="dxa"/>
            <w:vAlign w:val="bottom"/>
          </w:tcPr>
          <w:p>
            <w:pPr>
              <w:spacing w:after="0"/>
              <w:rPr>
                <w:sz w:val="9"/>
                <w:szCs w:val="9"/>
                <w:color w:val="auto"/>
              </w:rPr>
            </w:pPr>
          </w:p>
        </w:tc>
        <w:tc>
          <w:tcPr>
            <w:tcW w:w="480" w:type="dxa"/>
            <w:vAlign w:val="bottom"/>
          </w:tcPr>
          <w:p>
            <w:pPr>
              <w:spacing w:after="0"/>
              <w:rPr>
                <w:sz w:val="9"/>
                <w:szCs w:val="9"/>
                <w:color w:val="auto"/>
              </w:rPr>
            </w:pPr>
          </w:p>
        </w:tc>
        <w:tc>
          <w:tcPr>
            <w:tcW w:w="60" w:type="dxa"/>
            <w:vAlign w:val="bottom"/>
          </w:tcPr>
          <w:p>
            <w:pPr>
              <w:spacing w:after="0"/>
              <w:rPr>
                <w:sz w:val="9"/>
                <w:szCs w:val="9"/>
                <w:color w:val="auto"/>
              </w:rPr>
            </w:pPr>
          </w:p>
        </w:tc>
        <w:tc>
          <w:tcPr>
            <w:tcW w:w="220" w:type="dxa"/>
            <w:vAlign w:val="bottom"/>
          </w:tcPr>
          <w:p>
            <w:pPr>
              <w:spacing w:after="0"/>
              <w:rPr>
                <w:sz w:val="9"/>
                <w:szCs w:val="9"/>
                <w:color w:val="auto"/>
              </w:rPr>
            </w:pPr>
          </w:p>
        </w:tc>
        <w:tc>
          <w:tcPr>
            <w:tcW w:w="580" w:type="dxa"/>
            <w:vAlign w:val="bottom"/>
          </w:tcPr>
          <w:p>
            <w:pPr>
              <w:spacing w:after="0"/>
              <w:rPr>
                <w:sz w:val="9"/>
                <w:szCs w:val="9"/>
                <w:color w:val="auto"/>
              </w:rPr>
            </w:pPr>
          </w:p>
        </w:tc>
        <w:tc>
          <w:tcPr>
            <w:tcW w:w="160" w:type="dxa"/>
            <w:vAlign w:val="bottom"/>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6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11,996</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1,843</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3,423</w:t>
            </w:r>
          </w:p>
        </w:tc>
        <w:tc>
          <w:tcPr>
            <w:tcW w:w="5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4(c)</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17,262</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560" w:type="dxa"/>
            <w:vAlign w:val="bottom"/>
          </w:tcPr>
          <w:p>
            <w:pPr>
              <w:spacing w:after="0" w:line="201" w:lineRule="exact"/>
              <w:rPr>
                <w:sz w:val="20"/>
                <w:szCs w:val="20"/>
                <w:color w:val="auto"/>
              </w:rPr>
            </w:pPr>
            <w:r>
              <w:rPr>
                <w:rFonts w:ascii="Arial" w:cs="Arial" w:eastAsia="Arial" w:hAnsi="Arial"/>
                <w:sz w:val="18"/>
                <w:szCs w:val="18"/>
                <w:color w:val="auto"/>
                <w:w w:val="93"/>
              </w:rPr>
              <w:t>Loss on extinguishment of debt and write-off of unamortized debt issuance</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560" w:type="dxa"/>
            <w:vAlign w:val="bottom"/>
          </w:tcPr>
          <w:p>
            <w:pPr>
              <w:ind w:left="160"/>
              <w:spacing w:after="0"/>
              <w:rPr>
                <w:sz w:val="20"/>
                <w:szCs w:val="20"/>
                <w:color w:val="auto"/>
              </w:rPr>
            </w:pPr>
            <w:r>
              <w:rPr>
                <w:rFonts w:ascii="Arial" w:cs="Arial" w:eastAsia="Arial" w:hAnsi="Arial"/>
                <w:sz w:val="18"/>
                <w:szCs w:val="18"/>
                <w:color w:val="auto"/>
              </w:rPr>
              <w:t>costs</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gridSpan w:val="3"/>
          </w:tcPr>
          <w:p>
            <w:pPr>
              <w:jc w:val="right"/>
              <w:ind w:right="3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5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4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shd w:val="clear" w:color="auto" w:fill="CCEEFF"/>
          </w:tcPr>
          <w:p>
            <w:pPr>
              <w:spacing w:after="0"/>
              <w:rPr>
                <w:sz w:val="20"/>
                <w:szCs w:val="20"/>
                <w:color w:val="auto"/>
              </w:rPr>
            </w:pPr>
            <w:r>
              <w:rPr>
                <w:rFonts w:ascii="Arial" w:cs="Arial" w:eastAsia="Arial" w:hAnsi="Arial"/>
                <w:sz w:val="18"/>
                <w:szCs w:val="18"/>
                <w:color w:val="auto"/>
              </w:rPr>
              <w:t>Derivative loss (gain) on change in interest rate swap value</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560" w:type="dxa"/>
            <w:vAlign w:val="bottom"/>
          </w:tcPr>
          <w:p>
            <w:pPr>
              <w:spacing w:after="0"/>
              <w:rPr>
                <w:sz w:val="20"/>
                <w:szCs w:val="20"/>
                <w:color w:val="auto"/>
              </w:rPr>
            </w:pPr>
            <w:r>
              <w:rPr>
                <w:rFonts w:ascii="Arial" w:cs="Arial" w:eastAsia="Arial" w:hAnsi="Arial"/>
                <w:sz w:val="18"/>
                <w:szCs w:val="18"/>
                <w:color w:val="auto"/>
              </w:rPr>
              <w:t>Other expense (income), net</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gridSpan w:val="3"/>
          </w:tcPr>
          <w:p>
            <w:pPr>
              <w:jc w:val="right"/>
              <w:ind w:right="140"/>
              <w:spacing w:after="0"/>
              <w:rPr>
                <w:sz w:val="20"/>
                <w:szCs w:val="20"/>
                <w:color w:val="auto"/>
              </w:rPr>
            </w:pPr>
            <w:r>
              <w:rPr>
                <w:rFonts w:ascii="Arial" w:cs="Arial" w:eastAsia="Arial" w:hAnsi="Arial"/>
                <w:sz w:val="18"/>
                <w:szCs w:val="18"/>
                <w:color w:val="auto"/>
              </w:rPr>
              <w:t>(313)</w:t>
            </w:r>
          </w:p>
        </w:tc>
        <w:tc>
          <w:tcPr>
            <w:tcW w:w="100" w:type="dxa"/>
            <w:vAlign w:val="bottom"/>
          </w:tcPr>
          <w:p>
            <w:pPr>
              <w:spacing w:after="0"/>
              <w:rPr>
                <w:sz w:val="19"/>
                <w:szCs w:val="19"/>
                <w:color w:val="auto"/>
              </w:rPr>
            </w:pPr>
          </w:p>
        </w:tc>
        <w:tc>
          <w:tcPr>
            <w:tcW w:w="580" w:type="dxa"/>
            <w:vAlign w:val="bottom"/>
            <w:gridSpan w:val="2"/>
          </w:tcPr>
          <w:p>
            <w:pPr>
              <w:jc w:val="right"/>
              <w:ind w:right="80"/>
              <w:spacing w:after="0"/>
              <w:rPr>
                <w:sz w:val="20"/>
                <w:szCs w:val="20"/>
                <w:color w:val="auto"/>
              </w:rPr>
            </w:pPr>
            <w:r>
              <w:rPr>
                <w:rFonts w:ascii="Arial" w:cs="Arial" w:eastAsia="Arial" w:hAnsi="Arial"/>
                <w:sz w:val="18"/>
                <w:szCs w:val="18"/>
                <w:color w:val="auto"/>
              </w:rPr>
              <w:t>278</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5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2"/>
              </w:rPr>
              <w:t>Loss from continuing operations before provision (benefit) for income taxes</w:t>
            </w:r>
          </w:p>
        </w:tc>
        <w:tc>
          <w:tcPr>
            <w:tcW w:w="10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5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and share of net income from joint venture</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2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(7,990)</w:t>
            </w:r>
          </w:p>
        </w:tc>
        <w:tc>
          <w:tcPr>
            <w:tcW w:w="100" w:type="dxa"/>
            <w:vAlign w:val="bottom"/>
            <w:shd w:val="clear" w:color="auto" w:fill="CCEEFF"/>
          </w:tcPr>
          <w:p>
            <w:pPr>
              <w:spacing w:after="0"/>
              <w:rPr>
                <w:sz w:val="20"/>
                <w:szCs w:val="20"/>
                <w:color w:val="auto"/>
              </w:rPr>
            </w:pPr>
          </w:p>
        </w:tc>
        <w:tc>
          <w:tcPr>
            <w:tcW w:w="5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2,729</w:t>
            </w:r>
          </w:p>
        </w:tc>
        <w:tc>
          <w:tcPr>
            <w:tcW w:w="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(2,537)</w:t>
            </w:r>
          </w:p>
        </w:tc>
        <w:tc>
          <w:tcPr>
            <w:tcW w:w="5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(7,798)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tcPr>
          <w:p>
            <w:pPr>
              <w:spacing w:after="0"/>
              <w:rPr>
                <w:sz w:val="20"/>
                <w:szCs w:val="20"/>
                <w:color w:val="auto"/>
              </w:rPr>
            </w:pPr>
            <w:r>
              <w:rPr>
                <w:rFonts w:ascii="Arial" w:cs="Arial" w:eastAsia="Arial" w:hAnsi="Arial"/>
                <w:sz w:val="18"/>
                <w:szCs w:val="18"/>
                <w:color w:val="auto"/>
              </w:rPr>
              <w:t>Provision (benefit) for income taxes</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3"/>
          </w:tcPr>
          <w:p>
            <w:pPr>
              <w:jc w:val="right"/>
              <w:ind w:right="140"/>
              <w:spacing w:after="0"/>
              <w:rPr>
                <w:sz w:val="20"/>
                <w:szCs w:val="20"/>
                <w:color w:val="auto"/>
              </w:rPr>
            </w:pPr>
            <w:r>
              <w:rPr>
                <w:rFonts w:ascii="Arial" w:cs="Arial" w:eastAsia="Arial" w:hAnsi="Arial"/>
                <w:sz w:val="18"/>
                <w:szCs w:val="18"/>
                <w:color w:val="auto"/>
              </w:rPr>
              <w:t>(1,176)</w:t>
            </w:r>
          </w:p>
        </w:tc>
        <w:tc>
          <w:tcPr>
            <w:tcW w:w="100" w:type="dxa"/>
            <w:vAlign w:val="bottom"/>
          </w:tcPr>
          <w:p>
            <w:pPr>
              <w:spacing w:after="0"/>
              <w:rPr>
                <w:sz w:val="18"/>
                <w:szCs w:val="18"/>
                <w:color w:val="auto"/>
              </w:rPr>
            </w:pPr>
          </w:p>
        </w:tc>
        <w:tc>
          <w:tcPr>
            <w:tcW w:w="580" w:type="dxa"/>
            <w:vAlign w:val="bottom"/>
            <w:gridSpan w:val="2"/>
          </w:tcPr>
          <w:p>
            <w:pPr>
              <w:jc w:val="right"/>
              <w:ind w:right="80"/>
              <w:spacing w:after="0"/>
              <w:rPr>
                <w:sz w:val="20"/>
                <w:szCs w:val="20"/>
                <w:color w:val="auto"/>
              </w:rPr>
            </w:pPr>
            <w:r>
              <w:rPr>
                <w:rFonts w:ascii="Arial" w:cs="Arial" w:eastAsia="Arial" w:hAnsi="Arial"/>
                <w:sz w:val="18"/>
                <w:szCs w:val="18"/>
                <w:color w:val="auto"/>
              </w:rPr>
              <w:t>496</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(533)</w:t>
            </w:r>
          </w:p>
        </w:tc>
        <w:tc>
          <w:tcPr>
            <w:tcW w:w="540" w:type="dxa"/>
            <w:vAlign w:val="bottom"/>
          </w:tcPr>
          <w:p>
            <w:pPr>
              <w:ind w:left="100"/>
              <w:spacing w:after="0"/>
              <w:rPr>
                <w:sz w:val="20"/>
                <w:szCs w:val="20"/>
                <w:color w:val="auto"/>
              </w:rPr>
            </w:pPr>
            <w:r>
              <w:rPr>
                <w:rFonts w:ascii="Arial" w:cs="Arial" w:eastAsia="Arial" w:hAnsi="Arial"/>
                <w:sz w:val="18"/>
                <w:szCs w:val="18"/>
                <w:color w:val="auto"/>
              </w:rPr>
              <w:t>4(d)</w:t>
            </w:r>
          </w:p>
        </w:tc>
        <w:tc>
          <w:tcPr>
            <w:tcW w:w="10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(1,213)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shd w:val="clear" w:color="auto" w:fill="CCEEFF"/>
          </w:tcPr>
          <w:p>
            <w:pPr>
              <w:spacing w:after="0"/>
              <w:rPr>
                <w:sz w:val="20"/>
                <w:szCs w:val="20"/>
                <w:color w:val="auto"/>
              </w:rPr>
            </w:pPr>
            <w:r>
              <w:rPr>
                <w:rFonts w:ascii="Arial" w:cs="Arial" w:eastAsia="Arial" w:hAnsi="Arial"/>
                <w:sz w:val="18"/>
                <w:szCs w:val="18"/>
                <w:color w:val="auto"/>
              </w:rPr>
              <w:t>Share of net income from joint venture</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831</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831</w:t>
            </w:r>
          </w:p>
        </w:tc>
        <w:tc>
          <w:tcPr>
            <w:tcW w:w="0" w:type="dxa"/>
            <w:vAlign w:val="bottom"/>
          </w:tcPr>
          <w:p>
            <w:pPr>
              <w:spacing w:after="0"/>
              <w:rPr>
                <w:sz w:val="1"/>
                <w:szCs w:val="1"/>
                <w:color w:val="auto"/>
              </w:rPr>
            </w:pPr>
          </w:p>
        </w:tc>
      </w:tr>
      <w:tr>
        <w:trPr>
          <w:trHeight w:val="223"/>
        </w:trPr>
        <w:tc>
          <w:tcPr>
            <w:tcW w:w="5580" w:type="dxa"/>
            <w:vAlign w:val="bottom"/>
            <w:gridSpan w:val="2"/>
          </w:tcPr>
          <w:p>
            <w:pPr>
              <w:spacing w:after="0"/>
              <w:rPr>
                <w:sz w:val="20"/>
                <w:szCs w:val="20"/>
                <w:color w:val="auto"/>
              </w:rPr>
            </w:pPr>
            <w:r>
              <w:rPr>
                <w:rFonts w:ascii="Arial" w:cs="Arial" w:eastAsia="Arial" w:hAnsi="Arial"/>
                <w:sz w:val="18"/>
                <w:szCs w:val="18"/>
                <w:color w:val="auto"/>
              </w:rPr>
              <w:t>Income (loss) from continuing operations</w:t>
            </w:r>
          </w:p>
        </w:tc>
        <w:tc>
          <w:tcPr>
            <w:tcW w:w="10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(5,983</w:t>
            </w:r>
          </w:p>
        </w:tc>
        <w:tc>
          <w:tcPr>
            <w:tcW w:w="200" w:type="dxa"/>
            <w:vAlign w:val="bottom"/>
            <w:gridSpan w:val="2"/>
          </w:tcPr>
          <w:p>
            <w:pPr>
              <w:jc w:val="right"/>
              <w:ind w:right="140"/>
              <w:spacing w:after="0"/>
              <w:rPr>
                <w:sz w:val="20"/>
                <w:szCs w:val="20"/>
                <w:color w:val="auto"/>
              </w:rPr>
            </w:pPr>
            <w:r>
              <w:rPr>
                <w:rFonts w:ascii="Arial" w:cs="Arial" w:eastAsia="Arial" w:hAnsi="Arial"/>
                <w:sz w:val="16"/>
                <w:szCs w:val="16"/>
                <w:color w:val="auto"/>
                <w:w w:val="74"/>
              </w:rPr>
              <w:t>)</w:t>
            </w: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2,233</w:t>
            </w: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(2,004</w:t>
            </w:r>
          </w:p>
        </w:tc>
        <w:tc>
          <w:tcPr>
            <w:tcW w:w="160" w:type="dxa"/>
            <w:vAlign w:val="bottom"/>
          </w:tcPr>
          <w:p>
            <w:pPr>
              <w:jc w:val="right"/>
              <w:ind w:right="20"/>
              <w:spacing w:after="0"/>
              <w:rPr>
                <w:sz w:val="20"/>
                <w:szCs w:val="20"/>
                <w:color w:val="auto"/>
              </w:rPr>
            </w:pPr>
            <w:r>
              <w:rPr>
                <w:rFonts w:ascii="Arial" w:cs="Arial" w:eastAsia="Arial" w:hAnsi="Arial"/>
                <w:sz w:val="16"/>
                <w:szCs w:val="16"/>
                <w:color w:val="auto"/>
                <w:w w:val="74"/>
              </w:rPr>
              <w:t>)</w:t>
            </w:r>
          </w:p>
        </w:tc>
        <w:tc>
          <w:tcPr>
            <w:tcW w:w="54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(5,754</w:t>
            </w:r>
          </w:p>
        </w:tc>
        <w:tc>
          <w:tcPr>
            <w:tcW w:w="10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5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Basic income (loss) from continuing operations per share:</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tcPr>
          <w:p>
            <w:pPr>
              <w:ind w:left="340"/>
              <w:spacing w:after="0"/>
              <w:rPr>
                <w:sz w:val="20"/>
                <w:szCs w:val="20"/>
                <w:color w:val="auto"/>
              </w:rPr>
            </w:pPr>
            <w:r>
              <w:rPr>
                <w:rFonts w:ascii="Arial" w:cs="Arial" w:eastAsia="Arial" w:hAnsi="Arial"/>
                <w:sz w:val="18"/>
                <w:szCs w:val="18"/>
                <w:color w:val="auto"/>
              </w:rPr>
              <w:t>Income (loss) from continuing operations per share</w:t>
            </w:r>
          </w:p>
        </w:tc>
        <w:tc>
          <w:tcPr>
            <w:tcW w:w="200" w:type="dxa"/>
            <w:vAlign w:val="bottom"/>
            <w:gridSpan w:val="2"/>
          </w:tcPr>
          <w:p>
            <w:pPr>
              <w:ind w:left="100"/>
              <w:spacing w:after="0"/>
              <w:rPr>
                <w:sz w:val="20"/>
                <w:szCs w:val="20"/>
                <w:color w:val="auto"/>
              </w:rPr>
            </w:pPr>
            <w:r>
              <w:rPr>
                <w:rFonts w:ascii="Arial" w:cs="Arial" w:eastAsia="Arial" w:hAnsi="Arial"/>
                <w:sz w:val="18"/>
                <w:szCs w:val="18"/>
                <w:color w:val="auto"/>
                <w:w w:val="79"/>
              </w:rPr>
              <w:t>$</w:t>
            </w:r>
          </w:p>
        </w:tc>
        <w:tc>
          <w:tcPr>
            <w:tcW w:w="920" w:type="dxa"/>
            <w:vAlign w:val="bottom"/>
            <w:gridSpan w:val="3"/>
          </w:tcPr>
          <w:p>
            <w:pPr>
              <w:jc w:val="right"/>
              <w:ind w:right="140"/>
              <w:spacing w:after="0"/>
              <w:rPr>
                <w:sz w:val="20"/>
                <w:szCs w:val="20"/>
                <w:color w:val="auto"/>
              </w:rPr>
            </w:pPr>
            <w:r>
              <w:rPr>
                <w:rFonts w:ascii="Arial" w:cs="Arial" w:eastAsia="Arial" w:hAnsi="Arial"/>
                <w:sz w:val="18"/>
                <w:szCs w:val="18"/>
                <w:color w:val="auto"/>
              </w:rPr>
              <w:t>(0.22)</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(0.21)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5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Weighted average shares outstanding</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27,597</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27,597</w:t>
            </w:r>
          </w:p>
        </w:tc>
        <w:tc>
          <w:tcPr>
            <w:tcW w:w="0" w:type="dxa"/>
            <w:vAlign w:val="bottom"/>
          </w:tcPr>
          <w:p>
            <w:pPr>
              <w:spacing w:after="0"/>
              <w:rPr>
                <w:sz w:val="1"/>
                <w:szCs w:val="1"/>
                <w:color w:val="auto"/>
              </w:rPr>
            </w:pPr>
          </w:p>
        </w:tc>
      </w:tr>
      <w:tr>
        <w:trPr>
          <w:trHeight w:val="20"/>
        </w:trPr>
        <w:tc>
          <w:tcPr>
            <w:tcW w:w="558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Diluted income (loss) from continuing operations per share:</w:t>
            </w: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58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Income (loss) from continuing operations per share</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92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(0.22)</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(0.21)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560" w:type="dxa"/>
            <w:vAlign w:val="bottom"/>
            <w:vMerge w:val="restart"/>
          </w:tcPr>
          <w:p>
            <w:pPr>
              <w:ind w:left="340"/>
              <w:spacing w:after="0"/>
              <w:rPr>
                <w:sz w:val="20"/>
                <w:szCs w:val="20"/>
                <w:color w:val="auto"/>
              </w:rPr>
            </w:pPr>
            <w:r>
              <w:rPr>
                <w:rFonts w:ascii="Arial" w:cs="Arial" w:eastAsia="Arial" w:hAnsi="Arial"/>
                <w:sz w:val="18"/>
                <w:szCs w:val="18"/>
                <w:color w:val="auto"/>
              </w:rPr>
              <w:t>Weighted average shares outstanding</w:t>
            </w: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5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27,597</w:t>
            </w:r>
          </w:p>
        </w:tc>
        <w:tc>
          <w:tcPr>
            <w:tcW w:w="20" w:type="dxa"/>
            <w:vAlign w:val="bottom"/>
            <w:tcBorders>
              <w:bottom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27,597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See accompanying Notes to Unaudited Pro Forma Condensed Combined Financial Information.</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270" w:right="239" w:bottom="1440" w:gutter="0" w:footer="0" w:header="0"/>
        </w:sectPr>
      </w:pPr>
    </w:p>
    <w:bookmarkStart w:id="42" w:name="page43"/>
    <w:bookmarkEnd w:id="42"/>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NN, Inc. and PMG Intermediate Holding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Pro Forma Condensed Combined Balance Sheet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of March 31, 2018</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Amounts in thousands of dollars, except per share data</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5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90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w w:val="96"/>
              </w:rPr>
              <w:t>Consolidated</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w w:val="96"/>
              </w:rPr>
              <w:t>Accounting</w:t>
            </w:r>
          </w:p>
        </w:tc>
        <w:tc>
          <w:tcPr>
            <w:tcW w:w="4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5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900" w:type="dxa"/>
            <w:vAlign w:val="bottom"/>
            <w:gridSpan w:val="3"/>
            <w:vMerge w:val="continue"/>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gridSpan w:val="3"/>
            <w:vMerge w:val="restart"/>
          </w:tcPr>
          <w:p>
            <w:pPr>
              <w:jc w:val="right"/>
              <w:ind w:right="240"/>
              <w:spacing w:after="0"/>
              <w:rPr>
                <w:sz w:val="20"/>
                <w:szCs w:val="20"/>
                <w:color w:val="auto"/>
              </w:rPr>
            </w:pPr>
            <w:r>
              <w:rPr>
                <w:rFonts w:ascii="Arial" w:cs="Arial" w:eastAsia="Arial" w:hAnsi="Arial"/>
                <w:sz w:val="14"/>
                <w:szCs w:val="14"/>
                <w:b w:val="1"/>
                <w:bCs w:val="1"/>
                <w:color w:val="auto"/>
              </w:rPr>
              <w:t>Paragon</w:t>
            </w:r>
          </w:p>
        </w:tc>
        <w:tc>
          <w:tcPr>
            <w:tcW w:w="80" w:type="dxa"/>
            <w:vAlign w:val="bottom"/>
          </w:tcPr>
          <w:p>
            <w:pPr>
              <w:spacing w:after="0"/>
              <w:rPr>
                <w:sz w:val="12"/>
                <w:szCs w:val="12"/>
                <w:color w:val="auto"/>
              </w:rPr>
            </w:pPr>
          </w:p>
        </w:tc>
        <w:tc>
          <w:tcPr>
            <w:tcW w:w="1040" w:type="dxa"/>
            <w:vAlign w:val="bottom"/>
            <w:gridSpan w:val="2"/>
          </w:tcPr>
          <w:p>
            <w:pPr>
              <w:jc w:val="right"/>
              <w:ind w:right="460"/>
              <w:spacing w:after="0" w:line="149" w:lineRule="exact"/>
              <w:rPr>
                <w:sz w:val="20"/>
                <w:szCs w:val="20"/>
                <w:color w:val="auto"/>
              </w:rPr>
            </w:pPr>
            <w:r>
              <w:rPr>
                <w:rFonts w:ascii="Arial" w:cs="Arial" w:eastAsia="Arial" w:hAnsi="Arial"/>
                <w:sz w:val="14"/>
                <w:szCs w:val="14"/>
                <w:b w:val="1"/>
                <w:bCs w:val="1"/>
                <w:color w:val="auto"/>
              </w:rPr>
              <w:t>Policy</w:t>
            </w:r>
          </w:p>
        </w:tc>
        <w:tc>
          <w:tcPr>
            <w:tcW w:w="4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60" w:type="dxa"/>
            <w:vAlign w:val="bottom"/>
            <w:gridSpan w:val="3"/>
            <w:vMerge w:val="restart"/>
          </w:tcPr>
          <w:p>
            <w:pPr>
              <w:jc w:val="right"/>
              <w:ind w:right="140"/>
              <w:spacing w:after="0"/>
              <w:rPr>
                <w:sz w:val="20"/>
                <w:szCs w:val="20"/>
                <w:color w:val="auto"/>
              </w:rPr>
            </w:pPr>
            <w:r>
              <w:rPr>
                <w:rFonts w:ascii="Arial" w:cs="Arial" w:eastAsia="Arial" w:hAnsi="Arial"/>
                <w:sz w:val="14"/>
                <w:szCs w:val="14"/>
                <w:b w:val="1"/>
                <w:bCs w:val="1"/>
                <w:color w:val="auto"/>
              </w:rPr>
              <w:t>Pro Forma</w:t>
            </w:r>
          </w:p>
        </w:tc>
        <w:tc>
          <w:tcPr>
            <w:tcW w:w="600" w:type="dxa"/>
            <w:vAlign w:val="bottom"/>
          </w:tcPr>
          <w:p>
            <w:pPr>
              <w:spacing w:after="0"/>
              <w:rPr>
                <w:sz w:val="12"/>
                <w:szCs w:val="12"/>
                <w:color w:val="auto"/>
              </w:rPr>
            </w:pPr>
          </w:p>
        </w:tc>
        <w:tc>
          <w:tcPr>
            <w:tcW w:w="880" w:type="dxa"/>
            <w:vAlign w:val="bottom"/>
            <w:gridSpan w:val="3"/>
            <w:vMerge w:val="restart"/>
          </w:tcPr>
          <w:p>
            <w:pPr>
              <w:jc w:val="right"/>
              <w:ind w:right="120"/>
              <w:spacing w:after="0"/>
              <w:rPr>
                <w:sz w:val="20"/>
                <w:szCs w:val="20"/>
                <w:color w:val="auto"/>
              </w:rPr>
            </w:pPr>
            <w:r>
              <w:rPr>
                <w:rFonts w:ascii="Arial" w:cs="Arial" w:eastAsia="Arial" w:hAnsi="Arial"/>
                <w:sz w:val="14"/>
                <w:szCs w:val="14"/>
                <w:b w:val="1"/>
                <w:bCs w:val="1"/>
                <w:color w:val="auto"/>
              </w:rPr>
              <w:t>Pro Forma</w:t>
            </w:r>
          </w:p>
        </w:tc>
        <w:tc>
          <w:tcPr>
            <w:tcW w:w="0" w:type="dxa"/>
            <w:vAlign w:val="bottom"/>
          </w:tcPr>
          <w:p>
            <w:pPr>
              <w:spacing w:after="0"/>
              <w:rPr>
                <w:sz w:val="1"/>
                <w:szCs w:val="1"/>
                <w:color w:val="auto"/>
              </w:rPr>
            </w:pPr>
          </w:p>
        </w:tc>
      </w:tr>
      <w:tr>
        <w:trPr>
          <w:trHeight w:val="149"/>
        </w:trPr>
        <w:tc>
          <w:tcPr>
            <w:tcW w:w="45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tcPr>
          <w:p>
            <w:pPr>
              <w:jc w:val="right"/>
              <w:ind w:right="180"/>
              <w:spacing w:after="0" w:line="149" w:lineRule="exact"/>
              <w:rPr>
                <w:sz w:val="20"/>
                <w:szCs w:val="20"/>
                <w:color w:val="auto"/>
              </w:rPr>
            </w:pPr>
            <w:r>
              <w:rPr>
                <w:rFonts w:ascii="Arial" w:cs="Arial" w:eastAsia="Arial" w:hAnsi="Arial"/>
                <w:sz w:val="14"/>
                <w:szCs w:val="14"/>
                <w:b w:val="1"/>
                <w:bCs w:val="1"/>
                <w:color w:val="auto"/>
                <w:w w:val="93"/>
              </w:rPr>
              <w:t>Historical</w:t>
            </w:r>
          </w:p>
        </w:tc>
        <w:tc>
          <w:tcPr>
            <w:tcW w:w="80" w:type="dxa"/>
            <w:vAlign w:val="bottom"/>
          </w:tcPr>
          <w:p>
            <w:pPr>
              <w:spacing w:after="0"/>
              <w:rPr>
                <w:sz w:val="12"/>
                <w:szCs w:val="12"/>
                <w:color w:val="auto"/>
              </w:rPr>
            </w:pPr>
          </w:p>
        </w:tc>
        <w:tc>
          <w:tcPr>
            <w:tcW w:w="840" w:type="dxa"/>
            <w:vAlign w:val="bottom"/>
            <w:gridSpan w:val="3"/>
            <w:vMerge w:val="continue"/>
          </w:tcPr>
          <w:p>
            <w:pPr>
              <w:spacing w:after="0"/>
              <w:rPr>
                <w:sz w:val="12"/>
                <w:szCs w:val="12"/>
                <w:color w:val="auto"/>
              </w:rPr>
            </w:pPr>
          </w:p>
        </w:tc>
        <w:tc>
          <w:tcPr>
            <w:tcW w:w="112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Reclassification</w:t>
            </w:r>
          </w:p>
        </w:tc>
        <w:tc>
          <w:tcPr>
            <w:tcW w:w="4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60" w:type="dxa"/>
            <w:vAlign w:val="bottom"/>
            <w:gridSpan w:val="3"/>
            <w:vMerge w:val="continue"/>
          </w:tcPr>
          <w:p>
            <w:pPr>
              <w:spacing w:after="0"/>
              <w:rPr>
                <w:sz w:val="12"/>
                <w:szCs w:val="12"/>
                <w:color w:val="auto"/>
              </w:rPr>
            </w:pPr>
          </w:p>
        </w:tc>
        <w:tc>
          <w:tcPr>
            <w:tcW w:w="600" w:type="dxa"/>
            <w:vAlign w:val="bottom"/>
          </w:tcPr>
          <w:p>
            <w:pPr>
              <w:spacing w:after="0"/>
              <w:rPr>
                <w:sz w:val="12"/>
                <w:szCs w:val="12"/>
                <w:color w:val="auto"/>
              </w:rPr>
            </w:pPr>
          </w:p>
        </w:tc>
        <w:tc>
          <w:tcPr>
            <w:tcW w:w="88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45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NN, Inc.</w:t>
            </w:r>
          </w:p>
        </w:tc>
        <w:tc>
          <w:tcPr>
            <w:tcW w:w="80" w:type="dxa"/>
            <w:vAlign w:val="bottom"/>
          </w:tcPr>
          <w:p>
            <w:pPr>
              <w:spacing w:after="0"/>
              <w:rPr>
                <w:sz w:val="14"/>
                <w:szCs w:val="14"/>
                <w:color w:val="auto"/>
              </w:rPr>
            </w:pPr>
          </w:p>
        </w:tc>
        <w:tc>
          <w:tcPr>
            <w:tcW w:w="840" w:type="dxa"/>
            <w:vAlign w:val="bottom"/>
            <w:gridSpan w:val="3"/>
          </w:tcPr>
          <w:p>
            <w:pPr>
              <w:jc w:val="right"/>
              <w:ind w:right="200"/>
              <w:spacing w:after="0"/>
              <w:rPr>
                <w:sz w:val="20"/>
                <w:szCs w:val="20"/>
                <w:color w:val="auto"/>
              </w:rPr>
            </w:pPr>
            <w:r>
              <w:rPr>
                <w:rFonts w:ascii="Arial" w:cs="Arial" w:eastAsia="Arial" w:hAnsi="Arial"/>
                <w:sz w:val="14"/>
                <w:szCs w:val="14"/>
                <w:b w:val="1"/>
                <w:bCs w:val="1"/>
                <w:color w:val="auto"/>
                <w:w w:val="97"/>
              </w:rPr>
              <w:t>Historical</w:t>
            </w:r>
          </w:p>
        </w:tc>
        <w:tc>
          <w:tcPr>
            <w:tcW w:w="80" w:type="dxa"/>
            <w:vAlign w:val="bottom"/>
          </w:tcPr>
          <w:p>
            <w:pPr>
              <w:spacing w:after="0"/>
              <w:rPr>
                <w:sz w:val="14"/>
                <w:szCs w:val="14"/>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w w:val="91"/>
              </w:rPr>
              <w:t>Adjustments</w:t>
            </w:r>
          </w:p>
        </w:tc>
        <w:tc>
          <w:tcPr>
            <w:tcW w:w="4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60" w:type="dxa"/>
            <w:vAlign w:val="bottom"/>
            <w:gridSpan w:val="3"/>
          </w:tcPr>
          <w:p>
            <w:pPr>
              <w:ind w:left="20"/>
              <w:spacing w:after="0"/>
              <w:rPr>
                <w:sz w:val="20"/>
                <w:szCs w:val="20"/>
                <w:color w:val="auto"/>
              </w:rPr>
            </w:pPr>
            <w:r>
              <w:rPr>
                <w:rFonts w:ascii="Arial" w:cs="Arial" w:eastAsia="Arial" w:hAnsi="Arial"/>
                <w:sz w:val="14"/>
                <w:szCs w:val="14"/>
                <w:b w:val="1"/>
                <w:bCs w:val="1"/>
                <w:color w:val="auto"/>
              </w:rPr>
              <w:t>Adjustments</w:t>
            </w: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w w:val="90"/>
              </w:rPr>
              <w:t>Combined</w:t>
            </w:r>
          </w:p>
        </w:tc>
        <w:tc>
          <w:tcPr>
            <w:tcW w:w="0" w:type="dxa"/>
            <w:vAlign w:val="bottom"/>
          </w:tcPr>
          <w:p>
            <w:pPr>
              <w:spacing w:after="0"/>
              <w:rPr>
                <w:sz w:val="1"/>
                <w:szCs w:val="1"/>
                <w:color w:val="auto"/>
              </w:rPr>
            </w:pPr>
          </w:p>
        </w:tc>
      </w:tr>
      <w:tr>
        <w:trPr>
          <w:trHeight w:val="196"/>
        </w:trPr>
        <w:tc>
          <w:tcPr>
            <w:tcW w:w="456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Assets</w:t>
            </w:r>
          </w:p>
        </w:tc>
        <w:tc>
          <w:tcPr>
            <w:tcW w:w="9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48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6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560" w:type="dxa"/>
            <w:vAlign w:val="bottom"/>
          </w:tcPr>
          <w:p>
            <w:pPr>
              <w:spacing w:after="0"/>
              <w:rPr>
                <w:sz w:val="20"/>
                <w:szCs w:val="20"/>
                <w:color w:val="auto"/>
              </w:rPr>
            </w:pPr>
            <w:r>
              <w:rPr>
                <w:rFonts w:ascii="Arial" w:cs="Arial" w:eastAsia="Arial" w:hAnsi="Arial"/>
                <w:sz w:val="18"/>
                <w:szCs w:val="18"/>
                <w:color w:val="auto"/>
              </w:rPr>
              <w:t>Current assets:</w:t>
            </w: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Cash and cash equivalents</w:t>
            </w:r>
          </w:p>
        </w:tc>
        <w:tc>
          <w:tcPr>
            <w:tcW w:w="1040" w:type="dxa"/>
            <w:vAlign w:val="bottom"/>
            <w:gridSpan w:val="2"/>
            <w:shd w:val="clear" w:color="auto" w:fill="CCEEFF"/>
          </w:tcPr>
          <w:p>
            <w:pPr>
              <w:ind w:left="940"/>
              <w:spacing w:after="0"/>
              <w:rPr>
                <w:sz w:val="20"/>
                <w:szCs w:val="20"/>
                <w:color w:val="auto"/>
              </w:rPr>
            </w:pPr>
            <w:r>
              <w:rPr>
                <w:rFonts w:ascii="Arial" w:cs="Arial" w:eastAsia="Arial" w:hAnsi="Arial"/>
                <w:sz w:val="18"/>
                <w:szCs w:val="18"/>
                <w:color w:val="auto"/>
                <w:w w:val="79"/>
              </w:rPr>
              <w:t>$</w:t>
            </w: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184,955</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10,077</w:t>
            </w: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8"/>
                <w:szCs w:val="18"/>
                <w:color w:val="auto"/>
              </w:rPr>
            </w:pPr>
          </w:p>
        </w:tc>
        <w:tc>
          <w:tcPr>
            <w:tcW w:w="20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0"/>
              </w:rPr>
              <w:t>(181,877)</w:t>
            </w:r>
          </w:p>
        </w:tc>
        <w:tc>
          <w:tcPr>
            <w:tcW w:w="6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4(f)</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13,155</w:t>
            </w:r>
          </w:p>
        </w:tc>
        <w:tc>
          <w:tcPr>
            <w:tcW w:w="0" w:type="dxa"/>
            <w:vAlign w:val="bottom"/>
          </w:tcPr>
          <w:p>
            <w:pPr>
              <w:spacing w:after="0"/>
              <w:rPr>
                <w:sz w:val="1"/>
                <w:szCs w:val="1"/>
                <w:color w:val="auto"/>
              </w:rPr>
            </w:pPr>
          </w:p>
        </w:tc>
      </w:tr>
      <w:tr>
        <w:trPr>
          <w:trHeight w:val="216"/>
        </w:trPr>
        <w:tc>
          <w:tcPr>
            <w:tcW w:w="4560" w:type="dxa"/>
            <w:vAlign w:val="bottom"/>
          </w:tcPr>
          <w:p>
            <w:pPr>
              <w:ind w:left="360"/>
              <w:spacing w:after="0"/>
              <w:rPr>
                <w:sz w:val="20"/>
                <w:szCs w:val="20"/>
                <w:color w:val="auto"/>
              </w:rPr>
            </w:pPr>
            <w:r>
              <w:rPr>
                <w:rFonts w:ascii="Arial" w:cs="Arial" w:eastAsia="Arial" w:hAnsi="Arial"/>
                <w:sz w:val="18"/>
                <w:szCs w:val="18"/>
                <w:color w:val="auto"/>
              </w:rPr>
              <w:t>Accounts receivable, net</w:t>
            </w: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8"/>
                <w:szCs w:val="18"/>
                <w:color w:val="auto"/>
              </w:rPr>
              <w:t>119,615</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23,373</w:t>
            </w:r>
          </w:p>
        </w:tc>
        <w:tc>
          <w:tcPr>
            <w:tcW w:w="80" w:type="dxa"/>
            <w:vAlign w:val="bottom"/>
          </w:tcPr>
          <w:p>
            <w:pPr>
              <w:spacing w:after="0"/>
              <w:rPr>
                <w:sz w:val="18"/>
                <w:szCs w:val="18"/>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142,988</w:t>
            </w:r>
          </w:p>
        </w:tc>
        <w:tc>
          <w:tcPr>
            <w:tcW w:w="0" w:type="dxa"/>
            <w:vAlign w:val="bottom"/>
          </w:tcPr>
          <w:p>
            <w:pPr>
              <w:spacing w:after="0"/>
              <w:rPr>
                <w:sz w:val="1"/>
                <w:szCs w:val="1"/>
                <w:color w:val="auto"/>
              </w:rPr>
            </w:pPr>
          </w:p>
        </w:tc>
      </w:tr>
      <w:tr>
        <w:trPr>
          <w:trHeight w:val="216"/>
        </w:trPr>
        <w:tc>
          <w:tcPr>
            <w:tcW w:w="45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Inventories</w:t>
            </w: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91,559</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20,996</w:t>
            </w: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3,623</w:t>
            </w: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4(g)</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116,178</w:t>
            </w:r>
          </w:p>
        </w:tc>
        <w:tc>
          <w:tcPr>
            <w:tcW w:w="0" w:type="dxa"/>
            <w:vAlign w:val="bottom"/>
          </w:tcPr>
          <w:p>
            <w:pPr>
              <w:spacing w:after="0"/>
              <w:rPr>
                <w:sz w:val="1"/>
                <w:szCs w:val="1"/>
                <w:color w:val="auto"/>
              </w:rPr>
            </w:pPr>
          </w:p>
        </w:tc>
      </w:tr>
      <w:tr>
        <w:trPr>
          <w:trHeight w:val="216"/>
        </w:trPr>
        <w:tc>
          <w:tcPr>
            <w:tcW w:w="4560" w:type="dxa"/>
            <w:vAlign w:val="bottom"/>
          </w:tcPr>
          <w:p>
            <w:pPr>
              <w:ind w:left="360"/>
              <w:spacing w:after="0"/>
              <w:rPr>
                <w:sz w:val="20"/>
                <w:szCs w:val="20"/>
                <w:color w:val="auto"/>
              </w:rPr>
            </w:pPr>
            <w:r>
              <w:rPr>
                <w:rFonts w:ascii="Arial" w:cs="Arial" w:eastAsia="Arial" w:hAnsi="Arial"/>
                <w:sz w:val="18"/>
                <w:szCs w:val="18"/>
                <w:color w:val="auto"/>
              </w:rPr>
              <w:t>Income tax receivable</w:t>
            </w: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8"/>
                <w:szCs w:val="18"/>
                <w:color w:val="auto"/>
              </w:rPr>
              <w:t>43,866</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3,486</w:t>
            </w:r>
          </w:p>
        </w:tc>
        <w:tc>
          <w:tcPr>
            <w:tcW w:w="160" w:type="dxa"/>
            <w:vAlign w:val="bottom"/>
          </w:tcPr>
          <w:p>
            <w:pPr>
              <w:spacing w:after="0"/>
              <w:rPr>
                <w:sz w:val="18"/>
                <w:szCs w:val="18"/>
                <w:color w:val="auto"/>
              </w:rPr>
            </w:pPr>
          </w:p>
        </w:tc>
        <w:tc>
          <w:tcPr>
            <w:tcW w:w="600" w:type="dxa"/>
            <w:vAlign w:val="bottom"/>
          </w:tcPr>
          <w:p>
            <w:pPr>
              <w:ind w:left="100"/>
              <w:spacing w:after="0"/>
              <w:rPr>
                <w:sz w:val="20"/>
                <w:szCs w:val="20"/>
                <w:color w:val="auto"/>
              </w:rPr>
            </w:pPr>
            <w:r>
              <w:rPr>
                <w:rFonts w:ascii="Arial" w:cs="Arial" w:eastAsia="Arial" w:hAnsi="Arial"/>
                <w:sz w:val="18"/>
                <w:szCs w:val="18"/>
                <w:color w:val="auto"/>
              </w:rPr>
              <w:t>4(n)</w:t>
            </w:r>
          </w:p>
        </w:tc>
        <w:tc>
          <w:tcPr>
            <w:tcW w:w="10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47,352</w:t>
            </w:r>
          </w:p>
        </w:tc>
        <w:tc>
          <w:tcPr>
            <w:tcW w:w="0" w:type="dxa"/>
            <w:vAlign w:val="bottom"/>
          </w:tcPr>
          <w:p>
            <w:pPr>
              <w:spacing w:after="0"/>
              <w:rPr>
                <w:sz w:val="1"/>
                <w:szCs w:val="1"/>
                <w:color w:val="auto"/>
              </w:rPr>
            </w:pPr>
          </w:p>
        </w:tc>
      </w:tr>
      <w:tr>
        <w:trPr>
          <w:trHeight w:val="216"/>
        </w:trPr>
        <w:tc>
          <w:tcPr>
            <w:tcW w:w="45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 current assets</w:t>
            </w: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21,106</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2,421</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(753)</w:t>
            </w:r>
          </w:p>
        </w:tc>
        <w:tc>
          <w:tcPr>
            <w:tcW w:w="4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2(d)</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2,598</w:t>
            </w: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4(k)</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25,372</w:t>
            </w:r>
          </w:p>
        </w:tc>
        <w:tc>
          <w:tcPr>
            <w:tcW w:w="0" w:type="dxa"/>
            <w:vAlign w:val="bottom"/>
          </w:tcPr>
          <w:p>
            <w:pPr>
              <w:spacing w:after="0"/>
              <w:rPr>
                <w:sz w:val="1"/>
                <w:szCs w:val="1"/>
                <w:color w:val="auto"/>
              </w:rPr>
            </w:pPr>
          </w:p>
        </w:tc>
      </w:tr>
      <w:tr>
        <w:trPr>
          <w:trHeight w:val="223"/>
        </w:trPr>
        <w:tc>
          <w:tcPr>
            <w:tcW w:w="4560" w:type="dxa"/>
            <w:vAlign w:val="bottom"/>
          </w:tcPr>
          <w:p>
            <w:pPr>
              <w:ind w:left="720"/>
              <w:spacing w:after="0"/>
              <w:rPr>
                <w:sz w:val="20"/>
                <w:szCs w:val="20"/>
                <w:color w:val="auto"/>
              </w:rPr>
            </w:pPr>
            <w:r>
              <w:rPr>
                <w:rFonts w:ascii="Arial" w:cs="Arial" w:eastAsia="Arial" w:hAnsi="Arial"/>
                <w:sz w:val="18"/>
                <w:szCs w:val="18"/>
                <w:color w:val="auto"/>
              </w:rPr>
              <w:t>Total current assets</w:t>
            </w:r>
          </w:p>
        </w:tc>
        <w:tc>
          <w:tcPr>
            <w:tcW w:w="9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461,101</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56,867</w:t>
            </w:r>
          </w:p>
        </w:tc>
        <w:tc>
          <w:tcPr>
            <w:tcW w:w="16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(753)</w:t>
            </w:r>
          </w:p>
        </w:tc>
        <w:tc>
          <w:tcPr>
            <w:tcW w:w="1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3"/>
              </w:rPr>
              <w:t>(172,170)</w:t>
            </w:r>
          </w:p>
        </w:tc>
        <w:tc>
          <w:tcPr>
            <w:tcW w:w="1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345,045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Property, plant and equipment, net</w:t>
            </w: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266,926</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35,583</w:t>
            </w: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21,260</w:t>
            </w:r>
          </w:p>
        </w:tc>
        <w:tc>
          <w:tcPr>
            <w:tcW w:w="6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4(h)</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323,769</w:t>
            </w:r>
          </w:p>
        </w:tc>
        <w:tc>
          <w:tcPr>
            <w:tcW w:w="0" w:type="dxa"/>
            <w:vAlign w:val="bottom"/>
          </w:tcPr>
          <w:p>
            <w:pPr>
              <w:spacing w:after="0"/>
              <w:rPr>
                <w:sz w:val="1"/>
                <w:szCs w:val="1"/>
                <w:color w:val="auto"/>
              </w:rPr>
            </w:pPr>
          </w:p>
        </w:tc>
      </w:tr>
      <w:tr>
        <w:trPr>
          <w:trHeight w:val="216"/>
        </w:trPr>
        <w:tc>
          <w:tcPr>
            <w:tcW w:w="4560" w:type="dxa"/>
            <w:vAlign w:val="bottom"/>
          </w:tcPr>
          <w:p>
            <w:pPr>
              <w:spacing w:after="0"/>
              <w:rPr>
                <w:sz w:val="20"/>
                <w:szCs w:val="20"/>
                <w:color w:val="auto"/>
              </w:rPr>
            </w:pPr>
            <w:r>
              <w:rPr>
                <w:rFonts w:ascii="Arial" w:cs="Arial" w:eastAsia="Arial" w:hAnsi="Arial"/>
                <w:sz w:val="18"/>
                <w:szCs w:val="18"/>
                <w:color w:val="auto"/>
              </w:rPr>
              <w:t>Goodwill</w:t>
            </w: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8"/>
                <w:szCs w:val="18"/>
                <w:color w:val="auto"/>
              </w:rPr>
              <w:t>463,694</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49,946</w:t>
            </w:r>
          </w:p>
        </w:tc>
        <w:tc>
          <w:tcPr>
            <w:tcW w:w="80" w:type="dxa"/>
            <w:vAlign w:val="bottom"/>
          </w:tcPr>
          <w:p>
            <w:pPr>
              <w:spacing w:after="0"/>
              <w:rPr>
                <w:sz w:val="18"/>
                <w:szCs w:val="18"/>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98"/>
              </w:rPr>
              <w:t>138,180</w:t>
            </w:r>
          </w:p>
        </w:tc>
        <w:tc>
          <w:tcPr>
            <w:tcW w:w="160" w:type="dxa"/>
            <w:vAlign w:val="bottom"/>
          </w:tcPr>
          <w:p>
            <w:pPr>
              <w:spacing w:after="0"/>
              <w:rPr>
                <w:sz w:val="18"/>
                <w:szCs w:val="18"/>
                <w:color w:val="auto"/>
              </w:rPr>
            </w:pPr>
          </w:p>
        </w:tc>
        <w:tc>
          <w:tcPr>
            <w:tcW w:w="600" w:type="dxa"/>
            <w:vAlign w:val="bottom"/>
          </w:tcPr>
          <w:p>
            <w:pPr>
              <w:ind w:left="100"/>
              <w:spacing w:after="0"/>
              <w:rPr>
                <w:sz w:val="20"/>
                <w:szCs w:val="20"/>
                <w:color w:val="auto"/>
              </w:rPr>
            </w:pPr>
            <w:r>
              <w:rPr>
                <w:rFonts w:ascii="Arial" w:cs="Arial" w:eastAsia="Arial" w:hAnsi="Arial"/>
                <w:sz w:val="18"/>
                <w:szCs w:val="18"/>
                <w:color w:val="auto"/>
              </w:rPr>
              <w:t>4(j)</w:t>
            </w:r>
          </w:p>
        </w:tc>
        <w:tc>
          <w:tcPr>
            <w:tcW w:w="10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651,820</w:t>
            </w:r>
          </w:p>
        </w:tc>
        <w:tc>
          <w:tcPr>
            <w:tcW w:w="0" w:type="dxa"/>
            <w:vAlign w:val="bottom"/>
          </w:tcPr>
          <w:p>
            <w:pPr>
              <w:spacing w:after="0"/>
              <w:rPr>
                <w:sz w:val="1"/>
                <w:szCs w:val="1"/>
                <w:color w:val="auto"/>
              </w:rPr>
            </w:pPr>
          </w:p>
        </w:tc>
      </w:tr>
      <w:tr>
        <w:trPr>
          <w:trHeight w:val="216"/>
        </w:trPr>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Intangible assets, net</w:t>
            </w: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237,605</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48,365</w:t>
            </w: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75,881</w:t>
            </w:r>
          </w:p>
        </w:tc>
        <w:tc>
          <w:tcPr>
            <w:tcW w:w="6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4(i)</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361,851</w:t>
            </w:r>
          </w:p>
        </w:tc>
        <w:tc>
          <w:tcPr>
            <w:tcW w:w="0" w:type="dxa"/>
            <w:vAlign w:val="bottom"/>
          </w:tcPr>
          <w:p>
            <w:pPr>
              <w:spacing w:after="0"/>
              <w:rPr>
                <w:sz w:val="1"/>
                <w:szCs w:val="1"/>
                <w:color w:val="auto"/>
              </w:rPr>
            </w:pPr>
          </w:p>
        </w:tc>
      </w:tr>
      <w:tr>
        <w:trPr>
          <w:trHeight w:val="216"/>
        </w:trPr>
        <w:tc>
          <w:tcPr>
            <w:tcW w:w="4560" w:type="dxa"/>
            <w:vAlign w:val="bottom"/>
          </w:tcPr>
          <w:p>
            <w:pPr>
              <w:spacing w:after="0"/>
              <w:rPr>
                <w:sz w:val="20"/>
                <w:szCs w:val="20"/>
                <w:color w:val="auto"/>
              </w:rPr>
            </w:pPr>
            <w:r>
              <w:rPr>
                <w:rFonts w:ascii="Arial" w:cs="Arial" w:eastAsia="Arial" w:hAnsi="Arial"/>
                <w:sz w:val="18"/>
                <w:szCs w:val="18"/>
                <w:color w:val="auto"/>
              </w:rPr>
              <w:t>Investment in joint venture</w:t>
            </w: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8"/>
                <w:szCs w:val="18"/>
                <w:color w:val="auto"/>
              </w:rPr>
              <w:t>42,110</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42,110</w:t>
            </w:r>
          </w:p>
        </w:tc>
        <w:tc>
          <w:tcPr>
            <w:tcW w:w="0" w:type="dxa"/>
            <w:vAlign w:val="bottom"/>
          </w:tcPr>
          <w:p>
            <w:pPr>
              <w:spacing w:after="0"/>
              <w:rPr>
                <w:sz w:val="1"/>
                <w:szCs w:val="1"/>
                <w:color w:val="auto"/>
              </w:rPr>
            </w:pPr>
          </w:p>
        </w:tc>
      </w:tr>
      <w:tr>
        <w:trPr>
          <w:trHeight w:val="216"/>
        </w:trPr>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Other non-current assets</w:t>
            </w: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13,646</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3,904</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(8,204)</w:t>
            </w:r>
          </w:p>
        </w:tc>
        <w:tc>
          <w:tcPr>
            <w:tcW w:w="6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4(k)</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9,346</w:t>
            </w:r>
          </w:p>
        </w:tc>
        <w:tc>
          <w:tcPr>
            <w:tcW w:w="0" w:type="dxa"/>
            <w:vAlign w:val="bottom"/>
          </w:tcPr>
          <w:p>
            <w:pPr>
              <w:spacing w:after="0"/>
              <w:rPr>
                <w:sz w:val="1"/>
                <w:szCs w:val="1"/>
                <w:color w:val="auto"/>
              </w:rPr>
            </w:pPr>
          </w:p>
        </w:tc>
      </w:tr>
      <w:tr>
        <w:trPr>
          <w:trHeight w:val="223"/>
        </w:trPr>
        <w:tc>
          <w:tcPr>
            <w:tcW w:w="4560" w:type="dxa"/>
            <w:vAlign w:val="bottom"/>
          </w:tcPr>
          <w:p>
            <w:pPr>
              <w:ind w:left="720"/>
              <w:spacing w:after="0"/>
              <w:rPr>
                <w:sz w:val="20"/>
                <w:szCs w:val="20"/>
                <w:color w:val="auto"/>
              </w:rPr>
            </w:pPr>
            <w:r>
              <w:rPr>
                <w:rFonts w:ascii="Arial" w:cs="Arial" w:eastAsia="Arial" w:hAnsi="Arial"/>
                <w:sz w:val="18"/>
                <w:szCs w:val="18"/>
                <w:color w:val="auto"/>
              </w:rPr>
              <w:t>Total assets</w:t>
            </w:r>
          </w:p>
        </w:tc>
        <w:tc>
          <w:tcPr>
            <w:tcW w:w="94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u w:val="single" w:color="auto"/>
                <w:color w:val="auto"/>
                <w:w w:val="7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1,485,082</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194,665</w:t>
            </w:r>
          </w:p>
        </w:tc>
        <w:tc>
          <w:tcPr>
            <w:tcW w:w="160" w:type="dxa"/>
            <w:vAlign w:val="bottom"/>
          </w:tcPr>
          <w:p>
            <w:pPr>
              <w:spacing w:after="0"/>
              <w:rPr>
                <w:sz w:val="19"/>
                <w:szCs w:val="19"/>
                <w:color w:val="auto"/>
              </w:rPr>
            </w:pPr>
          </w:p>
        </w:tc>
        <w:tc>
          <w:tcPr>
            <w:tcW w:w="80" w:type="dxa"/>
            <w:vAlign w:val="bottom"/>
            <w:tcBorders>
              <w:top w:val="single" w:sz="8" w:color="auto"/>
              <w:bottom w:val="single" w:sz="8" w:color="auto"/>
            </w:tcBorders>
          </w:tcPr>
          <w:p>
            <w:pPr>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(753)</w:t>
            </w:r>
          </w:p>
        </w:tc>
        <w:tc>
          <w:tcPr>
            <w:tcW w:w="1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(54,947</w:t>
            </w:r>
          </w:p>
        </w:tc>
        <w:tc>
          <w:tcPr>
            <w:tcW w:w="160" w:type="dxa"/>
            <w:vAlign w:val="bottom"/>
          </w:tcPr>
          <w:p>
            <w:pPr>
              <w:jc w:val="right"/>
              <w:ind w:right="20"/>
              <w:spacing w:after="0"/>
              <w:rPr>
                <w:sz w:val="20"/>
                <w:szCs w:val="20"/>
                <w:color w:val="auto"/>
              </w:rPr>
            </w:pPr>
            <w:r>
              <w:rPr>
                <w:rFonts w:ascii="Arial" w:cs="Arial" w:eastAsia="Arial" w:hAnsi="Arial"/>
                <w:sz w:val="16"/>
                <w:szCs w:val="16"/>
                <w:color w:val="auto"/>
                <w:w w:val="74"/>
              </w:rPr>
              <w:t>)</w:t>
            </w:r>
          </w:p>
        </w:tc>
        <w:tc>
          <w:tcPr>
            <w:tcW w:w="6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1,733,941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5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5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60" w:type="dxa"/>
            <w:vAlign w:val="bottom"/>
          </w:tcPr>
          <w:p>
            <w:pPr>
              <w:spacing w:after="0"/>
              <w:rPr>
                <w:sz w:val="20"/>
                <w:szCs w:val="20"/>
                <w:color w:val="auto"/>
              </w:rPr>
            </w:pPr>
            <w:r>
              <w:rPr>
                <w:rFonts w:ascii="Arial" w:cs="Arial" w:eastAsia="Arial" w:hAnsi="Arial"/>
                <w:sz w:val="18"/>
                <w:szCs w:val="18"/>
                <w:color w:val="auto"/>
              </w:rPr>
              <w:t>Current liabilities:</w:t>
            </w: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Accounts payable</w:t>
            </w: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54,788</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9,537</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20,595</w:t>
            </w:r>
          </w:p>
        </w:tc>
        <w:tc>
          <w:tcPr>
            <w:tcW w:w="6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4(p)</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84,920</w:t>
            </w:r>
          </w:p>
        </w:tc>
        <w:tc>
          <w:tcPr>
            <w:tcW w:w="0" w:type="dxa"/>
            <w:vAlign w:val="bottom"/>
          </w:tcPr>
          <w:p>
            <w:pPr>
              <w:spacing w:after="0"/>
              <w:rPr>
                <w:sz w:val="1"/>
                <w:szCs w:val="1"/>
                <w:color w:val="auto"/>
              </w:rPr>
            </w:pPr>
          </w:p>
        </w:tc>
      </w:tr>
      <w:tr>
        <w:trPr>
          <w:trHeight w:val="216"/>
        </w:trPr>
        <w:tc>
          <w:tcPr>
            <w:tcW w:w="4560" w:type="dxa"/>
            <w:vAlign w:val="bottom"/>
          </w:tcPr>
          <w:p>
            <w:pPr>
              <w:ind w:left="360"/>
              <w:spacing w:after="0"/>
              <w:rPr>
                <w:sz w:val="20"/>
                <w:szCs w:val="20"/>
                <w:color w:val="auto"/>
              </w:rPr>
            </w:pPr>
            <w:r>
              <w:rPr>
                <w:rFonts w:ascii="Arial" w:cs="Arial" w:eastAsia="Arial" w:hAnsi="Arial"/>
                <w:sz w:val="18"/>
                <w:szCs w:val="18"/>
                <w:color w:val="auto"/>
              </w:rPr>
              <w:t>Accrued salaries, wages and benefits</w:t>
            </w: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8"/>
                <w:szCs w:val="18"/>
                <w:color w:val="auto"/>
              </w:rPr>
              <w:t>26,496</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3,288</w:t>
            </w:r>
          </w:p>
        </w:tc>
        <w:tc>
          <w:tcPr>
            <w:tcW w:w="480" w:type="dxa"/>
            <w:vAlign w:val="bottom"/>
          </w:tcPr>
          <w:p>
            <w:pPr>
              <w:ind w:left="100"/>
              <w:spacing w:after="0"/>
              <w:rPr>
                <w:sz w:val="20"/>
                <w:szCs w:val="20"/>
                <w:color w:val="auto"/>
              </w:rPr>
            </w:pPr>
            <w:r>
              <w:rPr>
                <w:rFonts w:ascii="Arial" w:cs="Arial" w:eastAsia="Arial" w:hAnsi="Arial"/>
                <w:sz w:val="18"/>
                <w:szCs w:val="18"/>
                <w:color w:val="auto"/>
              </w:rPr>
              <w:t>2(e)</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29,784</w:t>
            </w:r>
          </w:p>
        </w:tc>
        <w:tc>
          <w:tcPr>
            <w:tcW w:w="0" w:type="dxa"/>
            <w:vAlign w:val="bottom"/>
          </w:tcPr>
          <w:p>
            <w:pPr>
              <w:spacing w:after="0"/>
              <w:rPr>
                <w:sz w:val="1"/>
                <w:szCs w:val="1"/>
                <w:color w:val="auto"/>
              </w:rPr>
            </w:pPr>
          </w:p>
        </w:tc>
      </w:tr>
      <w:tr>
        <w:trPr>
          <w:trHeight w:val="216"/>
        </w:trPr>
        <w:tc>
          <w:tcPr>
            <w:tcW w:w="45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Current maturities of long-term debt</w:t>
            </w: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18,796</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880</w:t>
            </w: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(880)</w:t>
            </w:r>
          </w:p>
        </w:tc>
        <w:tc>
          <w:tcPr>
            <w:tcW w:w="6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4(m)</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18,796</w:t>
            </w:r>
          </w:p>
        </w:tc>
        <w:tc>
          <w:tcPr>
            <w:tcW w:w="0" w:type="dxa"/>
            <w:vAlign w:val="bottom"/>
          </w:tcPr>
          <w:p>
            <w:pPr>
              <w:spacing w:after="0"/>
              <w:rPr>
                <w:sz w:val="1"/>
                <w:szCs w:val="1"/>
                <w:color w:val="auto"/>
              </w:rPr>
            </w:pPr>
          </w:p>
        </w:tc>
      </w:tr>
      <w:tr>
        <w:trPr>
          <w:trHeight w:val="216"/>
        </w:trPr>
        <w:tc>
          <w:tcPr>
            <w:tcW w:w="4560" w:type="dxa"/>
            <w:vAlign w:val="bottom"/>
          </w:tcPr>
          <w:p>
            <w:pPr>
              <w:ind w:left="360"/>
              <w:spacing w:after="0"/>
              <w:rPr>
                <w:sz w:val="20"/>
                <w:szCs w:val="20"/>
                <w:color w:val="auto"/>
              </w:rPr>
            </w:pPr>
            <w:r>
              <w:rPr>
                <w:rFonts w:ascii="Arial" w:cs="Arial" w:eastAsia="Arial" w:hAnsi="Arial"/>
                <w:sz w:val="18"/>
                <w:szCs w:val="18"/>
                <w:color w:val="auto"/>
              </w:rPr>
              <w:t>Income taxes payable</w:t>
            </w: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252</w:t>
            </w:r>
          </w:p>
        </w:tc>
        <w:tc>
          <w:tcPr>
            <w:tcW w:w="80" w:type="dxa"/>
            <w:vAlign w:val="bottom"/>
          </w:tcPr>
          <w:p>
            <w:pPr>
              <w:spacing w:after="0"/>
              <w:rPr>
                <w:sz w:val="18"/>
                <w:szCs w:val="18"/>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252</w:t>
            </w:r>
          </w:p>
        </w:tc>
        <w:tc>
          <w:tcPr>
            <w:tcW w:w="0" w:type="dxa"/>
            <w:vAlign w:val="bottom"/>
          </w:tcPr>
          <w:p>
            <w:pPr>
              <w:spacing w:after="0"/>
              <w:rPr>
                <w:sz w:val="1"/>
                <w:szCs w:val="1"/>
                <w:color w:val="auto"/>
              </w:rPr>
            </w:pPr>
          </w:p>
        </w:tc>
      </w:tr>
      <w:tr>
        <w:trPr>
          <w:trHeight w:val="216"/>
        </w:trPr>
        <w:tc>
          <w:tcPr>
            <w:tcW w:w="45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 current liabilities</w:t>
            </w: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22,264</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7,553</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(3,288)</w:t>
            </w:r>
          </w:p>
        </w:tc>
        <w:tc>
          <w:tcPr>
            <w:tcW w:w="4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2(e)</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26,529</w:t>
            </w:r>
          </w:p>
        </w:tc>
        <w:tc>
          <w:tcPr>
            <w:tcW w:w="0" w:type="dxa"/>
            <w:vAlign w:val="bottom"/>
          </w:tcPr>
          <w:p>
            <w:pPr>
              <w:spacing w:after="0"/>
              <w:rPr>
                <w:sz w:val="1"/>
                <w:szCs w:val="1"/>
                <w:color w:val="auto"/>
              </w:rPr>
            </w:pPr>
          </w:p>
        </w:tc>
      </w:tr>
      <w:tr>
        <w:trPr>
          <w:trHeight w:val="223"/>
        </w:trPr>
        <w:tc>
          <w:tcPr>
            <w:tcW w:w="4560" w:type="dxa"/>
            <w:vAlign w:val="bottom"/>
          </w:tcPr>
          <w:p>
            <w:pPr>
              <w:ind w:left="720"/>
              <w:spacing w:after="0"/>
              <w:rPr>
                <w:sz w:val="20"/>
                <w:szCs w:val="20"/>
                <w:color w:val="auto"/>
              </w:rPr>
            </w:pPr>
            <w:r>
              <w:rPr>
                <w:rFonts w:ascii="Arial" w:cs="Arial" w:eastAsia="Arial" w:hAnsi="Arial"/>
                <w:sz w:val="18"/>
                <w:szCs w:val="18"/>
                <w:color w:val="auto"/>
              </w:rPr>
              <w:t>Total current liabilities</w:t>
            </w:r>
          </w:p>
        </w:tc>
        <w:tc>
          <w:tcPr>
            <w:tcW w:w="9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122,344</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18,222</w:t>
            </w:r>
          </w:p>
        </w:tc>
        <w:tc>
          <w:tcPr>
            <w:tcW w:w="16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19,715</w:t>
            </w:r>
          </w:p>
        </w:tc>
        <w:tc>
          <w:tcPr>
            <w:tcW w:w="1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160,281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Deferred tax liabilities</w:t>
            </w: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71,499</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9,430</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(753)</w:t>
            </w:r>
          </w:p>
        </w:tc>
        <w:tc>
          <w:tcPr>
            <w:tcW w:w="4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2(d)</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21,160</w:t>
            </w:r>
          </w:p>
        </w:tc>
        <w:tc>
          <w:tcPr>
            <w:tcW w:w="6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4(l)</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101,336</w:t>
            </w:r>
          </w:p>
        </w:tc>
        <w:tc>
          <w:tcPr>
            <w:tcW w:w="0" w:type="dxa"/>
            <w:vAlign w:val="bottom"/>
          </w:tcPr>
          <w:p>
            <w:pPr>
              <w:spacing w:after="0"/>
              <w:rPr>
                <w:sz w:val="1"/>
                <w:szCs w:val="1"/>
                <w:color w:val="auto"/>
              </w:rPr>
            </w:pPr>
          </w:p>
        </w:tc>
      </w:tr>
      <w:tr>
        <w:trPr>
          <w:trHeight w:val="216"/>
        </w:trPr>
        <w:tc>
          <w:tcPr>
            <w:tcW w:w="4560" w:type="dxa"/>
            <w:vAlign w:val="bottom"/>
          </w:tcPr>
          <w:p>
            <w:pPr>
              <w:spacing w:after="0"/>
              <w:rPr>
                <w:sz w:val="20"/>
                <w:szCs w:val="20"/>
                <w:color w:val="auto"/>
              </w:rPr>
            </w:pPr>
            <w:r>
              <w:rPr>
                <w:rFonts w:ascii="Arial" w:cs="Arial" w:eastAsia="Arial" w:hAnsi="Arial"/>
                <w:sz w:val="18"/>
                <w:szCs w:val="18"/>
                <w:color w:val="auto"/>
              </w:rPr>
              <w:t>Non-current income tax payable</w:t>
            </w: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8"/>
                <w:szCs w:val="18"/>
                <w:color w:val="auto"/>
              </w:rPr>
              <w:t>5,593</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5,593</w:t>
            </w:r>
          </w:p>
        </w:tc>
        <w:tc>
          <w:tcPr>
            <w:tcW w:w="0" w:type="dxa"/>
            <w:vAlign w:val="bottom"/>
          </w:tcPr>
          <w:p>
            <w:pPr>
              <w:spacing w:after="0"/>
              <w:rPr>
                <w:sz w:val="1"/>
                <w:szCs w:val="1"/>
                <w:color w:val="auto"/>
              </w:rPr>
            </w:pPr>
          </w:p>
        </w:tc>
      </w:tr>
      <w:tr>
        <w:trPr>
          <w:trHeight w:val="216"/>
        </w:trPr>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Long-term debt, net of current portion</w:t>
            </w: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787,438</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84,936</w:t>
            </w: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109,261</w:t>
            </w: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4(m)</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981,635</w:t>
            </w:r>
          </w:p>
        </w:tc>
        <w:tc>
          <w:tcPr>
            <w:tcW w:w="0" w:type="dxa"/>
            <w:vAlign w:val="bottom"/>
          </w:tcPr>
          <w:p>
            <w:pPr>
              <w:spacing w:after="0"/>
              <w:rPr>
                <w:sz w:val="1"/>
                <w:szCs w:val="1"/>
                <w:color w:val="auto"/>
              </w:rPr>
            </w:pPr>
          </w:p>
        </w:tc>
      </w:tr>
      <w:tr>
        <w:trPr>
          <w:trHeight w:val="216"/>
        </w:trPr>
        <w:tc>
          <w:tcPr>
            <w:tcW w:w="4560" w:type="dxa"/>
            <w:vAlign w:val="bottom"/>
          </w:tcPr>
          <w:p>
            <w:pPr>
              <w:spacing w:after="0"/>
              <w:rPr>
                <w:sz w:val="20"/>
                <w:szCs w:val="20"/>
                <w:color w:val="auto"/>
              </w:rPr>
            </w:pPr>
            <w:r>
              <w:rPr>
                <w:rFonts w:ascii="Arial" w:cs="Arial" w:eastAsia="Arial" w:hAnsi="Arial"/>
                <w:sz w:val="18"/>
                <w:szCs w:val="18"/>
                <w:color w:val="auto"/>
              </w:rPr>
              <w:t>Other non-current liabilities</w:t>
            </w: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8"/>
                <w:szCs w:val="18"/>
                <w:color w:val="auto"/>
              </w:rPr>
              <w:t>13,349</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13,349</w:t>
            </w:r>
          </w:p>
        </w:tc>
        <w:tc>
          <w:tcPr>
            <w:tcW w:w="0" w:type="dxa"/>
            <w:vAlign w:val="bottom"/>
          </w:tcPr>
          <w:p>
            <w:pPr>
              <w:spacing w:after="0"/>
              <w:rPr>
                <w:sz w:val="1"/>
                <w:szCs w:val="1"/>
                <w:color w:val="auto"/>
              </w:rPr>
            </w:pPr>
          </w:p>
        </w:tc>
      </w:tr>
      <w:tr>
        <w:trPr>
          <w:trHeight w:val="27"/>
        </w:trPr>
        <w:tc>
          <w:tcPr>
            <w:tcW w:w="45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48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560" w:type="dxa"/>
            <w:vAlign w:val="bottom"/>
            <w:shd w:val="clear" w:color="auto" w:fill="CCEEFF"/>
          </w:tcPr>
          <w:p>
            <w:pPr>
              <w:ind w:left="720"/>
              <w:spacing w:after="0"/>
              <w:rPr>
                <w:sz w:val="20"/>
                <w:szCs w:val="20"/>
                <w:color w:val="auto"/>
              </w:rPr>
            </w:pPr>
            <w:r>
              <w:rPr>
                <w:rFonts w:ascii="Arial" w:cs="Arial" w:eastAsia="Arial" w:hAnsi="Arial"/>
                <w:sz w:val="18"/>
                <w:szCs w:val="18"/>
                <w:color w:val="auto"/>
              </w:rPr>
              <w:t>Total liabilities</w:t>
            </w: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87"/>
              </w:rPr>
              <w:t>1,000,223</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6"/>
              </w:rPr>
              <w:t>112,588</w:t>
            </w: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(753)</w:t>
            </w:r>
          </w:p>
        </w:tc>
        <w:tc>
          <w:tcPr>
            <w:tcW w:w="4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150,136</w:t>
            </w: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7"/>
              </w:rPr>
              <w:t>1,262,194</w:t>
            </w:r>
          </w:p>
        </w:tc>
        <w:tc>
          <w:tcPr>
            <w:tcW w:w="0" w:type="dxa"/>
            <w:vAlign w:val="bottom"/>
          </w:tcPr>
          <w:p>
            <w:pPr>
              <w:spacing w:after="0"/>
              <w:rPr>
                <w:sz w:val="1"/>
                <w:szCs w:val="1"/>
                <w:color w:val="auto"/>
              </w:rPr>
            </w:pPr>
          </w:p>
        </w:tc>
      </w:tr>
      <w:tr>
        <w:trPr>
          <w:trHeight w:val="230"/>
        </w:trPr>
        <w:tc>
          <w:tcPr>
            <w:tcW w:w="4560" w:type="dxa"/>
            <w:vAlign w:val="bottom"/>
          </w:tcPr>
          <w:p>
            <w:pPr>
              <w:spacing w:after="0"/>
              <w:rPr>
                <w:sz w:val="20"/>
                <w:szCs w:val="20"/>
                <w:color w:val="auto"/>
              </w:rPr>
            </w:pPr>
            <w:r>
              <w:rPr>
                <w:rFonts w:ascii="Arial" w:cs="Arial" w:eastAsia="Arial" w:hAnsi="Arial"/>
                <w:sz w:val="18"/>
                <w:szCs w:val="18"/>
                <w:color w:val="auto"/>
              </w:rPr>
              <w:t>Total stockholders’ equity</w:t>
            </w:r>
          </w:p>
        </w:tc>
        <w:tc>
          <w:tcPr>
            <w:tcW w:w="9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484,859</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82,077</w:t>
            </w:r>
          </w:p>
        </w:tc>
        <w:tc>
          <w:tcPr>
            <w:tcW w:w="16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(95,189)</w:t>
            </w:r>
          </w:p>
        </w:tc>
        <w:tc>
          <w:tcPr>
            <w:tcW w:w="160" w:type="dxa"/>
            <w:vAlign w:val="bottom"/>
          </w:tcPr>
          <w:p>
            <w:pPr>
              <w:spacing w:after="0"/>
              <w:rPr>
                <w:sz w:val="20"/>
                <w:szCs w:val="20"/>
                <w:color w:val="auto"/>
              </w:rPr>
            </w:pPr>
          </w:p>
        </w:tc>
        <w:tc>
          <w:tcPr>
            <w:tcW w:w="600" w:type="dxa"/>
            <w:vAlign w:val="bottom"/>
          </w:tcPr>
          <w:p>
            <w:pPr>
              <w:ind w:left="100"/>
              <w:spacing w:after="0"/>
              <w:rPr>
                <w:sz w:val="20"/>
                <w:szCs w:val="20"/>
                <w:color w:val="auto"/>
              </w:rPr>
            </w:pPr>
            <w:r>
              <w:rPr>
                <w:rFonts w:ascii="Arial" w:cs="Arial" w:eastAsia="Arial" w:hAnsi="Arial"/>
                <w:sz w:val="18"/>
                <w:szCs w:val="18"/>
                <w:color w:val="auto"/>
              </w:rPr>
              <w:t>4(o)</w:t>
            </w:r>
          </w:p>
        </w:tc>
        <w:tc>
          <w:tcPr>
            <w:tcW w:w="100" w:type="dxa"/>
            <w:vAlign w:val="bottom"/>
            <w:tcBorders>
              <w:top w:val="single" w:sz="8" w:color="auto"/>
              <w:bottom w:val="single" w:sz="8" w:color="auto"/>
            </w:tcBorders>
          </w:tcPr>
          <w:p>
            <w:pPr>
              <w:spacing w:after="0"/>
              <w:rPr>
                <w:sz w:val="20"/>
                <w:szCs w:val="20"/>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471,747</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560" w:type="dxa"/>
            <w:vAlign w:val="bottom"/>
            <w:shd w:val="clear" w:color="auto" w:fill="CCEEFF"/>
          </w:tcPr>
          <w:p>
            <w:pPr>
              <w:ind w:left="720"/>
              <w:spacing w:after="0"/>
              <w:rPr>
                <w:sz w:val="20"/>
                <w:szCs w:val="20"/>
                <w:color w:val="auto"/>
              </w:rPr>
            </w:pPr>
            <w:r>
              <w:rPr>
                <w:rFonts w:ascii="Arial" w:cs="Arial" w:eastAsia="Arial" w:hAnsi="Arial"/>
                <w:sz w:val="18"/>
                <w:szCs w:val="18"/>
                <w:color w:val="auto"/>
              </w:rPr>
              <w:t>Total liabilities and stockholders’ equity</w:t>
            </w:r>
          </w:p>
        </w:tc>
        <w:tc>
          <w:tcPr>
            <w:tcW w:w="1040" w:type="dxa"/>
            <w:vAlign w:val="bottom"/>
            <w:gridSpan w:val="2"/>
            <w:shd w:val="clear" w:color="auto" w:fill="CCEEFF"/>
          </w:tcPr>
          <w:p>
            <w:pPr>
              <w:ind w:left="940"/>
              <w:spacing w:after="0"/>
              <w:rPr>
                <w:sz w:val="20"/>
                <w:szCs w:val="20"/>
                <w:color w:val="auto"/>
              </w:rPr>
            </w:pPr>
            <w:r>
              <w:rPr>
                <w:rFonts w:ascii="Arial" w:cs="Arial" w:eastAsia="Arial" w:hAnsi="Arial"/>
                <w:sz w:val="18"/>
                <w:szCs w:val="18"/>
                <w:u w:val="single" w:color="auto"/>
                <w:color w:val="auto"/>
                <w:w w:val="79"/>
              </w:rPr>
              <w:t>$</w:t>
            </w: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87"/>
              </w:rPr>
              <w:t>1,485,082</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194,665</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(753)</w:t>
            </w:r>
          </w:p>
        </w:tc>
        <w:tc>
          <w:tcPr>
            <w:tcW w:w="480" w:type="dxa"/>
            <w:vAlign w:val="bottom"/>
            <w:shd w:val="clear" w:color="auto" w:fill="CCEEFF"/>
          </w:tcPr>
          <w:p>
            <w:pPr>
              <w:spacing w:after="0"/>
              <w:rPr>
                <w:sz w:val="18"/>
                <w:szCs w:val="18"/>
                <w:color w:val="auto"/>
              </w:rPr>
            </w:pPr>
          </w:p>
        </w:tc>
        <w:tc>
          <w:tcPr>
            <w:tcW w:w="20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54,947</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7"/>
              </w:rPr>
              <w:t>1,733,941</w:t>
            </w:r>
          </w:p>
        </w:tc>
        <w:tc>
          <w:tcPr>
            <w:tcW w:w="0" w:type="dxa"/>
            <w:vAlign w:val="bottom"/>
          </w:tcPr>
          <w:p>
            <w:pPr>
              <w:spacing w:after="0"/>
              <w:rPr>
                <w:sz w:val="1"/>
                <w:szCs w:val="1"/>
                <w:color w:val="auto"/>
              </w:rPr>
            </w:pPr>
          </w:p>
        </w:tc>
      </w:tr>
      <w:tr>
        <w:trPr>
          <w:trHeight w:val="20"/>
        </w:trPr>
        <w:tc>
          <w:tcPr>
            <w:tcW w:w="45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See accompanying Notes to Unaudited Pro Forma Condensed Combined Financial Information.</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270" w:right="239" w:bottom="1440" w:gutter="0" w:footer="0" w:header="0"/>
        </w:sectPr>
      </w:pPr>
    </w:p>
    <w:bookmarkStart w:id="43" w:name="page44"/>
    <w:bookmarkEnd w:id="43"/>
    <w:p>
      <w:pPr>
        <w:jc w:val="center"/>
        <w:ind w:right="-5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Notes to Unaudited Pro Forma Condensed Combined Financial Information</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i w:val="1"/>
          <w:iCs w:val="1"/>
          <w:color w:val="auto"/>
        </w:rPr>
        <w:t>Amounts in thousands of dollars, except per share data</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Description of Transaction and Basis of Presentation</w:t>
      </w:r>
    </w:p>
    <w:p>
      <w:pPr>
        <w:spacing w:after="0" w:line="121" w:lineRule="exact"/>
        <w:rPr>
          <w:sz w:val="20"/>
          <w:szCs w:val="20"/>
          <w:color w:val="auto"/>
        </w:rPr>
      </w:pPr>
    </w:p>
    <w:p>
      <w:pPr>
        <w:ind w:right="40" w:firstLine="913"/>
        <w:spacing w:after="0" w:line="289" w:lineRule="auto"/>
        <w:rPr>
          <w:sz w:val="20"/>
          <w:szCs w:val="20"/>
          <w:color w:val="auto"/>
        </w:rPr>
      </w:pPr>
      <w:r>
        <w:rPr>
          <w:rFonts w:ascii="Arial" w:cs="Arial" w:eastAsia="Arial" w:hAnsi="Arial"/>
          <w:sz w:val="16"/>
          <w:szCs w:val="16"/>
          <w:color w:val="auto"/>
        </w:rPr>
        <w:t>NN, Inc. (“NN”, “we,” “our,” “us,” or the “Company”) is a global diversified industrial company that combines advanced engineering and production capabilities with in-depth materials science expertise to design and manufacture high-precision components and assemblies for the medical, aerospace and defense, electrical, automotive and general industrial markets. On April 2, 2018, we entered into a Stock Purchase Agreement (“SPA”) with Paragon Equity, LLC (“Paragon Parent”) to acquire 100% of the issued and outstanding shares of PMG Intermediate Holding Corporation (“Paragon”), a wholly-owned subsidiary of Paragon Parent (the “Acquisition”). On May 7, 2018, we completed the Acquisition. As a result of the Acquisition, Paragon became our wholly owned subsidiary. The aggregate consideration paid in connection with the Acquisition was $375,000 in cash (the “Purchase Price”). Funds received from that certain Second Lien Credit Agreement, pursuant to which SunTrust Robinson Humphrey, Inc. and the other lenders named therein extended a $200,000 secured second lien term loan facility, maturing on April 19, 2023, (the “Second Lien Credit Facility”) were used, together with cash on hand, to finance the Purchase Price of the Acquisition and to pay certain fees and expenses related to the Acquisition.</w:t>
      </w:r>
    </w:p>
    <w:p>
      <w:pPr>
        <w:spacing w:after="0" w:line="167" w:lineRule="exact"/>
        <w:rPr>
          <w:sz w:val="20"/>
          <w:szCs w:val="20"/>
          <w:color w:val="auto"/>
        </w:rPr>
      </w:pPr>
    </w:p>
    <w:p>
      <w:pPr>
        <w:ind w:right="100" w:firstLine="913"/>
        <w:spacing w:after="0" w:line="288" w:lineRule="auto"/>
        <w:rPr>
          <w:sz w:val="20"/>
          <w:szCs w:val="20"/>
          <w:color w:val="auto"/>
        </w:rPr>
      </w:pPr>
      <w:r>
        <w:rPr>
          <w:rFonts w:ascii="Arial" w:cs="Arial" w:eastAsia="Arial" w:hAnsi="Arial"/>
          <w:sz w:val="16"/>
          <w:szCs w:val="16"/>
          <w:color w:val="auto"/>
        </w:rPr>
        <w:t>These unaudited pro forma financial statements were prepared in accordance with generally accepted accounting principles in the United States (“U.S. GAAP”) and pursuant to Article 11 of Regulation S-X, and present the pro forma balance sheet and statements of operations of the Company. Our historical consolidated financial information has been adjusted in the unaudited pro forma financial statements to give effect to pro forma events that are:</w:t>
      </w:r>
    </w:p>
    <w:p>
      <w:pPr>
        <w:ind w:firstLine="8"/>
        <w:spacing w:after="0" w:line="251" w:lineRule="auto"/>
        <w:tabs>
          <w:tab w:leader="none" w:pos="215" w:val="left"/>
        </w:tabs>
        <w:numPr>
          <w:ilvl w:val="0"/>
          <w:numId w:val="8"/>
        </w:numPr>
        <w:rPr>
          <w:rFonts w:ascii="Arial" w:cs="Arial" w:eastAsia="Arial" w:hAnsi="Arial"/>
          <w:sz w:val="18"/>
          <w:szCs w:val="18"/>
          <w:color w:val="auto"/>
        </w:rPr>
      </w:pPr>
      <w:r>
        <w:rPr>
          <w:rFonts w:ascii="Arial" w:cs="Arial" w:eastAsia="Arial" w:hAnsi="Arial"/>
          <w:sz w:val="18"/>
          <w:szCs w:val="18"/>
          <w:color w:val="auto"/>
        </w:rPr>
        <w:t xml:space="preserve">directly attributable to the Acquisition; (ii) factually supportable; and (iii) with respect to the pro forma statements of operations, expected to have a continuing impact on our combined results of operations. Additionally, certain financial statement line items included in Paragon’s historical presentation have been disaggregated or condensed to conform to our accounting policies and corresponding financial statement line items included in our historical presentation. These reclassifications are reported in the unaudited pro forma financial statements under the column titled “Accounting Policy Reclassification Adjustments” as discussed in Note 2. The reclassification and aggregations of these items had no significant impact on the historical total assets, total liabilities, or stockholders’ equity reported by us or Paragon. The reclassifications and aggregations also did not impact the historical earnings from continuing operations. We adopted Accounting Standards Codification Topic 606, </w:t>
      </w:r>
      <w:r>
        <w:rPr>
          <w:rFonts w:ascii="Arial" w:cs="Arial" w:eastAsia="Arial" w:hAnsi="Arial"/>
          <w:sz w:val="18"/>
          <w:szCs w:val="18"/>
          <w:i w:val="1"/>
          <w:iCs w:val="1"/>
          <w:color w:val="auto"/>
        </w:rPr>
        <w:t>Revenue from Contracts with Customers,</w:t>
      </w:r>
      <w:r>
        <w:rPr>
          <w:rFonts w:ascii="Arial" w:cs="Arial" w:eastAsia="Arial" w:hAnsi="Arial"/>
          <w:sz w:val="18"/>
          <w:szCs w:val="18"/>
          <w:color w:val="auto"/>
        </w:rPr>
        <w:t xml:space="preserve"> (“ASC 606”) on January 1, 2018, utilizing the modified retrospective transition method. As disclosed in our Quarterly Report on Form 10-Q filed with the Securities and Exchange Commission (“SEC”) on May 10, 2018, the adoption of ASC 606 did not have a material effect on our financial statements. Paragon’s historical financial statements do not reflect the adoption of ASC 606. We do not expect the adoption of ASC 606 will have a material impact on our combined financial statements.</w:t>
      </w:r>
    </w:p>
    <w:p>
      <w:pPr>
        <w:spacing w:after="0" w:line="198" w:lineRule="exact"/>
        <w:rPr>
          <w:sz w:val="20"/>
          <w:szCs w:val="20"/>
          <w:color w:val="auto"/>
        </w:rPr>
      </w:pPr>
    </w:p>
    <w:p>
      <w:pPr>
        <w:ind w:right="60" w:firstLine="913"/>
        <w:spacing w:after="0" w:line="276" w:lineRule="auto"/>
        <w:rPr>
          <w:sz w:val="20"/>
          <w:szCs w:val="20"/>
          <w:color w:val="auto"/>
        </w:rPr>
      </w:pPr>
      <w:r>
        <w:rPr>
          <w:rFonts w:ascii="Arial" w:cs="Arial" w:eastAsia="Arial" w:hAnsi="Arial"/>
          <w:sz w:val="17"/>
          <w:szCs w:val="17"/>
          <w:color w:val="auto"/>
        </w:rPr>
        <w:t>The unaudited pro forma financial statements are based upon historical information after giving effect to the Acquisition and adjustments described in these notes. The unaudited pro forma balance sheet is presented as if the Acquisition had occurred on March 31, 2018; the unaudited pro forma statements of operations for the three months ended March 31, 2018, and for the year ended December 31, 2017, give effect to the Acquisition as if it had occurred on January 1, 2017. The unaudited pro forma financial information does not reflect ongoing cost savings that we expect to achieve as a result of the Acquisition or the costs necessary to achieve these costs savings or synergies.</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Accounting Policy Reclassification Adjustments</w:t>
      </w:r>
    </w:p>
    <w:p>
      <w:pPr>
        <w:spacing w:after="0" w:line="121" w:lineRule="exact"/>
        <w:rPr>
          <w:sz w:val="20"/>
          <w:szCs w:val="20"/>
          <w:color w:val="auto"/>
        </w:rPr>
      </w:pPr>
    </w:p>
    <w:p>
      <w:pPr>
        <w:ind w:right="220" w:firstLine="913"/>
        <w:spacing w:after="0" w:line="277" w:lineRule="auto"/>
        <w:rPr>
          <w:sz w:val="20"/>
          <w:szCs w:val="20"/>
          <w:color w:val="auto"/>
        </w:rPr>
      </w:pPr>
      <w:r>
        <w:rPr>
          <w:rFonts w:ascii="Arial" w:cs="Arial" w:eastAsia="Arial" w:hAnsi="Arial"/>
          <w:sz w:val="18"/>
          <w:szCs w:val="18"/>
          <w:color w:val="auto"/>
        </w:rPr>
        <w:t>The following reclassifications are reported in the pro forma financial statements under the column titled “Accounting Policy Reclassification Adjustments”: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Adjustments to Unaudited Pro Forma Statements of Operations</w:t>
      </w:r>
    </w:p>
    <w:p>
      <w:pPr>
        <w:spacing w:after="0" w:line="131" w:lineRule="exact"/>
        <w:rPr>
          <w:sz w:val="20"/>
          <w:szCs w:val="20"/>
          <w:color w:val="auto"/>
        </w:rPr>
      </w:pPr>
    </w:p>
    <w:p>
      <w:pPr>
        <w:ind w:left="460" w:right="120" w:hanging="452"/>
        <w:spacing w:after="0" w:line="279" w:lineRule="auto"/>
        <w:tabs>
          <w:tab w:leader="none" w:pos="460" w:val="left"/>
        </w:tabs>
        <w:numPr>
          <w:ilvl w:val="0"/>
          <w:numId w:val="9"/>
        </w:numPr>
        <w:rPr>
          <w:rFonts w:ascii="Arial" w:cs="Arial" w:eastAsia="Arial" w:hAnsi="Arial"/>
          <w:sz w:val="17"/>
          <w:szCs w:val="17"/>
          <w:color w:val="auto"/>
        </w:rPr>
      </w:pPr>
      <w:r>
        <w:rPr>
          <w:rFonts w:ascii="Arial" w:cs="Arial" w:eastAsia="Arial" w:hAnsi="Arial"/>
          <w:sz w:val="17"/>
          <w:szCs w:val="17"/>
          <w:i w:val="1"/>
          <w:iCs w:val="1"/>
          <w:color w:val="auto"/>
        </w:rPr>
        <w:t xml:space="preserve">Cost of sales </w:t>
      </w:r>
      <w:r>
        <w:rPr>
          <w:rFonts w:ascii="Arial" w:cs="Arial" w:eastAsia="Arial" w:hAnsi="Arial"/>
          <w:sz w:val="17"/>
          <w:szCs w:val="17"/>
          <w:color w:val="auto"/>
        </w:rPr>
        <w:t>- Within the unaudited pro forma statements of operations, we have made certain changes in presentation to conform Paragon’s financial</w:t>
      </w:r>
      <w:r>
        <w:rPr>
          <w:rFonts w:ascii="Arial" w:cs="Arial" w:eastAsia="Arial" w:hAnsi="Arial"/>
          <w:sz w:val="17"/>
          <w:szCs w:val="17"/>
          <w:i w:val="1"/>
          <w:iCs w:val="1"/>
          <w:color w:val="auto"/>
        </w:rPr>
        <w:t xml:space="preserve"> </w:t>
      </w:r>
      <w:r>
        <w:rPr>
          <w:rFonts w:ascii="Arial" w:cs="Arial" w:eastAsia="Arial" w:hAnsi="Arial"/>
          <w:sz w:val="17"/>
          <w:szCs w:val="17"/>
          <w:color w:val="auto"/>
        </w:rPr>
        <w:t>presentation to our accounting policies and financial statement presentation. In Paragon’s historical financial statements, depreciation expense in an amount of $7,594 for the year ended December 31, 2017, and $1,904 for the three months ended March 31, 2018, was historically reflected in cost of sales. We reclassified and presented this amount within the caption “Depreciation and amortization.”</w:t>
      </w:r>
    </w:p>
    <w:p>
      <w:pPr>
        <w:spacing w:after="0" w:line="76" w:lineRule="exact"/>
        <w:rPr>
          <w:rFonts w:ascii="Arial" w:cs="Arial" w:eastAsia="Arial" w:hAnsi="Arial"/>
          <w:sz w:val="17"/>
          <w:szCs w:val="17"/>
          <w:color w:val="auto"/>
        </w:rPr>
      </w:pPr>
    </w:p>
    <w:p>
      <w:pPr>
        <w:ind w:left="460" w:hanging="452"/>
        <w:spacing w:after="0" w:line="259" w:lineRule="auto"/>
        <w:tabs>
          <w:tab w:leader="none" w:pos="460" w:val="left"/>
        </w:tabs>
        <w:numPr>
          <w:ilvl w:val="0"/>
          <w:numId w:val="9"/>
        </w:numPr>
        <w:rPr>
          <w:rFonts w:ascii="Arial" w:cs="Arial" w:eastAsia="Arial" w:hAnsi="Arial"/>
          <w:sz w:val="18"/>
          <w:szCs w:val="18"/>
          <w:color w:val="auto"/>
        </w:rPr>
      </w:pPr>
      <w:r>
        <w:rPr>
          <w:rFonts w:ascii="Arial" w:cs="Arial" w:eastAsia="Arial" w:hAnsi="Arial"/>
          <w:sz w:val="18"/>
          <w:szCs w:val="18"/>
          <w:i w:val="1"/>
          <w:iCs w:val="1"/>
          <w:color w:val="auto"/>
        </w:rPr>
        <w:t xml:space="preserve">Selling, general and administrative expense </w:t>
      </w:r>
      <w:r>
        <w:rPr>
          <w:rFonts w:ascii="Arial" w:cs="Arial" w:eastAsia="Arial" w:hAnsi="Arial"/>
          <w:sz w:val="18"/>
          <w:szCs w:val="18"/>
          <w:color w:val="auto"/>
        </w:rPr>
        <w:t>– Similar to a) above, depreciation expense of $298 for the year ended December 31, 2017, and $81 for the</w:t>
      </w:r>
      <w:r>
        <w:rPr>
          <w:rFonts w:ascii="Arial" w:cs="Arial" w:eastAsia="Arial" w:hAnsi="Arial"/>
          <w:sz w:val="18"/>
          <w:szCs w:val="18"/>
          <w:i w:val="1"/>
          <w:iCs w:val="1"/>
          <w:color w:val="auto"/>
        </w:rPr>
        <w:t xml:space="preserve"> </w:t>
      </w:r>
      <w:r>
        <w:rPr>
          <w:rFonts w:ascii="Arial" w:cs="Arial" w:eastAsia="Arial" w:hAnsi="Arial"/>
          <w:sz w:val="18"/>
          <w:szCs w:val="18"/>
          <w:color w:val="auto"/>
        </w:rPr>
        <w:t>three months ended March 31, 2018, was historically reflected in general and administrative expense of Paragon’s historic statements of operations. To conform Paragon’s financial presentation to our accounting policies and financial statement presentation, we reclassified and presented this amount within the caption “Depreciation and amortization.”</w:t>
      </w:r>
    </w:p>
    <w:p>
      <w:pPr>
        <w:spacing w:after="0" w:line="11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360"/>
          </w:cols>
          <w:pgMar w:left="240" w:top="270" w:right="299" w:bottom="1440" w:gutter="0" w:footer="0" w:header="0"/>
        </w:sectPr>
      </w:pPr>
    </w:p>
    <w:bookmarkStart w:id="44" w:name="page45"/>
    <w:bookmarkEnd w:id="44"/>
    <w:p>
      <w:pPr>
        <w:ind w:left="460" w:hanging="452"/>
        <w:spacing w:after="0" w:line="264" w:lineRule="auto"/>
        <w:tabs>
          <w:tab w:leader="none" w:pos="460" w:val="left"/>
        </w:tabs>
        <w:numPr>
          <w:ilvl w:val="0"/>
          <w:numId w:val="10"/>
        </w:numPr>
        <w:rPr>
          <w:rFonts w:ascii="Arial" w:cs="Arial" w:eastAsia="Arial" w:hAnsi="Arial"/>
          <w:sz w:val="18"/>
          <w:szCs w:val="18"/>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Depreciation and amortization </w:t>
      </w:r>
      <w:r>
        <w:rPr>
          <w:rFonts w:ascii="Arial" w:cs="Arial" w:eastAsia="Arial" w:hAnsi="Arial"/>
          <w:sz w:val="18"/>
          <w:szCs w:val="18"/>
          <w:color w:val="auto"/>
        </w:rPr>
        <w:t>– As stated in a) and b) above, a total amount of $7,892 for the year ended December 31, 2017, and $1,985 for the three</w:t>
      </w:r>
      <w:r>
        <w:rPr>
          <w:rFonts w:ascii="Arial" w:cs="Arial" w:eastAsia="Arial" w:hAnsi="Arial"/>
          <w:sz w:val="18"/>
          <w:szCs w:val="18"/>
          <w:i w:val="1"/>
          <w:iCs w:val="1"/>
          <w:color w:val="auto"/>
        </w:rPr>
        <w:t xml:space="preserve"> </w:t>
      </w:r>
      <w:r>
        <w:rPr>
          <w:rFonts w:ascii="Arial" w:cs="Arial" w:eastAsia="Arial" w:hAnsi="Arial"/>
          <w:sz w:val="18"/>
          <w:szCs w:val="18"/>
          <w:color w:val="auto"/>
        </w:rPr>
        <w:t>months ended March 31, 2018, was reclassified from “Cost of sales” and “Selling, general and administrative expense” to “Depreciation and amortization” in the unaudited pro forma statements of operations.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Adjustments to Unaudited Pro Forma Balance Sheet</w:t>
      </w:r>
    </w:p>
    <w:p>
      <w:pPr>
        <w:spacing w:after="0" w:line="131" w:lineRule="exact"/>
        <w:rPr>
          <w:sz w:val="20"/>
          <w:szCs w:val="20"/>
          <w:color w:val="auto"/>
        </w:rPr>
      </w:pPr>
    </w:p>
    <w:p>
      <w:pPr>
        <w:ind w:left="460" w:hanging="452"/>
        <w:spacing w:after="0" w:line="257" w:lineRule="auto"/>
        <w:tabs>
          <w:tab w:leader="none" w:pos="460" w:val="left"/>
        </w:tabs>
        <w:numPr>
          <w:ilvl w:val="0"/>
          <w:numId w:val="11"/>
        </w:numPr>
        <w:rPr>
          <w:rFonts w:ascii="Arial" w:cs="Arial" w:eastAsia="Arial" w:hAnsi="Arial"/>
          <w:sz w:val="18"/>
          <w:szCs w:val="18"/>
          <w:color w:val="auto"/>
        </w:rPr>
      </w:pPr>
      <w:r>
        <w:rPr>
          <w:rFonts w:ascii="Arial" w:cs="Arial" w:eastAsia="Arial" w:hAnsi="Arial"/>
          <w:sz w:val="18"/>
          <w:szCs w:val="18"/>
          <w:i w:val="1"/>
          <w:iCs w:val="1"/>
          <w:color w:val="auto"/>
        </w:rPr>
        <w:t xml:space="preserve">Other non-current assets - </w:t>
      </w:r>
      <w:r>
        <w:rPr>
          <w:rFonts w:ascii="Arial" w:cs="Arial" w:eastAsia="Arial" w:hAnsi="Arial"/>
          <w:sz w:val="18"/>
          <w:szCs w:val="18"/>
          <w:color w:val="auto"/>
        </w:rPr>
        <w:t>Within the unaudited pro forma balance sheet, we have made certain changes in presentation to conform Paragon’s financial</w:t>
      </w:r>
      <w:r>
        <w:rPr>
          <w:rFonts w:ascii="Arial" w:cs="Arial" w:eastAsia="Arial" w:hAnsi="Arial"/>
          <w:sz w:val="18"/>
          <w:szCs w:val="18"/>
          <w:i w:val="1"/>
          <w:iCs w:val="1"/>
          <w:color w:val="auto"/>
        </w:rPr>
        <w:t xml:space="preserve"> </w:t>
      </w:r>
      <w:r>
        <w:rPr>
          <w:rFonts w:ascii="Arial" w:cs="Arial" w:eastAsia="Arial" w:hAnsi="Arial"/>
          <w:sz w:val="18"/>
          <w:szCs w:val="18"/>
          <w:color w:val="auto"/>
        </w:rPr>
        <w:t>presentation to our accounting policies and financial statement presentation. To conform Paragon’s financial statement presentation to our financial statement presentation, deferred income taxes of $753, originally included in the caption “Other current assets,” was reclassified to “Deferred tax liabilities” to reflect Paragon’s adoption of Accounting Standards Update No. 2015-17, Income Taxes (Topic 740) - Balance Sheet Classification of Deferred Taxes.</w:t>
      </w:r>
    </w:p>
    <w:p>
      <w:pPr>
        <w:spacing w:after="0" w:line="93" w:lineRule="exact"/>
        <w:rPr>
          <w:rFonts w:ascii="Arial" w:cs="Arial" w:eastAsia="Arial" w:hAnsi="Arial"/>
          <w:sz w:val="18"/>
          <w:szCs w:val="18"/>
          <w:color w:val="auto"/>
        </w:rPr>
      </w:pPr>
    </w:p>
    <w:p>
      <w:pPr>
        <w:ind w:left="460" w:right="40" w:hanging="452"/>
        <w:spacing w:after="0" w:line="308" w:lineRule="auto"/>
        <w:tabs>
          <w:tab w:leader="none" w:pos="460" w:val="left"/>
        </w:tabs>
        <w:numPr>
          <w:ilvl w:val="0"/>
          <w:numId w:val="11"/>
        </w:numPr>
        <w:rPr>
          <w:rFonts w:ascii="Arial" w:cs="Arial" w:eastAsia="Arial" w:hAnsi="Arial"/>
          <w:sz w:val="17"/>
          <w:szCs w:val="17"/>
          <w:color w:val="auto"/>
        </w:rPr>
      </w:pPr>
      <w:r>
        <w:rPr>
          <w:rFonts w:ascii="Arial" w:cs="Arial" w:eastAsia="Arial" w:hAnsi="Arial"/>
          <w:sz w:val="17"/>
          <w:szCs w:val="17"/>
          <w:i w:val="1"/>
          <w:iCs w:val="1"/>
          <w:color w:val="auto"/>
        </w:rPr>
        <w:t xml:space="preserve">Accrued salaries, wages and benefits - </w:t>
      </w:r>
      <w:r>
        <w:rPr>
          <w:rFonts w:ascii="Arial" w:cs="Arial" w:eastAsia="Arial" w:hAnsi="Arial"/>
          <w:sz w:val="17"/>
          <w:szCs w:val="17"/>
          <w:color w:val="auto"/>
        </w:rPr>
        <w:t>To conform Paragon’s financial statement presentation to our financial statement presentation, accrued salaries,</w:t>
      </w:r>
      <w:r>
        <w:rPr>
          <w:rFonts w:ascii="Arial" w:cs="Arial" w:eastAsia="Arial" w:hAnsi="Arial"/>
          <w:sz w:val="17"/>
          <w:szCs w:val="17"/>
          <w:i w:val="1"/>
          <w:iCs w:val="1"/>
          <w:color w:val="auto"/>
        </w:rPr>
        <w:t xml:space="preserve"> </w:t>
      </w:r>
      <w:r>
        <w:rPr>
          <w:rFonts w:ascii="Arial" w:cs="Arial" w:eastAsia="Arial" w:hAnsi="Arial"/>
          <w:sz w:val="17"/>
          <w:szCs w:val="17"/>
          <w:color w:val="auto"/>
        </w:rPr>
        <w:t>wages and benefits of $3,288 was reclassified from the caption “Other current liabilities” to “Accrued salaries, wages and benefits.”</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Consideration Transferred and Preliminary Purchase Price Allocation</w:t>
      </w:r>
    </w:p>
    <w:p>
      <w:pPr>
        <w:spacing w:after="0" w:line="121" w:lineRule="exact"/>
        <w:rPr>
          <w:sz w:val="20"/>
          <w:szCs w:val="20"/>
          <w:color w:val="auto"/>
        </w:rPr>
      </w:pPr>
    </w:p>
    <w:p>
      <w:pPr>
        <w:ind w:right="40" w:firstLine="913"/>
        <w:spacing w:after="0" w:line="297" w:lineRule="auto"/>
        <w:rPr>
          <w:sz w:val="20"/>
          <w:szCs w:val="20"/>
          <w:color w:val="auto"/>
        </w:rPr>
      </w:pPr>
      <w:r>
        <w:rPr>
          <w:rFonts w:ascii="Arial" w:cs="Arial" w:eastAsia="Arial" w:hAnsi="Arial"/>
          <w:sz w:val="16"/>
          <w:szCs w:val="16"/>
          <w:color w:val="auto"/>
        </w:rPr>
        <w:t xml:space="preserve">The Acquisition has been reflected in the unaudited pro forma financial statements as being accounted for under the acquisition method in accordance with ASC 805, </w:t>
      </w:r>
      <w:r>
        <w:rPr>
          <w:rFonts w:ascii="Arial" w:cs="Arial" w:eastAsia="Arial" w:hAnsi="Arial"/>
          <w:sz w:val="16"/>
          <w:szCs w:val="16"/>
          <w:i w:val="1"/>
          <w:iCs w:val="1"/>
          <w:color w:val="auto"/>
        </w:rPr>
        <w:t>Business Combinations</w:t>
      </w:r>
      <w:r>
        <w:rPr>
          <w:rFonts w:ascii="Arial" w:cs="Arial" w:eastAsia="Arial" w:hAnsi="Arial"/>
          <w:sz w:val="16"/>
          <w:szCs w:val="16"/>
          <w:color w:val="auto"/>
        </w:rPr>
        <w:t xml:space="preserve"> (“ASC 805”) with the Company treated as the accounting acquirer. In accordance with ASC 805, the assets acquired and the liabilities assumed have been measured at fair value based on various preliminary estimates. Due to the fact that the unaudited pro forma financial statements have been prepared based on preliminary estimates, the final amounts recorded for the Acquisition may differ materially from the information presented herein. These estimates are subject to change pending further review of the fair value of assets acquired and liabilities assumed.</w:t>
      </w:r>
    </w:p>
    <w:p>
      <w:pPr>
        <w:spacing w:after="0" w:line="158" w:lineRule="exact"/>
        <w:rPr>
          <w:sz w:val="20"/>
          <w:szCs w:val="20"/>
          <w:color w:val="auto"/>
        </w:rPr>
      </w:pPr>
    </w:p>
    <w:p>
      <w:pPr>
        <w:ind w:right="100" w:firstLine="913"/>
        <w:spacing w:after="0" w:line="255" w:lineRule="auto"/>
        <w:rPr>
          <w:sz w:val="20"/>
          <w:szCs w:val="20"/>
          <w:color w:val="auto"/>
        </w:rPr>
      </w:pPr>
      <w:r>
        <w:rPr>
          <w:rFonts w:ascii="Arial" w:cs="Arial" w:eastAsia="Arial" w:hAnsi="Arial"/>
          <w:sz w:val="18"/>
          <w:szCs w:val="18"/>
          <w:color w:val="auto"/>
        </w:rPr>
        <w:t xml:space="preserve">For purposes of measuring the estimated fair value, where applicable, of the assets acquired and the liabilities assumed as reflected in the unaudited pro forma financial statements, the guidance in ASC 820, </w:t>
      </w:r>
      <w:r>
        <w:rPr>
          <w:rFonts w:ascii="Arial" w:cs="Arial" w:eastAsia="Arial" w:hAnsi="Arial"/>
          <w:sz w:val="18"/>
          <w:szCs w:val="18"/>
          <w:i w:val="1"/>
          <w:iCs w:val="1"/>
          <w:color w:val="auto"/>
        </w:rPr>
        <w:t>Fair Value Measurements and Disclosures,</w:t>
      </w:r>
      <w:r>
        <w:rPr>
          <w:rFonts w:ascii="Arial" w:cs="Arial" w:eastAsia="Arial" w:hAnsi="Arial"/>
          <w:sz w:val="18"/>
          <w:szCs w:val="18"/>
          <w:color w:val="auto"/>
        </w:rPr>
        <w:t xml:space="preserve"> (“ASC 820”) has been applied, which establishes a framework for measuring fair value. In accordance with ASC 820, fair value is an exit price and is defined as “the price that would be received to sell an asset or paid to transfer a liability in an orderly transaction between market participants at the measurement date.” Under ASC 805, acquisition-related transaction costs are not included as components of consideration transferred but are accounted for as expenses in the period in which the costs are incurred.</w:t>
      </w:r>
    </w:p>
    <w:p>
      <w:pPr>
        <w:spacing w:after="0" w:line="193" w:lineRule="exact"/>
        <w:rPr>
          <w:sz w:val="20"/>
          <w:szCs w:val="20"/>
          <w:color w:val="auto"/>
        </w:rPr>
      </w:pPr>
    </w:p>
    <w:p>
      <w:pPr>
        <w:ind w:right="100" w:firstLine="913"/>
        <w:spacing w:after="0" w:line="277" w:lineRule="auto"/>
        <w:rPr>
          <w:sz w:val="20"/>
          <w:szCs w:val="20"/>
          <w:color w:val="auto"/>
        </w:rPr>
      </w:pPr>
      <w:r>
        <w:rPr>
          <w:rFonts w:ascii="Arial" w:cs="Arial" w:eastAsia="Arial" w:hAnsi="Arial"/>
          <w:sz w:val="18"/>
          <w:szCs w:val="18"/>
          <w:color w:val="auto"/>
        </w:rPr>
        <w:t>The purchase price was $375,000 in cash, excluding cash acquired and including the settlement of pre-acquisition Paragon indebtedness, and is subject to customary purchase price adjustments.</w:t>
      </w:r>
    </w:p>
    <w:p>
      <w:pPr>
        <w:spacing w:after="0" w:line="170" w:lineRule="exact"/>
        <w:rPr>
          <w:sz w:val="20"/>
          <w:szCs w:val="20"/>
          <w:color w:val="auto"/>
        </w:rPr>
      </w:pPr>
    </w:p>
    <w:p>
      <w:pPr>
        <w:ind w:left="920"/>
        <w:spacing w:after="0"/>
        <w:rPr>
          <w:sz w:val="20"/>
          <w:szCs w:val="20"/>
          <w:color w:val="auto"/>
        </w:rPr>
      </w:pPr>
      <w:r>
        <w:rPr>
          <w:rFonts w:ascii="Arial" w:cs="Arial" w:eastAsia="Arial" w:hAnsi="Arial"/>
          <w:sz w:val="16"/>
          <w:szCs w:val="16"/>
          <w:color w:val="auto"/>
        </w:rPr>
        <w:t>The following is a summary of the preliminary estimated fair values of the net assets acquired assuming the Acquisition closed on March 31,</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2018:</w:t>
      </w:r>
    </w:p>
    <w:p>
      <w:pPr>
        <w:spacing w:after="0" w:line="207" w:lineRule="exact"/>
        <w:rPr>
          <w:sz w:val="20"/>
          <w:szCs w:val="20"/>
          <w:color w:val="auto"/>
        </w:rPr>
      </w:pPr>
    </w:p>
    <w:tbl>
      <w:tblPr>
        <w:tblLayout w:type="fixed"/>
        <w:tblInd w:w="184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6700" w:type="dxa"/>
            <w:vAlign w:val="bottom"/>
          </w:tcPr>
          <w:p>
            <w:pPr>
              <w:jc w:val="center"/>
              <w:ind w:left="930"/>
              <w:spacing w:after="0"/>
              <w:rPr>
                <w:sz w:val="20"/>
                <w:szCs w:val="20"/>
                <w:color w:val="auto"/>
              </w:rPr>
            </w:pPr>
            <w:r>
              <w:rPr>
                <w:rFonts w:ascii="Arial" w:cs="Arial" w:eastAsia="Arial" w:hAnsi="Arial"/>
                <w:sz w:val="18"/>
                <w:szCs w:val="18"/>
                <w:b w:val="1"/>
                <w:bCs w:val="1"/>
                <w:color w:val="auto"/>
                <w:w w:val="90"/>
              </w:rPr>
              <w:t>Preliminary Fair Value of Assets Acquired and Liabilities Assumed</w:t>
            </w:r>
          </w:p>
        </w:tc>
        <w:tc>
          <w:tcPr>
            <w:tcW w:w="3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0" w:type="dxa"/>
            <w:vAlign w:val="bottom"/>
            <w:vMerge w:val="restart"/>
          </w:tcPr>
          <w:p>
            <w:pPr>
              <w:spacing w:after="0"/>
              <w:rPr>
                <w:sz w:val="21"/>
                <w:szCs w:val="21"/>
                <w:color w:val="auto"/>
              </w:rPr>
            </w:pPr>
          </w:p>
        </w:tc>
        <w:tc>
          <w:tcPr>
            <w:tcW w:w="67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700" w:type="dxa"/>
            <w:vAlign w:val="bottom"/>
            <w:shd w:val="clear" w:color="auto" w:fill="CCEEFF"/>
          </w:tcPr>
          <w:p>
            <w:pPr>
              <w:spacing w:after="0"/>
              <w:rPr>
                <w:sz w:val="20"/>
                <w:szCs w:val="20"/>
                <w:color w:val="auto"/>
              </w:rPr>
            </w:pPr>
            <w:r>
              <w:rPr>
                <w:rFonts w:ascii="Arial" w:cs="Arial" w:eastAsia="Arial" w:hAnsi="Arial"/>
                <w:sz w:val="18"/>
                <w:szCs w:val="18"/>
                <w:color w:val="auto"/>
              </w:rPr>
              <w:t>Consideration transferred</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375,000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700" w:type="dxa"/>
            <w:vAlign w:val="bottom"/>
            <w:vMerge w:val="restart"/>
          </w:tcPr>
          <w:p>
            <w:pPr>
              <w:ind w:left="340"/>
              <w:spacing w:after="0"/>
              <w:rPr>
                <w:sz w:val="20"/>
                <w:szCs w:val="20"/>
                <w:color w:val="auto"/>
              </w:rPr>
            </w:pPr>
            <w:r>
              <w:rPr>
                <w:rFonts w:ascii="Arial" w:cs="Arial" w:eastAsia="Arial" w:hAnsi="Arial"/>
                <w:sz w:val="18"/>
                <w:szCs w:val="18"/>
                <w:color w:val="auto"/>
              </w:rPr>
              <w:t>Inventory</w:t>
            </w:r>
          </w:p>
        </w:tc>
        <w:tc>
          <w:tcPr>
            <w:tcW w:w="3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700" w:type="dxa"/>
            <w:vAlign w:val="bottom"/>
            <w:vMerge w:val="continue"/>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24,619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 current assets, excluding cash acquired</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27,639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00" w:type="dxa"/>
            <w:vAlign w:val="bottom"/>
          </w:tcPr>
          <w:p>
            <w:pPr>
              <w:ind w:left="340"/>
              <w:spacing w:after="0"/>
              <w:rPr>
                <w:sz w:val="20"/>
                <w:szCs w:val="20"/>
                <w:color w:val="auto"/>
              </w:rPr>
            </w:pPr>
            <w:r>
              <w:rPr>
                <w:rFonts w:ascii="Arial" w:cs="Arial" w:eastAsia="Arial" w:hAnsi="Arial"/>
                <w:sz w:val="18"/>
                <w:szCs w:val="18"/>
                <w:color w:val="auto"/>
              </w:rPr>
              <w:t>Property, plant, and equipment</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56,843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Intangible assets</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124,246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00" w:type="dxa"/>
            <w:vAlign w:val="bottom"/>
          </w:tcPr>
          <w:p>
            <w:pPr>
              <w:ind w:left="340"/>
              <w:spacing w:after="0"/>
              <w:rPr>
                <w:sz w:val="20"/>
                <w:szCs w:val="20"/>
                <w:color w:val="auto"/>
              </w:rPr>
            </w:pPr>
            <w:r>
              <w:rPr>
                <w:rFonts w:ascii="Arial" w:cs="Arial" w:eastAsia="Arial" w:hAnsi="Arial"/>
                <w:sz w:val="18"/>
                <w:szCs w:val="18"/>
                <w:color w:val="auto"/>
              </w:rPr>
              <w:t>Other non-current assets</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706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Goodwill</w:t>
            </w:r>
          </w:p>
        </w:tc>
        <w:tc>
          <w:tcPr>
            <w:tcW w:w="30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188,126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720" w:type="dxa"/>
            <w:vAlign w:val="bottom"/>
            <w:gridSpan w:val="2"/>
          </w:tcPr>
          <w:p>
            <w:pPr>
              <w:spacing w:after="0"/>
              <w:rPr>
                <w:sz w:val="20"/>
                <w:szCs w:val="20"/>
                <w:color w:val="auto"/>
              </w:rPr>
            </w:pPr>
            <w:r>
              <w:rPr>
                <w:rFonts w:ascii="Arial" w:cs="Arial" w:eastAsia="Arial" w:hAnsi="Arial"/>
                <w:sz w:val="18"/>
                <w:szCs w:val="18"/>
                <w:b w:val="1"/>
                <w:bCs w:val="1"/>
                <w:color w:val="auto"/>
              </w:rPr>
              <w:t>Total assets acquired</w:t>
            </w:r>
          </w:p>
        </w:tc>
        <w:tc>
          <w:tcPr>
            <w:tcW w:w="300" w:type="dxa"/>
            <w:vAlign w:val="bottom"/>
          </w:tcPr>
          <w:p>
            <w:pPr>
              <w:spacing w:after="0"/>
              <w:rPr>
                <w:sz w:val="19"/>
                <w:szCs w:val="19"/>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422,179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7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7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Current liabilities</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17,342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700" w:type="dxa"/>
            <w:vAlign w:val="bottom"/>
          </w:tcPr>
          <w:p>
            <w:pPr>
              <w:ind w:left="340"/>
              <w:spacing w:after="0"/>
              <w:rPr>
                <w:sz w:val="20"/>
                <w:szCs w:val="20"/>
                <w:color w:val="auto"/>
              </w:rPr>
            </w:pPr>
            <w:r>
              <w:rPr>
                <w:rFonts w:ascii="Arial" w:cs="Arial" w:eastAsia="Arial" w:hAnsi="Arial"/>
                <w:sz w:val="18"/>
                <w:szCs w:val="18"/>
                <w:color w:val="auto"/>
              </w:rPr>
              <w:t>Non-current deferred tax liabilities</w:t>
            </w:r>
          </w:p>
        </w:tc>
        <w:tc>
          <w:tcPr>
            <w:tcW w:w="30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29,837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liabilities assumed</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47,179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720" w:type="dxa"/>
            <w:vAlign w:val="bottom"/>
            <w:gridSpan w:val="2"/>
            <w:vMerge w:val="restart"/>
          </w:tcPr>
          <w:p>
            <w:pPr>
              <w:jc w:val="right"/>
              <w:ind w:right="2710"/>
              <w:spacing w:after="0"/>
              <w:rPr>
                <w:sz w:val="20"/>
                <w:szCs w:val="20"/>
                <w:color w:val="auto"/>
              </w:rPr>
            </w:pPr>
            <w:r>
              <w:rPr>
                <w:rFonts w:ascii="Arial" w:cs="Arial" w:eastAsia="Arial" w:hAnsi="Arial"/>
                <w:sz w:val="18"/>
                <w:szCs w:val="18"/>
                <w:color w:val="auto"/>
              </w:rPr>
              <w:t>7</w:t>
            </w:r>
          </w:p>
        </w:tc>
        <w:tc>
          <w:tcPr>
            <w:tcW w:w="3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6720" w:type="dxa"/>
            <w:vAlign w:val="bottom"/>
            <w:gridSpan w:val="2"/>
            <w:vMerge w:val="continue"/>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40"/>
          </w:cols>
          <w:pgMar w:left="240" w:top="274" w:right="319" w:bottom="1440" w:gutter="0" w:footer="0" w:header="0"/>
        </w:sectPr>
      </w:pPr>
    </w:p>
    <w:bookmarkStart w:id="45" w:name="page46"/>
    <w:bookmarkEnd w:id="45"/>
    <w:p>
      <w:pPr>
        <w:ind w:firstLine="913"/>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We have made preliminary allocation estimates based on currently available information. We expect the final determination of the purchase price allocation will include, but will not be limited to, valuations with respect to inventory, fixed assets, customer relationships, trade names and other potential intangible assets. The valuations will consist of physical appraisals, discounted cash flow analyses and other appropriate valuation techniques to determine the fair value of the assets acquired and liabilities assumed.</w:t>
      </w:r>
    </w:p>
    <w:p>
      <w:pPr>
        <w:spacing w:after="0" w:line="187" w:lineRule="exact"/>
        <w:rPr>
          <w:sz w:val="20"/>
          <w:szCs w:val="20"/>
          <w:color w:val="auto"/>
        </w:rPr>
      </w:pPr>
    </w:p>
    <w:p>
      <w:pPr>
        <w:ind w:right="40" w:firstLine="913"/>
        <w:spacing w:after="0" w:line="273" w:lineRule="auto"/>
        <w:rPr>
          <w:sz w:val="20"/>
          <w:szCs w:val="20"/>
          <w:color w:val="auto"/>
        </w:rPr>
      </w:pPr>
      <w:r>
        <w:rPr>
          <w:rFonts w:ascii="Arial" w:cs="Arial" w:eastAsia="Arial" w:hAnsi="Arial"/>
          <w:sz w:val="17"/>
          <w:szCs w:val="17"/>
          <w:color w:val="auto"/>
        </w:rPr>
        <w:t>The final, as-adjusted amounts allocated to assets acquired and liabilities assumed in the Acquisition will be based on the fair value of the net assets acquired at the Acquisition date and could differ materially from the preliminary amounts presented in the unaudited pro forma financial statements as of March 31, 2018. A decrease in the fair value of assets acquired, or an increase in the fair value of liabilities assumed, from those preliminary valuations presented in these unaudited pro forma financial statements would result in a dollar-for-dollar corresponding increase in the amount of goodwill that will result from the Acquisition. In addition, if the value of the acquired assets is higher than the preliminary values above, it may result in higher depreciation and amortization expense than is presented in these unaudited pro forma financial statements.</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Adjustments to Unaudited Pro Forma Financial Statements</w:t>
      </w:r>
    </w:p>
    <w:p>
      <w:pPr>
        <w:spacing w:after="0" w:line="121" w:lineRule="exact"/>
        <w:rPr>
          <w:sz w:val="20"/>
          <w:szCs w:val="20"/>
          <w:color w:val="auto"/>
        </w:rPr>
      </w:pPr>
    </w:p>
    <w:p>
      <w:pPr>
        <w:ind w:left="920"/>
        <w:spacing w:after="0"/>
        <w:rPr>
          <w:sz w:val="20"/>
          <w:szCs w:val="20"/>
          <w:color w:val="auto"/>
        </w:rPr>
      </w:pPr>
      <w:r>
        <w:rPr>
          <w:rFonts w:ascii="Arial" w:cs="Arial" w:eastAsia="Arial" w:hAnsi="Arial"/>
          <w:sz w:val="17"/>
          <w:szCs w:val="17"/>
          <w:color w:val="auto"/>
        </w:rPr>
        <w:t>The unaudited pro forma adjustments related to the Acquisition included in the unaudited pro forma financial statements are as follows:</w:t>
      </w: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Adjustments to Unaudited Pro Forma Statements of Operations</w:t>
      </w:r>
    </w:p>
    <w:p>
      <w:pPr>
        <w:spacing w:after="0" w:line="131" w:lineRule="exact"/>
        <w:rPr>
          <w:sz w:val="20"/>
          <w:szCs w:val="20"/>
          <w:color w:val="auto"/>
        </w:rPr>
      </w:pPr>
    </w:p>
    <w:p>
      <w:pPr>
        <w:ind w:left="460" w:right="100" w:hanging="452"/>
        <w:spacing w:after="0" w:line="276" w:lineRule="auto"/>
        <w:tabs>
          <w:tab w:leader="none" w:pos="460" w:val="left"/>
        </w:tabs>
        <w:numPr>
          <w:ilvl w:val="0"/>
          <w:numId w:val="12"/>
        </w:numPr>
        <w:rPr>
          <w:rFonts w:ascii="Arial" w:cs="Arial" w:eastAsia="Arial" w:hAnsi="Arial"/>
          <w:sz w:val="17"/>
          <w:szCs w:val="17"/>
          <w:color w:val="auto"/>
        </w:rPr>
      </w:pPr>
      <w:r>
        <w:rPr>
          <w:rFonts w:ascii="Arial" w:cs="Arial" w:eastAsia="Arial" w:hAnsi="Arial"/>
          <w:sz w:val="17"/>
          <w:szCs w:val="17"/>
          <w:i w:val="1"/>
          <w:iCs w:val="1"/>
          <w:color w:val="auto"/>
        </w:rPr>
        <w:t xml:space="preserve">Selling, general and administrative expense </w:t>
      </w:r>
      <w:r>
        <w:rPr>
          <w:rFonts w:ascii="Arial" w:cs="Arial" w:eastAsia="Arial" w:hAnsi="Arial"/>
          <w:sz w:val="17"/>
          <w:szCs w:val="17"/>
          <w:color w:val="auto"/>
        </w:rPr>
        <w:t>– As required by the terms of the SPA, we purchased a representation &amp; warranties insurance policy with</w:t>
      </w:r>
      <w:r>
        <w:rPr>
          <w:rFonts w:ascii="Arial" w:cs="Arial" w:eastAsia="Arial" w:hAnsi="Arial"/>
          <w:sz w:val="17"/>
          <w:szCs w:val="17"/>
          <w:i w:val="1"/>
          <w:iCs w:val="1"/>
          <w:color w:val="auto"/>
        </w:rPr>
        <w:t xml:space="preserve"> </w:t>
      </w:r>
      <w:r>
        <w:rPr>
          <w:rFonts w:ascii="Arial" w:cs="Arial" w:eastAsia="Arial" w:hAnsi="Arial"/>
          <w:sz w:val="17"/>
          <w:szCs w:val="17"/>
          <w:color w:val="auto"/>
        </w:rPr>
        <w:t>prepaid premiums of $1,104 which will be amortized over three years. The insurance policy was obtained to cover potential breaches by Paragon or its subsidiaries of their representations and warranties at the closing of the Acquisition. Amortization of the prepaid insurance was included in the unaudited pro forma statement of operations caption “Selling, general and administrative expense” during the year ended December 31, 2017, for the amount of $368 and during the three months ended March 31, 2018, for the amount of $92.</w:t>
      </w:r>
    </w:p>
    <w:p>
      <w:pPr>
        <w:spacing w:after="0" w:line="77" w:lineRule="exact"/>
        <w:rPr>
          <w:rFonts w:ascii="Arial" w:cs="Arial" w:eastAsia="Arial" w:hAnsi="Arial"/>
          <w:sz w:val="17"/>
          <w:szCs w:val="17"/>
          <w:color w:val="auto"/>
        </w:rPr>
      </w:pPr>
    </w:p>
    <w:p>
      <w:pPr>
        <w:ind w:left="460" w:right="40" w:hanging="452"/>
        <w:spacing w:after="0" w:line="302" w:lineRule="auto"/>
        <w:tabs>
          <w:tab w:leader="none" w:pos="460" w:val="left"/>
        </w:tabs>
        <w:numPr>
          <w:ilvl w:val="0"/>
          <w:numId w:val="12"/>
        </w:numPr>
        <w:rPr>
          <w:rFonts w:ascii="Arial" w:cs="Arial" w:eastAsia="Arial" w:hAnsi="Arial"/>
          <w:sz w:val="16"/>
          <w:szCs w:val="16"/>
          <w:color w:val="auto"/>
        </w:rPr>
      </w:pPr>
      <w:r>
        <w:rPr>
          <w:rFonts w:ascii="Arial" w:cs="Arial" w:eastAsia="Arial" w:hAnsi="Arial"/>
          <w:sz w:val="16"/>
          <w:szCs w:val="16"/>
          <w:i w:val="1"/>
          <w:iCs w:val="1"/>
          <w:color w:val="auto"/>
        </w:rPr>
        <w:t xml:space="preserve">Depreciation and amortization </w:t>
      </w:r>
      <w:r>
        <w:rPr>
          <w:rFonts w:ascii="Arial" w:cs="Arial" w:eastAsia="Arial" w:hAnsi="Arial"/>
          <w:sz w:val="16"/>
          <w:szCs w:val="16"/>
          <w:color w:val="auto"/>
        </w:rPr>
        <w:t>– The unaudited pro forma adjustment represents the preliminary depreciation and amortization expense associated with</w:t>
      </w:r>
      <w:r>
        <w:rPr>
          <w:rFonts w:ascii="Arial" w:cs="Arial" w:eastAsia="Arial" w:hAnsi="Arial"/>
          <w:sz w:val="16"/>
          <w:szCs w:val="16"/>
          <w:i w:val="1"/>
          <w:iCs w:val="1"/>
          <w:color w:val="auto"/>
        </w:rPr>
        <w:t xml:space="preserve"> </w:t>
      </w:r>
      <w:r>
        <w:rPr>
          <w:rFonts w:ascii="Arial" w:cs="Arial" w:eastAsia="Arial" w:hAnsi="Arial"/>
          <w:sz w:val="16"/>
          <w:szCs w:val="16"/>
          <w:color w:val="auto"/>
        </w:rPr>
        <w:t>the change in fair value of the property and equipment and intangible assets recorded in connection with the Acquisition. For the year ended December 31, 2017 and the three months ended March 31, 2018, the unaudited pro forma adjustment for depreciation and amortization expense represented $2,331 and $570, respectively. The preliminary depreciation and amortization expense for the assets acquired is as follows:</w:t>
      </w:r>
    </w:p>
    <w:p>
      <w:pPr>
        <w:spacing w:after="0" w:line="161"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800" w:type="dxa"/>
            <w:vAlign w:val="bottom"/>
          </w:tcPr>
          <w:p>
            <w:pPr>
              <w:spacing w:after="0"/>
              <w:rPr>
                <w:sz w:val="13"/>
                <w:szCs w:val="13"/>
                <w:color w:val="auto"/>
              </w:rPr>
            </w:pPr>
          </w:p>
        </w:tc>
        <w:tc>
          <w:tcPr>
            <w:tcW w:w="23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70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Preliminary fair</w:t>
            </w:r>
          </w:p>
        </w:tc>
        <w:tc>
          <w:tcPr>
            <w:tcW w:w="1780" w:type="dxa"/>
            <w:vAlign w:val="bottom"/>
            <w:gridSpan w:val="2"/>
          </w:tcPr>
          <w:p>
            <w:pPr>
              <w:jc w:val="center"/>
              <w:ind w:right="680"/>
              <w:spacing w:after="0"/>
              <w:rPr>
                <w:sz w:val="20"/>
                <w:szCs w:val="20"/>
                <w:color w:val="auto"/>
              </w:rPr>
            </w:pPr>
            <w:r>
              <w:rPr>
                <w:rFonts w:ascii="Arial" w:cs="Arial" w:eastAsia="Arial" w:hAnsi="Arial"/>
                <w:sz w:val="14"/>
                <w:szCs w:val="14"/>
                <w:b w:val="1"/>
                <w:bCs w:val="1"/>
                <w:color w:val="auto"/>
                <w:w w:val="92"/>
              </w:rPr>
              <w:t>Estimated</w:t>
            </w:r>
          </w:p>
        </w:tc>
        <w:tc>
          <w:tcPr>
            <w:tcW w:w="2040" w:type="dxa"/>
            <w:vAlign w:val="bottom"/>
            <w:gridSpan w:val="3"/>
          </w:tcPr>
          <w:p>
            <w:pPr>
              <w:spacing w:after="0"/>
              <w:rPr>
                <w:sz w:val="20"/>
                <w:szCs w:val="20"/>
                <w:color w:val="auto"/>
              </w:rPr>
            </w:pPr>
            <w:r>
              <w:rPr>
                <w:rFonts w:ascii="Arial" w:cs="Arial" w:eastAsia="Arial" w:hAnsi="Arial"/>
                <w:sz w:val="14"/>
                <w:szCs w:val="14"/>
                <w:b w:val="1"/>
                <w:bCs w:val="1"/>
                <w:color w:val="auto"/>
              </w:rPr>
              <w:t>Depreciation expense</w:t>
            </w:r>
          </w:p>
        </w:tc>
        <w:tc>
          <w:tcPr>
            <w:tcW w:w="148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89"/>
              </w:rPr>
              <w:t>Depreciation expense</w:t>
            </w:r>
          </w:p>
        </w:tc>
        <w:tc>
          <w:tcPr>
            <w:tcW w:w="0" w:type="dxa"/>
            <w:vAlign w:val="bottom"/>
          </w:tcPr>
          <w:p>
            <w:pPr>
              <w:spacing w:after="0"/>
              <w:rPr>
                <w:sz w:val="1"/>
                <w:szCs w:val="1"/>
                <w:color w:val="auto"/>
              </w:rPr>
            </w:pPr>
          </w:p>
        </w:tc>
      </w:tr>
      <w:tr>
        <w:trPr>
          <w:trHeight w:val="149"/>
        </w:trPr>
        <w:tc>
          <w:tcPr>
            <w:tcW w:w="31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Depreciation</w:t>
            </w:r>
          </w:p>
        </w:tc>
        <w:tc>
          <w:tcPr>
            <w:tcW w:w="400" w:type="dxa"/>
            <w:vAlign w:val="bottom"/>
          </w:tcPr>
          <w:p>
            <w:pPr>
              <w:spacing w:after="0"/>
              <w:rPr>
                <w:sz w:val="12"/>
                <w:szCs w:val="12"/>
                <w:color w:val="auto"/>
              </w:rPr>
            </w:pPr>
          </w:p>
        </w:tc>
        <w:tc>
          <w:tcPr>
            <w:tcW w:w="1700" w:type="dxa"/>
            <w:vAlign w:val="bottom"/>
            <w:gridSpan w:val="3"/>
            <w:vMerge w:val="continue"/>
          </w:tcPr>
          <w:p>
            <w:pPr>
              <w:spacing w:after="0"/>
              <w:rPr>
                <w:sz w:val="12"/>
                <w:szCs w:val="12"/>
                <w:color w:val="auto"/>
              </w:rPr>
            </w:pPr>
          </w:p>
        </w:tc>
        <w:tc>
          <w:tcPr>
            <w:tcW w:w="1780" w:type="dxa"/>
            <w:vAlign w:val="bottom"/>
            <w:gridSpan w:val="2"/>
          </w:tcPr>
          <w:p>
            <w:pPr>
              <w:jc w:val="center"/>
              <w:ind w:right="680"/>
              <w:spacing w:after="0" w:line="149" w:lineRule="exact"/>
              <w:rPr>
                <w:sz w:val="20"/>
                <w:szCs w:val="20"/>
                <w:color w:val="auto"/>
              </w:rPr>
            </w:pPr>
            <w:r>
              <w:rPr>
                <w:rFonts w:ascii="Arial" w:cs="Arial" w:eastAsia="Arial" w:hAnsi="Arial"/>
                <w:sz w:val="14"/>
                <w:szCs w:val="14"/>
                <w:b w:val="1"/>
                <w:bCs w:val="1"/>
                <w:color w:val="auto"/>
                <w:w w:val="90"/>
              </w:rPr>
              <w:t>weighted average</w:t>
            </w:r>
          </w:p>
        </w:tc>
        <w:tc>
          <w:tcPr>
            <w:tcW w:w="80" w:type="dxa"/>
            <w:vAlign w:val="bottom"/>
          </w:tcPr>
          <w:p>
            <w:pPr>
              <w:spacing w:after="0"/>
              <w:rPr>
                <w:sz w:val="12"/>
                <w:szCs w:val="12"/>
                <w:color w:val="auto"/>
              </w:rPr>
            </w:pPr>
          </w:p>
        </w:tc>
        <w:tc>
          <w:tcPr>
            <w:tcW w:w="1960" w:type="dxa"/>
            <w:vAlign w:val="bottom"/>
            <w:gridSpan w:val="2"/>
          </w:tcPr>
          <w:p>
            <w:pPr>
              <w:jc w:val="right"/>
              <w:ind w:right="820"/>
              <w:spacing w:after="0" w:line="149" w:lineRule="exact"/>
              <w:rPr>
                <w:sz w:val="20"/>
                <w:szCs w:val="20"/>
                <w:color w:val="auto"/>
              </w:rPr>
            </w:pPr>
            <w:r>
              <w:rPr>
                <w:rFonts w:ascii="Arial" w:cs="Arial" w:eastAsia="Arial" w:hAnsi="Arial"/>
                <w:sz w:val="14"/>
                <w:szCs w:val="14"/>
                <w:b w:val="1"/>
                <w:bCs w:val="1"/>
                <w:color w:val="auto"/>
                <w:w w:val="92"/>
              </w:rPr>
              <w:t>for the year ended</w:t>
            </w:r>
          </w:p>
        </w:tc>
        <w:tc>
          <w:tcPr>
            <w:tcW w:w="148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92"/>
              </w:rPr>
              <w:t>for the three months</w:t>
            </w:r>
          </w:p>
        </w:tc>
        <w:tc>
          <w:tcPr>
            <w:tcW w:w="0" w:type="dxa"/>
            <w:vAlign w:val="bottom"/>
          </w:tcPr>
          <w:p>
            <w:pPr>
              <w:spacing w:after="0"/>
              <w:rPr>
                <w:sz w:val="1"/>
                <w:szCs w:val="1"/>
                <w:color w:val="auto"/>
              </w:rPr>
            </w:pPr>
          </w:p>
        </w:tc>
      </w:tr>
      <w:tr>
        <w:trPr>
          <w:trHeight w:val="171"/>
        </w:trPr>
        <w:tc>
          <w:tcPr>
            <w:tcW w:w="3100" w:type="dxa"/>
            <w:vAlign w:val="bottom"/>
            <w:gridSpan w:val="2"/>
            <w:vMerge w:val="continue"/>
          </w:tcPr>
          <w:p>
            <w:pPr>
              <w:spacing w:after="0"/>
              <w:rPr>
                <w:sz w:val="14"/>
                <w:szCs w:val="14"/>
                <w:color w:val="auto"/>
              </w:rPr>
            </w:pPr>
          </w:p>
        </w:tc>
        <w:tc>
          <w:tcPr>
            <w:tcW w:w="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80" w:type="dxa"/>
            <w:vAlign w:val="bottom"/>
            <w:gridSpan w:val="2"/>
          </w:tcPr>
          <w:p>
            <w:pPr>
              <w:ind w:left="120"/>
              <w:spacing w:after="0"/>
              <w:rPr>
                <w:sz w:val="20"/>
                <w:szCs w:val="20"/>
                <w:color w:val="auto"/>
              </w:rPr>
            </w:pPr>
            <w:r>
              <w:rPr>
                <w:rFonts w:ascii="Arial" w:cs="Arial" w:eastAsia="Arial" w:hAnsi="Arial"/>
                <w:sz w:val="14"/>
                <w:szCs w:val="14"/>
                <w:b w:val="1"/>
                <w:bCs w:val="1"/>
                <w:color w:val="auto"/>
              </w:rPr>
              <w:t>value</w:t>
            </w:r>
          </w:p>
        </w:tc>
        <w:tc>
          <w:tcPr>
            <w:tcW w:w="1780" w:type="dxa"/>
            <w:vAlign w:val="bottom"/>
            <w:gridSpan w:val="2"/>
          </w:tcPr>
          <w:p>
            <w:pPr>
              <w:jc w:val="center"/>
              <w:ind w:right="680"/>
              <w:spacing w:after="0"/>
              <w:rPr>
                <w:sz w:val="20"/>
                <w:szCs w:val="20"/>
                <w:color w:val="auto"/>
              </w:rPr>
            </w:pPr>
            <w:r>
              <w:rPr>
                <w:rFonts w:ascii="Arial" w:cs="Arial" w:eastAsia="Arial" w:hAnsi="Arial"/>
                <w:sz w:val="14"/>
                <w:szCs w:val="14"/>
                <w:b w:val="1"/>
                <w:bCs w:val="1"/>
                <w:color w:val="auto"/>
                <w:w w:val="94"/>
              </w:rPr>
              <w:t>life (years)</w:t>
            </w:r>
          </w:p>
        </w:tc>
        <w:tc>
          <w:tcPr>
            <w:tcW w:w="2040" w:type="dxa"/>
            <w:vAlign w:val="bottom"/>
            <w:gridSpan w:val="3"/>
          </w:tcPr>
          <w:p>
            <w:pPr>
              <w:jc w:val="right"/>
              <w:ind w:right="800"/>
              <w:spacing w:after="0"/>
              <w:rPr>
                <w:sz w:val="20"/>
                <w:szCs w:val="20"/>
                <w:color w:val="auto"/>
              </w:rPr>
            </w:pPr>
            <w:r>
              <w:rPr>
                <w:rFonts w:ascii="Arial" w:cs="Arial" w:eastAsia="Arial" w:hAnsi="Arial"/>
                <w:sz w:val="14"/>
                <w:szCs w:val="14"/>
                <w:b w:val="1"/>
                <w:bCs w:val="1"/>
                <w:color w:val="auto"/>
                <w:w w:val="96"/>
              </w:rPr>
              <w:t>December 31, 2017</w:t>
            </w:r>
          </w:p>
        </w:tc>
        <w:tc>
          <w:tcPr>
            <w:tcW w:w="1480" w:type="dxa"/>
            <w:vAlign w:val="bottom"/>
            <w:gridSpan w:val="3"/>
          </w:tcPr>
          <w:p>
            <w:pPr>
              <w:ind w:left="20"/>
              <w:spacing w:after="0"/>
              <w:rPr>
                <w:sz w:val="20"/>
                <w:szCs w:val="20"/>
                <w:color w:val="auto"/>
              </w:rPr>
            </w:pPr>
            <w:r>
              <w:rPr>
                <w:rFonts w:ascii="Arial" w:cs="Arial" w:eastAsia="Arial" w:hAnsi="Arial"/>
                <w:sz w:val="14"/>
                <w:szCs w:val="14"/>
                <w:b w:val="1"/>
                <w:bCs w:val="1"/>
                <w:color w:val="auto"/>
                <w:w w:val="99"/>
              </w:rPr>
              <w:t>ended March 31, 2018</w:t>
            </w:r>
          </w:p>
        </w:tc>
        <w:tc>
          <w:tcPr>
            <w:tcW w:w="0" w:type="dxa"/>
            <w:vAlign w:val="bottom"/>
          </w:tcPr>
          <w:p>
            <w:pPr>
              <w:spacing w:after="0"/>
              <w:rPr>
                <w:sz w:val="1"/>
                <w:szCs w:val="1"/>
                <w:color w:val="auto"/>
              </w:rPr>
            </w:pPr>
          </w:p>
        </w:tc>
      </w:tr>
      <w:tr>
        <w:trPr>
          <w:trHeight w:val="210"/>
        </w:trPr>
        <w:tc>
          <w:tcPr>
            <w:tcW w:w="800" w:type="dxa"/>
            <w:vAlign w:val="bottom"/>
            <w:tcBorders>
              <w:top w:val="single" w:sz="8" w:color="auto"/>
            </w:tcBorders>
            <w:shd w:val="clear" w:color="auto" w:fill="CCEEFF"/>
          </w:tcPr>
          <w:p>
            <w:pPr>
              <w:ind w:left="360"/>
              <w:spacing w:after="0"/>
              <w:rPr>
                <w:sz w:val="20"/>
                <w:szCs w:val="20"/>
                <w:color w:val="auto"/>
              </w:rPr>
            </w:pPr>
            <w:r>
              <w:rPr>
                <w:rFonts w:ascii="Arial" w:cs="Arial" w:eastAsia="Arial" w:hAnsi="Arial"/>
                <w:sz w:val="18"/>
                <w:szCs w:val="18"/>
                <w:color w:val="auto"/>
              </w:rPr>
              <w:t>Land</w:t>
            </w:r>
          </w:p>
        </w:tc>
        <w:tc>
          <w:tcPr>
            <w:tcW w:w="230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554</w:t>
            </w:r>
          </w:p>
        </w:tc>
        <w:tc>
          <w:tcPr>
            <w:tcW w:w="680" w:type="dxa"/>
            <w:vAlign w:val="bottom"/>
            <w:tcBorders>
              <w:top w:val="single" w:sz="8" w:color="CCEEFF"/>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ind w:left="820"/>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5"/>
                <w:szCs w:val="15"/>
                <w:color w:val="auto"/>
                <w:w w:val="71"/>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8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00" w:type="dxa"/>
            <w:vAlign w:val="bottom"/>
            <w:gridSpan w:val="2"/>
          </w:tcPr>
          <w:p>
            <w:pPr>
              <w:ind w:left="360"/>
              <w:spacing w:after="0"/>
              <w:rPr>
                <w:sz w:val="20"/>
                <w:szCs w:val="20"/>
                <w:color w:val="auto"/>
              </w:rPr>
            </w:pPr>
            <w:r>
              <w:rPr>
                <w:rFonts w:ascii="Arial" w:cs="Arial" w:eastAsia="Arial" w:hAnsi="Arial"/>
                <w:sz w:val="18"/>
                <w:szCs w:val="18"/>
                <w:color w:val="auto"/>
              </w:rPr>
              <w:t>Building and improvements</w:t>
            </w: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gridSpan w:val="2"/>
          </w:tcPr>
          <w:p>
            <w:pPr>
              <w:jc w:val="right"/>
              <w:ind w:right="680"/>
              <w:spacing w:after="0"/>
              <w:rPr>
                <w:sz w:val="20"/>
                <w:szCs w:val="20"/>
                <w:color w:val="auto"/>
              </w:rPr>
            </w:pPr>
            <w:r>
              <w:rPr>
                <w:rFonts w:ascii="Arial" w:cs="Arial" w:eastAsia="Arial" w:hAnsi="Arial"/>
                <w:sz w:val="18"/>
                <w:szCs w:val="18"/>
                <w:color w:val="auto"/>
              </w:rPr>
              <w:t>6,098</w:t>
            </w:r>
          </w:p>
        </w:tc>
        <w:tc>
          <w:tcPr>
            <w:tcW w:w="1780" w:type="dxa"/>
            <w:vAlign w:val="bottom"/>
            <w:gridSpan w:val="2"/>
          </w:tcPr>
          <w:p>
            <w:pPr>
              <w:jc w:val="right"/>
              <w:ind w:right="700"/>
              <w:spacing w:after="0"/>
              <w:rPr>
                <w:sz w:val="20"/>
                <w:szCs w:val="20"/>
                <w:color w:val="auto"/>
              </w:rPr>
            </w:pPr>
            <w:r>
              <w:rPr>
                <w:rFonts w:ascii="Arial" w:cs="Arial" w:eastAsia="Arial" w:hAnsi="Arial"/>
                <w:sz w:val="18"/>
                <w:szCs w:val="18"/>
                <w:color w:val="auto"/>
              </w:rPr>
              <w:t>16</w:t>
            </w:r>
          </w:p>
        </w:tc>
        <w:tc>
          <w:tcPr>
            <w:tcW w:w="80" w:type="dxa"/>
            <w:vAlign w:val="bottom"/>
          </w:tcPr>
          <w:p>
            <w:pPr>
              <w:spacing w:after="0"/>
              <w:rPr>
                <w:sz w:val="18"/>
                <w:szCs w:val="18"/>
                <w:color w:val="auto"/>
              </w:rPr>
            </w:pPr>
          </w:p>
        </w:tc>
        <w:tc>
          <w:tcPr>
            <w:tcW w:w="1960" w:type="dxa"/>
            <w:vAlign w:val="bottom"/>
            <w:gridSpan w:val="2"/>
          </w:tcPr>
          <w:p>
            <w:pPr>
              <w:jc w:val="right"/>
              <w:ind w:right="740"/>
              <w:spacing w:after="0"/>
              <w:rPr>
                <w:sz w:val="20"/>
                <w:szCs w:val="20"/>
                <w:color w:val="auto"/>
              </w:rPr>
            </w:pPr>
            <w:r>
              <w:rPr>
                <w:rFonts w:ascii="Arial" w:cs="Arial" w:eastAsia="Arial" w:hAnsi="Arial"/>
                <w:sz w:val="18"/>
                <w:szCs w:val="18"/>
                <w:color w:val="auto"/>
              </w:rPr>
              <w:t>381</w:t>
            </w:r>
          </w:p>
        </w:tc>
        <w:tc>
          <w:tcPr>
            <w:tcW w:w="50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95</w:t>
            </w:r>
          </w:p>
        </w:tc>
        <w:tc>
          <w:tcPr>
            <w:tcW w:w="0" w:type="dxa"/>
            <w:vAlign w:val="bottom"/>
          </w:tcPr>
          <w:p>
            <w:pPr>
              <w:spacing w:after="0"/>
              <w:rPr>
                <w:sz w:val="1"/>
                <w:szCs w:val="1"/>
                <w:color w:val="auto"/>
              </w:rPr>
            </w:pPr>
          </w:p>
        </w:tc>
      </w:tr>
      <w:tr>
        <w:trPr>
          <w:trHeight w:val="216"/>
        </w:trPr>
        <w:tc>
          <w:tcPr>
            <w:tcW w:w="31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Leasehold improvements</w:t>
            </w:r>
          </w:p>
        </w:tc>
        <w:tc>
          <w:tcPr>
            <w:tcW w:w="4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178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12</w:t>
            </w:r>
          </w:p>
        </w:tc>
        <w:tc>
          <w:tcPr>
            <w:tcW w:w="80" w:type="dxa"/>
            <w:vAlign w:val="bottom"/>
            <w:shd w:val="clear" w:color="auto" w:fill="CCEEFF"/>
          </w:tcPr>
          <w:p>
            <w:pPr>
              <w:spacing w:after="0"/>
              <w:rPr>
                <w:sz w:val="18"/>
                <w:szCs w:val="18"/>
                <w:color w:val="auto"/>
              </w:rPr>
            </w:pPr>
          </w:p>
        </w:tc>
        <w:tc>
          <w:tcPr>
            <w:tcW w:w="1960" w:type="dxa"/>
            <w:vAlign w:val="bottom"/>
            <w:gridSpan w:val="2"/>
            <w:shd w:val="clear" w:color="auto" w:fill="CCEEFF"/>
          </w:tcPr>
          <w:p>
            <w:pPr>
              <w:jc w:val="right"/>
              <w:ind w:right="82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100" w:type="dxa"/>
            <w:vAlign w:val="bottom"/>
            <w:gridSpan w:val="2"/>
          </w:tcPr>
          <w:p>
            <w:pPr>
              <w:ind w:left="360"/>
              <w:spacing w:after="0"/>
              <w:rPr>
                <w:sz w:val="20"/>
                <w:szCs w:val="20"/>
                <w:color w:val="auto"/>
              </w:rPr>
            </w:pPr>
            <w:r>
              <w:rPr>
                <w:rFonts w:ascii="Arial" w:cs="Arial" w:eastAsia="Arial" w:hAnsi="Arial"/>
                <w:sz w:val="18"/>
                <w:szCs w:val="18"/>
                <w:color w:val="auto"/>
              </w:rPr>
              <w:t>Machinery and equipment</w:t>
            </w: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gridSpan w:val="2"/>
          </w:tcPr>
          <w:p>
            <w:pPr>
              <w:jc w:val="right"/>
              <w:ind w:right="680"/>
              <w:spacing w:after="0"/>
              <w:rPr>
                <w:sz w:val="20"/>
                <w:szCs w:val="20"/>
                <w:color w:val="auto"/>
              </w:rPr>
            </w:pPr>
            <w:r>
              <w:rPr>
                <w:rFonts w:ascii="Arial" w:cs="Arial" w:eastAsia="Arial" w:hAnsi="Arial"/>
                <w:sz w:val="18"/>
                <w:szCs w:val="18"/>
                <w:color w:val="auto"/>
              </w:rPr>
              <w:t>45,862</w:t>
            </w:r>
          </w:p>
        </w:tc>
        <w:tc>
          <w:tcPr>
            <w:tcW w:w="1780" w:type="dxa"/>
            <w:vAlign w:val="bottom"/>
            <w:gridSpan w:val="2"/>
          </w:tcPr>
          <w:p>
            <w:pPr>
              <w:jc w:val="right"/>
              <w:ind w:right="700"/>
              <w:spacing w:after="0"/>
              <w:rPr>
                <w:sz w:val="20"/>
                <w:szCs w:val="20"/>
                <w:color w:val="auto"/>
              </w:rPr>
            </w:pPr>
            <w:r>
              <w:rPr>
                <w:rFonts w:ascii="Arial" w:cs="Arial" w:eastAsia="Arial" w:hAnsi="Arial"/>
                <w:sz w:val="18"/>
                <w:szCs w:val="18"/>
                <w:color w:val="auto"/>
              </w:rPr>
              <w:t>10</w:t>
            </w:r>
          </w:p>
        </w:tc>
        <w:tc>
          <w:tcPr>
            <w:tcW w:w="80" w:type="dxa"/>
            <w:vAlign w:val="bottom"/>
          </w:tcPr>
          <w:p>
            <w:pPr>
              <w:spacing w:after="0"/>
              <w:rPr>
                <w:sz w:val="18"/>
                <w:szCs w:val="18"/>
                <w:color w:val="auto"/>
              </w:rPr>
            </w:pPr>
          </w:p>
        </w:tc>
        <w:tc>
          <w:tcPr>
            <w:tcW w:w="1960" w:type="dxa"/>
            <w:vAlign w:val="bottom"/>
            <w:gridSpan w:val="2"/>
          </w:tcPr>
          <w:p>
            <w:pPr>
              <w:jc w:val="right"/>
              <w:ind w:right="740"/>
              <w:spacing w:after="0"/>
              <w:rPr>
                <w:sz w:val="20"/>
                <w:szCs w:val="20"/>
                <w:color w:val="auto"/>
              </w:rPr>
            </w:pPr>
            <w:r>
              <w:rPr>
                <w:rFonts w:ascii="Arial" w:cs="Arial" w:eastAsia="Arial" w:hAnsi="Arial"/>
                <w:sz w:val="18"/>
                <w:szCs w:val="18"/>
                <w:color w:val="auto"/>
              </w:rPr>
              <w:t>4,586</w:t>
            </w:r>
          </w:p>
        </w:tc>
        <w:tc>
          <w:tcPr>
            <w:tcW w:w="50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1,147</w:t>
            </w:r>
          </w:p>
        </w:tc>
        <w:tc>
          <w:tcPr>
            <w:tcW w:w="0" w:type="dxa"/>
            <w:vAlign w:val="bottom"/>
          </w:tcPr>
          <w:p>
            <w:pPr>
              <w:spacing w:after="0"/>
              <w:rPr>
                <w:sz w:val="1"/>
                <w:szCs w:val="1"/>
                <w:color w:val="auto"/>
              </w:rPr>
            </w:pPr>
          </w:p>
        </w:tc>
      </w:tr>
      <w:tr>
        <w:trPr>
          <w:trHeight w:val="216"/>
        </w:trPr>
        <w:tc>
          <w:tcPr>
            <w:tcW w:w="31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Computers</w:t>
            </w:r>
          </w:p>
        </w:tc>
        <w:tc>
          <w:tcPr>
            <w:tcW w:w="4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3,702</w:t>
            </w:r>
          </w:p>
        </w:tc>
        <w:tc>
          <w:tcPr>
            <w:tcW w:w="178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4</w:t>
            </w:r>
          </w:p>
        </w:tc>
        <w:tc>
          <w:tcPr>
            <w:tcW w:w="80" w:type="dxa"/>
            <w:vAlign w:val="bottom"/>
            <w:shd w:val="clear" w:color="auto" w:fill="CCEEFF"/>
          </w:tcPr>
          <w:p>
            <w:pPr>
              <w:spacing w:after="0"/>
              <w:rPr>
                <w:sz w:val="18"/>
                <w:szCs w:val="18"/>
                <w:color w:val="auto"/>
              </w:rPr>
            </w:pPr>
          </w:p>
        </w:tc>
        <w:tc>
          <w:tcPr>
            <w:tcW w:w="196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926</w:t>
            </w:r>
          </w:p>
        </w:tc>
        <w:tc>
          <w:tcPr>
            <w:tcW w:w="5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231</w:t>
            </w:r>
          </w:p>
        </w:tc>
        <w:tc>
          <w:tcPr>
            <w:tcW w:w="0" w:type="dxa"/>
            <w:vAlign w:val="bottom"/>
          </w:tcPr>
          <w:p>
            <w:pPr>
              <w:spacing w:after="0"/>
              <w:rPr>
                <w:sz w:val="1"/>
                <w:szCs w:val="1"/>
                <w:color w:val="auto"/>
              </w:rPr>
            </w:pPr>
          </w:p>
        </w:tc>
      </w:tr>
      <w:tr>
        <w:trPr>
          <w:trHeight w:val="216"/>
        </w:trPr>
        <w:tc>
          <w:tcPr>
            <w:tcW w:w="3100" w:type="dxa"/>
            <w:vAlign w:val="bottom"/>
            <w:gridSpan w:val="2"/>
          </w:tcPr>
          <w:p>
            <w:pPr>
              <w:ind w:left="360"/>
              <w:spacing w:after="0"/>
              <w:rPr>
                <w:sz w:val="20"/>
                <w:szCs w:val="20"/>
                <w:color w:val="auto"/>
              </w:rPr>
            </w:pPr>
            <w:r>
              <w:rPr>
                <w:rFonts w:ascii="Arial" w:cs="Arial" w:eastAsia="Arial" w:hAnsi="Arial"/>
                <w:sz w:val="18"/>
                <w:szCs w:val="18"/>
                <w:color w:val="auto"/>
              </w:rPr>
              <w:t>Furniture and fixtures</w:t>
            </w: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627</w:t>
            </w:r>
          </w:p>
        </w:tc>
        <w:tc>
          <w:tcPr>
            <w:tcW w:w="680" w:type="dxa"/>
            <w:vAlign w:val="bottom"/>
          </w:tcPr>
          <w:p>
            <w:pPr>
              <w:spacing w:after="0"/>
              <w:rPr>
                <w:sz w:val="18"/>
                <w:szCs w:val="18"/>
                <w:color w:val="auto"/>
              </w:rPr>
            </w:pPr>
          </w:p>
        </w:tc>
        <w:tc>
          <w:tcPr>
            <w:tcW w:w="1780" w:type="dxa"/>
            <w:vAlign w:val="bottom"/>
            <w:gridSpan w:val="2"/>
          </w:tcPr>
          <w:p>
            <w:pPr>
              <w:jc w:val="right"/>
              <w:ind w:right="700"/>
              <w:spacing w:after="0"/>
              <w:rPr>
                <w:sz w:val="20"/>
                <w:szCs w:val="20"/>
                <w:color w:val="auto"/>
              </w:rPr>
            </w:pPr>
            <w:r>
              <w:rPr>
                <w:rFonts w:ascii="Arial" w:cs="Arial" w:eastAsia="Arial" w:hAnsi="Arial"/>
                <w:sz w:val="18"/>
                <w:szCs w:val="18"/>
                <w:color w:val="auto"/>
              </w:rPr>
              <w:t>7</w:t>
            </w:r>
          </w:p>
        </w:tc>
        <w:tc>
          <w:tcPr>
            <w:tcW w:w="80" w:type="dxa"/>
            <w:vAlign w:val="bottom"/>
          </w:tcPr>
          <w:p>
            <w:pPr>
              <w:spacing w:after="0"/>
              <w:rPr>
                <w:sz w:val="18"/>
                <w:szCs w:val="18"/>
                <w:color w:val="auto"/>
              </w:rPr>
            </w:pPr>
          </w:p>
        </w:tc>
        <w:tc>
          <w:tcPr>
            <w:tcW w:w="1960" w:type="dxa"/>
            <w:vAlign w:val="bottom"/>
            <w:gridSpan w:val="2"/>
          </w:tcPr>
          <w:p>
            <w:pPr>
              <w:jc w:val="right"/>
              <w:ind w:right="740"/>
              <w:spacing w:after="0"/>
              <w:rPr>
                <w:sz w:val="20"/>
                <w:szCs w:val="20"/>
                <w:color w:val="auto"/>
              </w:rPr>
            </w:pPr>
            <w:r>
              <w:rPr>
                <w:rFonts w:ascii="Arial" w:cs="Arial" w:eastAsia="Arial" w:hAnsi="Arial"/>
                <w:sz w:val="18"/>
                <w:szCs w:val="18"/>
                <w:color w:val="auto"/>
              </w:rPr>
              <w:t>90</w:t>
            </w:r>
          </w:p>
        </w:tc>
        <w:tc>
          <w:tcPr>
            <w:tcW w:w="50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7"/>
        </w:trPr>
        <w:tc>
          <w:tcPr>
            <w:tcW w:w="800" w:type="dxa"/>
            <w:vAlign w:val="bottom"/>
          </w:tcPr>
          <w:p>
            <w:pPr>
              <w:spacing w:after="0"/>
              <w:rPr>
                <w:sz w:val="2"/>
                <w:szCs w:val="2"/>
                <w:color w:val="auto"/>
              </w:rPr>
            </w:pPr>
          </w:p>
        </w:tc>
        <w:tc>
          <w:tcPr>
            <w:tcW w:w="2300" w:type="dxa"/>
            <w:vAlign w:val="bottom"/>
          </w:tcPr>
          <w:p>
            <w:pPr>
              <w:spacing w:after="0"/>
              <w:rPr>
                <w:sz w:val="2"/>
                <w:szCs w:val="2"/>
                <w:color w:val="auto"/>
              </w:rPr>
            </w:pPr>
          </w:p>
        </w:tc>
        <w:tc>
          <w:tcPr>
            <w:tcW w:w="40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220" w:type="dxa"/>
            <w:vAlign w:val="bottom"/>
            <w:shd w:val="clear" w:color="auto" w:fill="000000"/>
          </w:tcPr>
          <w:p>
            <w:pPr>
              <w:spacing w:after="0"/>
              <w:rPr>
                <w:sz w:val="2"/>
                <w:szCs w:val="2"/>
                <w:color w:val="auto"/>
              </w:rPr>
            </w:pPr>
          </w:p>
        </w:tc>
        <w:tc>
          <w:tcPr>
            <w:tcW w:w="74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10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rPr>
              <w:t>Total</w:t>
            </w:r>
          </w:p>
        </w:tc>
        <w:tc>
          <w:tcPr>
            <w:tcW w:w="4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56,843</w:t>
            </w:r>
          </w:p>
        </w:tc>
        <w:tc>
          <w:tcPr>
            <w:tcW w:w="6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196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5,983</w:t>
            </w:r>
          </w:p>
        </w:tc>
        <w:tc>
          <w:tcPr>
            <w:tcW w:w="5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1,495</w:t>
            </w:r>
          </w:p>
        </w:tc>
        <w:tc>
          <w:tcPr>
            <w:tcW w:w="0" w:type="dxa"/>
            <w:vAlign w:val="bottom"/>
          </w:tcPr>
          <w:p>
            <w:pPr>
              <w:spacing w:after="0"/>
              <w:rPr>
                <w:sz w:val="1"/>
                <w:szCs w:val="1"/>
                <w:color w:val="auto"/>
              </w:rPr>
            </w:pPr>
          </w:p>
        </w:tc>
      </w:tr>
      <w:tr>
        <w:trPr>
          <w:trHeight w:val="202"/>
        </w:trPr>
        <w:tc>
          <w:tcPr>
            <w:tcW w:w="3100" w:type="dxa"/>
            <w:vAlign w:val="bottom"/>
            <w:gridSpan w:val="2"/>
          </w:tcPr>
          <w:p>
            <w:pPr>
              <w:ind w:left="360"/>
              <w:spacing w:after="0" w:line="201" w:lineRule="exact"/>
              <w:rPr>
                <w:sz w:val="20"/>
                <w:szCs w:val="20"/>
                <w:color w:val="auto"/>
              </w:rPr>
            </w:pPr>
            <w:r>
              <w:rPr>
                <w:rFonts w:ascii="Arial" w:cs="Arial" w:eastAsia="Arial" w:hAnsi="Arial"/>
                <w:sz w:val="18"/>
                <w:szCs w:val="18"/>
                <w:color w:val="auto"/>
              </w:rPr>
              <w:t>Less Paragon historical</w:t>
            </w:r>
          </w:p>
        </w:tc>
        <w:tc>
          <w:tcPr>
            <w:tcW w:w="4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100" w:type="dxa"/>
            <w:vAlign w:val="bottom"/>
            <w:gridSpan w:val="2"/>
          </w:tcPr>
          <w:p>
            <w:pPr>
              <w:ind w:left="540"/>
              <w:spacing w:after="0"/>
              <w:rPr>
                <w:sz w:val="20"/>
                <w:szCs w:val="20"/>
                <w:color w:val="auto"/>
              </w:rPr>
            </w:pPr>
            <w:r>
              <w:rPr>
                <w:rFonts w:ascii="Arial" w:cs="Arial" w:eastAsia="Arial" w:hAnsi="Arial"/>
                <w:sz w:val="18"/>
                <w:szCs w:val="18"/>
                <w:color w:val="auto"/>
              </w:rPr>
              <w:t>depreciation</w:t>
            </w:r>
          </w:p>
        </w:tc>
        <w:tc>
          <w:tcPr>
            <w:tcW w:w="4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960" w:type="dxa"/>
            <w:vAlign w:val="bottom"/>
            <w:gridSpan w:val="2"/>
          </w:tcPr>
          <w:p>
            <w:pPr>
              <w:jc w:val="right"/>
              <w:ind w:right="680"/>
              <w:spacing w:after="0"/>
              <w:rPr>
                <w:sz w:val="20"/>
                <w:szCs w:val="20"/>
                <w:color w:val="auto"/>
              </w:rPr>
            </w:pPr>
            <w:r>
              <w:rPr>
                <w:rFonts w:ascii="Arial" w:cs="Arial" w:eastAsia="Arial" w:hAnsi="Arial"/>
                <w:sz w:val="18"/>
                <w:szCs w:val="18"/>
                <w:color w:val="auto"/>
              </w:rPr>
              <w:t>(7,892)</w:t>
            </w:r>
          </w:p>
        </w:tc>
        <w:tc>
          <w:tcPr>
            <w:tcW w:w="500" w:type="dxa"/>
            <w:vAlign w:val="bottom"/>
          </w:tcPr>
          <w:p>
            <w:pPr>
              <w:spacing w:after="0"/>
              <w:rPr>
                <w:sz w:val="20"/>
                <w:szCs w:val="20"/>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(1,985)</w:t>
            </w:r>
          </w:p>
        </w:tc>
        <w:tc>
          <w:tcPr>
            <w:tcW w:w="0" w:type="dxa"/>
            <w:vAlign w:val="bottom"/>
          </w:tcPr>
          <w:p>
            <w:pPr>
              <w:spacing w:after="0"/>
              <w:rPr>
                <w:sz w:val="1"/>
                <w:szCs w:val="1"/>
                <w:color w:val="auto"/>
              </w:rPr>
            </w:pPr>
          </w:p>
        </w:tc>
      </w:tr>
      <w:tr>
        <w:trPr>
          <w:trHeight w:val="27"/>
        </w:trPr>
        <w:tc>
          <w:tcPr>
            <w:tcW w:w="800" w:type="dxa"/>
            <w:vAlign w:val="bottom"/>
          </w:tcPr>
          <w:p>
            <w:pPr>
              <w:spacing w:after="0"/>
              <w:rPr>
                <w:sz w:val="2"/>
                <w:szCs w:val="2"/>
                <w:color w:val="auto"/>
              </w:rPr>
            </w:pPr>
          </w:p>
        </w:tc>
        <w:tc>
          <w:tcPr>
            <w:tcW w:w="2300" w:type="dxa"/>
            <w:vAlign w:val="bottom"/>
          </w:tcPr>
          <w:p>
            <w:pPr>
              <w:spacing w:after="0"/>
              <w:rPr>
                <w:sz w:val="2"/>
                <w:szCs w:val="2"/>
                <w:color w:val="auto"/>
              </w:rPr>
            </w:pPr>
          </w:p>
        </w:tc>
        <w:tc>
          <w:tcPr>
            <w:tcW w:w="4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220" w:type="dxa"/>
            <w:vAlign w:val="bottom"/>
            <w:shd w:val="clear" w:color="auto" w:fill="000000"/>
          </w:tcPr>
          <w:p>
            <w:pPr>
              <w:spacing w:after="0"/>
              <w:rPr>
                <w:sz w:val="2"/>
                <w:szCs w:val="2"/>
                <w:color w:val="auto"/>
              </w:rPr>
            </w:pPr>
          </w:p>
        </w:tc>
        <w:tc>
          <w:tcPr>
            <w:tcW w:w="74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1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Unaudited pro forma adjustment</w:t>
            </w:r>
          </w:p>
        </w:tc>
        <w:tc>
          <w:tcPr>
            <w:tcW w:w="4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196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(1,909)</w:t>
            </w:r>
          </w:p>
        </w:tc>
        <w:tc>
          <w:tcPr>
            <w:tcW w:w="5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(490)</w:t>
            </w: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ind w:left="460" w:firstLine="438"/>
        <w:spacing w:after="0" w:line="264" w:lineRule="auto"/>
        <w:rPr>
          <w:sz w:val="20"/>
          <w:szCs w:val="20"/>
          <w:color w:val="auto"/>
        </w:rPr>
      </w:pPr>
      <w:r>
        <w:rPr>
          <w:rFonts w:ascii="Arial" w:cs="Arial" w:eastAsia="Arial" w:hAnsi="Arial"/>
          <w:sz w:val="18"/>
          <w:szCs w:val="18"/>
          <w:color w:val="auto"/>
        </w:rPr>
        <w:t>Depreciation expense has been estimated based upon the nature of activities associated with the property and equipment assets acquired. With other assumptions held constant, a 10% change in the fair value adjustment for property, plant and equipment would increase/decrease annual unaudited pro forma depreciation and amortization expense by approximately $598.</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274" w:right="239" w:bottom="1440" w:gutter="0" w:footer="0" w:header="0"/>
        </w:sectPr>
      </w:pPr>
    </w:p>
    <w:bookmarkStart w:id="46" w:name="page47"/>
    <w:bookmarkEnd w:id="46"/>
    <w:tbl>
      <w:tblPr>
        <w:tblLayout w:type="fixed"/>
        <w:tblInd w:w="452" w:type="dxa"/>
        <w:tblCellMar>
          <w:top w:w="0" w:type="dxa"/>
          <w:left w:w="0" w:type="dxa"/>
          <w:bottom w:w="0" w:type="dxa"/>
          <w:right w:w="0" w:type="dxa"/>
        </w:tblCellMar>
      </w:tblPr>
      <w:tr>
        <w:trPr>
          <w:trHeight w:val="161"/>
        </w:trPr>
        <w:tc>
          <w:tcPr>
            <w:tcW w:w="84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70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Preliminary fair</w:t>
            </w:r>
          </w:p>
        </w:tc>
        <w:tc>
          <w:tcPr>
            <w:tcW w:w="1740" w:type="dxa"/>
            <w:vAlign w:val="bottom"/>
            <w:gridSpan w:val="2"/>
          </w:tcPr>
          <w:p>
            <w:pPr>
              <w:ind w:left="220"/>
              <w:spacing w:after="0"/>
              <w:rPr>
                <w:sz w:val="20"/>
                <w:szCs w:val="20"/>
                <w:color w:val="auto"/>
              </w:rPr>
            </w:pPr>
            <w:r>
              <w:rPr>
                <w:rFonts w:ascii="Arial" w:cs="Arial" w:eastAsia="Arial" w:hAnsi="Arial"/>
                <w:sz w:val="14"/>
                <w:szCs w:val="14"/>
                <w:b w:val="1"/>
                <w:bCs w:val="1"/>
                <w:color w:val="auto"/>
              </w:rPr>
              <w:t>Estimated</w:t>
            </w:r>
          </w:p>
        </w:tc>
        <w:tc>
          <w:tcPr>
            <w:tcW w:w="2080" w:type="dxa"/>
            <w:vAlign w:val="bottom"/>
            <w:gridSpan w:val="3"/>
          </w:tcPr>
          <w:p>
            <w:pPr>
              <w:ind w:left="20"/>
              <w:spacing w:after="0"/>
              <w:rPr>
                <w:sz w:val="20"/>
                <w:szCs w:val="20"/>
                <w:color w:val="auto"/>
              </w:rPr>
            </w:pPr>
            <w:r>
              <w:rPr>
                <w:rFonts w:ascii="Arial" w:cs="Arial" w:eastAsia="Arial" w:hAnsi="Arial"/>
                <w:sz w:val="14"/>
                <w:szCs w:val="14"/>
                <w:b w:val="1"/>
                <w:bCs w:val="1"/>
                <w:color w:val="auto"/>
              </w:rPr>
              <w:t>Amortization expense</w:t>
            </w:r>
          </w:p>
        </w:tc>
        <w:tc>
          <w:tcPr>
            <w:tcW w:w="1480" w:type="dxa"/>
            <w:vAlign w:val="bottom"/>
            <w:gridSpan w:val="3"/>
          </w:tcPr>
          <w:p>
            <w:pPr>
              <w:ind w:left="20"/>
              <w:spacing w:after="0"/>
              <w:rPr>
                <w:sz w:val="20"/>
                <w:szCs w:val="20"/>
                <w:color w:val="auto"/>
              </w:rPr>
            </w:pPr>
            <w:r>
              <w:rPr>
                <w:rFonts w:ascii="Arial" w:cs="Arial" w:eastAsia="Arial" w:hAnsi="Arial"/>
                <w:sz w:val="14"/>
                <w:szCs w:val="14"/>
                <w:b w:val="1"/>
                <w:bCs w:val="1"/>
                <w:color w:val="auto"/>
                <w:w w:val="98"/>
              </w:rPr>
              <w:t>Amortization expense</w:t>
            </w:r>
          </w:p>
        </w:tc>
        <w:tc>
          <w:tcPr>
            <w:tcW w:w="0" w:type="dxa"/>
            <w:vAlign w:val="bottom"/>
          </w:tcPr>
          <w:p>
            <w:pPr>
              <w:spacing w:after="0"/>
              <w:rPr>
                <w:sz w:val="1"/>
                <w:szCs w:val="1"/>
                <w:color w:val="auto"/>
              </w:rPr>
            </w:pPr>
          </w:p>
        </w:tc>
      </w:tr>
      <w:tr>
        <w:trPr>
          <w:trHeight w:val="149"/>
        </w:trPr>
        <w:tc>
          <w:tcPr>
            <w:tcW w:w="840" w:type="dxa"/>
            <w:vAlign w:val="bottom"/>
            <w:vMerge w:val="restart"/>
          </w:tcPr>
          <w:p>
            <w:pPr>
              <w:spacing w:after="0"/>
              <w:rPr>
                <w:sz w:val="20"/>
                <w:szCs w:val="20"/>
                <w:color w:val="auto"/>
              </w:rPr>
            </w:pPr>
            <w:r>
              <w:rPr>
                <w:rFonts w:ascii="Arial" w:cs="Arial" w:eastAsia="Arial" w:hAnsi="Arial"/>
                <w:sz w:val="14"/>
                <w:szCs w:val="14"/>
                <w:b w:val="1"/>
                <w:bCs w:val="1"/>
                <w:color w:val="auto"/>
                <w:w w:val="95"/>
              </w:rPr>
              <w:t>Amortization</w:t>
            </w:r>
          </w:p>
        </w:tc>
        <w:tc>
          <w:tcPr>
            <w:tcW w:w="2260" w:type="dxa"/>
            <w:vAlign w:val="bottom"/>
            <w:vMerge w:val="restart"/>
          </w:tcPr>
          <w:p>
            <w:pPr>
              <w:spacing w:after="0"/>
              <w:rPr>
                <w:sz w:val="12"/>
                <w:szCs w:val="12"/>
                <w:color w:val="auto"/>
              </w:rPr>
            </w:pPr>
          </w:p>
        </w:tc>
        <w:tc>
          <w:tcPr>
            <w:tcW w:w="400" w:type="dxa"/>
            <w:vAlign w:val="bottom"/>
          </w:tcPr>
          <w:p>
            <w:pPr>
              <w:spacing w:after="0"/>
              <w:rPr>
                <w:sz w:val="12"/>
                <w:szCs w:val="12"/>
                <w:color w:val="auto"/>
              </w:rPr>
            </w:pPr>
          </w:p>
        </w:tc>
        <w:tc>
          <w:tcPr>
            <w:tcW w:w="1700" w:type="dxa"/>
            <w:vAlign w:val="bottom"/>
            <w:gridSpan w:val="3"/>
            <w:vMerge w:val="continue"/>
          </w:tcPr>
          <w:p>
            <w:pPr>
              <w:spacing w:after="0"/>
              <w:rPr>
                <w:sz w:val="12"/>
                <w:szCs w:val="12"/>
                <w:color w:val="auto"/>
              </w:rPr>
            </w:pPr>
          </w:p>
        </w:tc>
        <w:tc>
          <w:tcPr>
            <w:tcW w:w="1740" w:type="dxa"/>
            <w:vAlign w:val="bottom"/>
            <w:gridSpan w:val="2"/>
          </w:tcPr>
          <w:p>
            <w:pPr>
              <w:jc w:val="right"/>
              <w:ind w:right="680"/>
              <w:spacing w:after="0" w:line="149" w:lineRule="exact"/>
              <w:rPr>
                <w:sz w:val="20"/>
                <w:szCs w:val="20"/>
                <w:color w:val="auto"/>
              </w:rPr>
            </w:pPr>
            <w:r>
              <w:rPr>
                <w:rFonts w:ascii="Arial" w:cs="Arial" w:eastAsia="Arial" w:hAnsi="Arial"/>
                <w:sz w:val="14"/>
                <w:szCs w:val="14"/>
                <w:b w:val="1"/>
                <w:bCs w:val="1"/>
                <w:color w:val="auto"/>
                <w:w w:val="88"/>
              </w:rPr>
              <w:t>weighted average</w:t>
            </w:r>
          </w:p>
        </w:tc>
        <w:tc>
          <w:tcPr>
            <w:tcW w:w="100" w:type="dxa"/>
            <w:vAlign w:val="bottom"/>
          </w:tcPr>
          <w:p>
            <w:pPr>
              <w:spacing w:after="0"/>
              <w:rPr>
                <w:sz w:val="12"/>
                <w:szCs w:val="12"/>
                <w:color w:val="auto"/>
              </w:rPr>
            </w:pPr>
          </w:p>
        </w:tc>
        <w:tc>
          <w:tcPr>
            <w:tcW w:w="1980" w:type="dxa"/>
            <w:vAlign w:val="bottom"/>
            <w:gridSpan w:val="2"/>
          </w:tcPr>
          <w:p>
            <w:pPr>
              <w:jc w:val="right"/>
              <w:ind w:right="840"/>
              <w:spacing w:after="0" w:line="149" w:lineRule="exact"/>
              <w:rPr>
                <w:sz w:val="20"/>
                <w:szCs w:val="20"/>
                <w:color w:val="auto"/>
              </w:rPr>
            </w:pPr>
            <w:r>
              <w:rPr>
                <w:rFonts w:ascii="Arial" w:cs="Arial" w:eastAsia="Arial" w:hAnsi="Arial"/>
                <w:sz w:val="14"/>
                <w:szCs w:val="14"/>
                <w:b w:val="1"/>
                <w:bCs w:val="1"/>
                <w:color w:val="auto"/>
                <w:w w:val="92"/>
              </w:rPr>
              <w:t>for the year ended</w:t>
            </w:r>
          </w:p>
        </w:tc>
        <w:tc>
          <w:tcPr>
            <w:tcW w:w="1480" w:type="dxa"/>
            <w:vAlign w:val="bottom"/>
            <w:gridSpan w:val="3"/>
          </w:tcPr>
          <w:p>
            <w:pPr>
              <w:ind w:left="60"/>
              <w:spacing w:after="0" w:line="149" w:lineRule="exact"/>
              <w:rPr>
                <w:sz w:val="20"/>
                <w:szCs w:val="20"/>
                <w:color w:val="auto"/>
              </w:rPr>
            </w:pPr>
            <w:r>
              <w:rPr>
                <w:rFonts w:ascii="Arial" w:cs="Arial" w:eastAsia="Arial" w:hAnsi="Arial"/>
                <w:sz w:val="14"/>
                <w:szCs w:val="14"/>
                <w:b w:val="1"/>
                <w:bCs w:val="1"/>
                <w:color w:val="auto"/>
              </w:rPr>
              <w:t>for the three months</w:t>
            </w:r>
          </w:p>
        </w:tc>
        <w:tc>
          <w:tcPr>
            <w:tcW w:w="0" w:type="dxa"/>
            <w:vAlign w:val="bottom"/>
          </w:tcPr>
          <w:p>
            <w:pPr>
              <w:spacing w:after="0"/>
              <w:rPr>
                <w:sz w:val="1"/>
                <w:szCs w:val="1"/>
                <w:color w:val="auto"/>
              </w:rPr>
            </w:pPr>
          </w:p>
        </w:tc>
      </w:tr>
      <w:tr>
        <w:trPr>
          <w:trHeight w:val="171"/>
        </w:trPr>
        <w:tc>
          <w:tcPr>
            <w:tcW w:w="840" w:type="dxa"/>
            <w:vAlign w:val="bottom"/>
            <w:tcBorders>
              <w:bottom w:val="single" w:sz="8" w:color="auto"/>
            </w:tcBorders>
            <w:vMerge w:val="continue"/>
          </w:tcPr>
          <w:p>
            <w:pPr>
              <w:spacing w:after="0"/>
              <w:rPr>
                <w:sz w:val="14"/>
                <w:szCs w:val="14"/>
                <w:color w:val="auto"/>
              </w:rPr>
            </w:pPr>
          </w:p>
        </w:tc>
        <w:tc>
          <w:tcPr>
            <w:tcW w:w="2260" w:type="dxa"/>
            <w:vAlign w:val="bottom"/>
            <w:tcBorders>
              <w:bottom w:val="single" w:sz="8" w:color="CCEEFF"/>
            </w:tcBorders>
            <w:vMerge w:val="continue"/>
          </w:tcPr>
          <w:p>
            <w:pPr>
              <w:spacing w:after="0"/>
              <w:rPr>
                <w:sz w:val="14"/>
                <w:szCs w:val="14"/>
                <w:color w:val="auto"/>
              </w:rPr>
            </w:pPr>
          </w:p>
        </w:tc>
        <w:tc>
          <w:tcPr>
            <w:tcW w:w="40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254"/>
              <w:spacing w:after="0"/>
              <w:rPr>
                <w:sz w:val="20"/>
                <w:szCs w:val="20"/>
                <w:color w:val="auto"/>
              </w:rPr>
            </w:pPr>
            <w:r>
              <w:rPr>
                <w:rFonts w:ascii="Arial" w:cs="Arial" w:eastAsia="Arial" w:hAnsi="Arial"/>
                <w:sz w:val="14"/>
                <w:szCs w:val="14"/>
                <w:b w:val="1"/>
                <w:bCs w:val="1"/>
                <w:color w:val="auto"/>
              </w:rPr>
              <w:t>value</w:t>
            </w:r>
          </w:p>
        </w:tc>
        <w:tc>
          <w:tcPr>
            <w:tcW w:w="680" w:type="dxa"/>
            <w:vAlign w:val="bottom"/>
            <w:tcBorders>
              <w:bottom w:val="single" w:sz="8" w:color="CCEEFF"/>
            </w:tcBorders>
          </w:tcPr>
          <w:p>
            <w:pPr>
              <w:spacing w:after="0"/>
              <w:rPr>
                <w:sz w:val="14"/>
                <w:szCs w:val="14"/>
                <w:color w:val="auto"/>
              </w:rPr>
            </w:pPr>
          </w:p>
        </w:tc>
        <w:tc>
          <w:tcPr>
            <w:tcW w:w="1080" w:type="dxa"/>
            <w:vAlign w:val="bottom"/>
            <w:tcBorders>
              <w:bottom w:val="single" w:sz="8" w:color="auto"/>
            </w:tcBorders>
          </w:tcPr>
          <w:p>
            <w:pPr>
              <w:jc w:val="right"/>
              <w:ind w:right="141"/>
              <w:spacing w:after="0"/>
              <w:rPr>
                <w:sz w:val="20"/>
                <w:szCs w:val="20"/>
                <w:color w:val="auto"/>
              </w:rPr>
            </w:pPr>
            <w:r>
              <w:rPr>
                <w:rFonts w:ascii="Arial" w:cs="Arial" w:eastAsia="Arial" w:hAnsi="Arial"/>
                <w:sz w:val="14"/>
                <w:szCs w:val="14"/>
                <w:b w:val="1"/>
                <w:bCs w:val="1"/>
                <w:color w:val="auto"/>
              </w:rPr>
              <w:t>life (years)</w:t>
            </w:r>
          </w:p>
        </w:tc>
        <w:tc>
          <w:tcPr>
            <w:tcW w:w="66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jc w:val="right"/>
              <w:ind w:right="15"/>
              <w:spacing w:after="0"/>
              <w:rPr>
                <w:sz w:val="20"/>
                <w:szCs w:val="20"/>
                <w:color w:val="auto"/>
              </w:rPr>
            </w:pPr>
            <w:r>
              <w:rPr>
                <w:rFonts w:ascii="Arial" w:cs="Arial" w:eastAsia="Arial" w:hAnsi="Arial"/>
                <w:sz w:val="14"/>
                <w:szCs w:val="14"/>
                <w:b w:val="1"/>
                <w:bCs w:val="1"/>
                <w:color w:val="auto"/>
                <w:w w:val="90"/>
              </w:rPr>
              <w:t>December 31, 2017</w:t>
            </w:r>
          </w:p>
        </w:tc>
        <w:tc>
          <w:tcPr>
            <w:tcW w:w="720" w:type="dxa"/>
            <w:vAlign w:val="bottom"/>
            <w:tcBorders>
              <w:bottom w:val="single" w:sz="8" w:color="CCEEFF"/>
            </w:tcBorders>
          </w:tcPr>
          <w:p>
            <w:pPr>
              <w:spacing w:after="0"/>
              <w:rPr>
                <w:sz w:val="14"/>
                <w:szCs w:val="14"/>
                <w:color w:val="auto"/>
              </w:rPr>
            </w:pPr>
          </w:p>
        </w:tc>
        <w:tc>
          <w:tcPr>
            <w:tcW w:w="138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w w:val="92"/>
              </w:rPr>
              <w:t>ended March 31, 2018</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31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Customer relationships</w:t>
            </w:r>
          </w:p>
        </w:tc>
        <w:tc>
          <w:tcPr>
            <w:tcW w:w="4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109,246</w:t>
            </w:r>
          </w:p>
        </w:tc>
        <w:tc>
          <w:tcPr>
            <w:tcW w:w="68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9,104</w:t>
            </w:r>
          </w:p>
        </w:tc>
        <w:tc>
          <w:tcPr>
            <w:tcW w:w="7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2,276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100" w:type="dxa"/>
            <w:vAlign w:val="bottom"/>
            <w:gridSpan w:val="2"/>
          </w:tcPr>
          <w:p>
            <w:pPr>
              <w:ind w:left="360"/>
              <w:spacing w:after="0"/>
              <w:rPr>
                <w:sz w:val="20"/>
                <w:szCs w:val="20"/>
                <w:color w:val="auto"/>
              </w:rPr>
            </w:pPr>
            <w:r>
              <w:rPr>
                <w:rFonts w:ascii="Arial" w:cs="Arial" w:eastAsia="Arial" w:hAnsi="Arial"/>
                <w:sz w:val="18"/>
                <w:szCs w:val="18"/>
                <w:color w:val="auto"/>
              </w:rPr>
              <w:t>Trade name</w:t>
            </w:r>
          </w:p>
        </w:tc>
        <w:tc>
          <w:tcPr>
            <w:tcW w:w="4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15,000</w:t>
            </w:r>
          </w:p>
        </w:tc>
        <w:tc>
          <w:tcPr>
            <w:tcW w:w="680" w:type="dxa"/>
            <w:vAlign w:val="bottom"/>
          </w:tcPr>
          <w:p>
            <w:pPr>
              <w:spacing w:after="0"/>
              <w:rPr>
                <w:sz w:val="19"/>
                <w:szCs w:val="19"/>
                <w:color w:val="auto"/>
              </w:rPr>
            </w:pPr>
          </w:p>
        </w:tc>
        <w:tc>
          <w:tcPr>
            <w:tcW w:w="1740" w:type="dxa"/>
            <w:vAlign w:val="bottom"/>
            <w:gridSpan w:val="2"/>
          </w:tcPr>
          <w:p>
            <w:pPr>
              <w:jc w:val="right"/>
              <w:ind w:right="660"/>
              <w:spacing w:after="0"/>
              <w:rPr>
                <w:sz w:val="20"/>
                <w:szCs w:val="20"/>
                <w:color w:val="auto"/>
              </w:rPr>
            </w:pPr>
            <w:r>
              <w:rPr>
                <w:rFonts w:ascii="Arial" w:cs="Arial" w:eastAsia="Arial" w:hAnsi="Arial"/>
                <w:sz w:val="18"/>
                <w:szCs w:val="18"/>
                <w:color w:val="auto"/>
              </w:rPr>
              <w:t>indefinite</w:t>
            </w:r>
          </w:p>
        </w:tc>
        <w:tc>
          <w:tcPr>
            <w:tcW w:w="1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w:t>
            </w:r>
          </w:p>
        </w:tc>
        <w:tc>
          <w:tcPr>
            <w:tcW w:w="720" w:type="dxa"/>
            <w:vAlign w:val="bottom"/>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10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rPr>
              <w:t>Total</w:t>
            </w:r>
          </w:p>
        </w:tc>
        <w:tc>
          <w:tcPr>
            <w:tcW w:w="62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14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124,246</w:t>
            </w:r>
          </w:p>
        </w:tc>
        <w:tc>
          <w:tcPr>
            <w:tcW w:w="10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9,104</w:t>
            </w:r>
          </w:p>
        </w:tc>
        <w:tc>
          <w:tcPr>
            <w:tcW w:w="7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2,276</w:t>
            </w:r>
          </w:p>
        </w:tc>
        <w:tc>
          <w:tcPr>
            <w:tcW w:w="0" w:type="dxa"/>
            <w:vAlign w:val="bottom"/>
          </w:tcPr>
          <w:p>
            <w:pPr>
              <w:spacing w:after="0"/>
              <w:rPr>
                <w:sz w:val="1"/>
                <w:szCs w:val="1"/>
                <w:color w:val="auto"/>
              </w:rPr>
            </w:pPr>
          </w:p>
        </w:tc>
      </w:tr>
      <w:tr>
        <w:trPr>
          <w:trHeight w:val="202"/>
        </w:trPr>
        <w:tc>
          <w:tcPr>
            <w:tcW w:w="3100" w:type="dxa"/>
            <w:vAlign w:val="bottom"/>
            <w:gridSpan w:val="2"/>
          </w:tcPr>
          <w:p>
            <w:pPr>
              <w:ind w:left="360"/>
              <w:spacing w:after="0" w:line="201" w:lineRule="exact"/>
              <w:rPr>
                <w:sz w:val="20"/>
                <w:szCs w:val="20"/>
                <w:color w:val="auto"/>
              </w:rPr>
            </w:pPr>
            <w:r>
              <w:rPr>
                <w:rFonts w:ascii="Arial" w:cs="Arial" w:eastAsia="Arial" w:hAnsi="Arial"/>
                <w:sz w:val="18"/>
                <w:szCs w:val="18"/>
                <w:color w:val="auto"/>
              </w:rPr>
              <w:t>Less Paragon historical</w:t>
            </w:r>
          </w:p>
        </w:tc>
        <w:tc>
          <w:tcPr>
            <w:tcW w:w="4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3100" w:type="dxa"/>
            <w:vAlign w:val="bottom"/>
            <w:gridSpan w:val="2"/>
          </w:tcPr>
          <w:p>
            <w:pPr>
              <w:ind w:left="540"/>
              <w:spacing w:after="0"/>
              <w:rPr>
                <w:sz w:val="20"/>
                <w:szCs w:val="20"/>
                <w:color w:val="auto"/>
              </w:rPr>
            </w:pPr>
            <w:r>
              <w:rPr>
                <w:rFonts w:ascii="Arial" w:cs="Arial" w:eastAsia="Arial" w:hAnsi="Arial"/>
                <w:sz w:val="18"/>
                <w:szCs w:val="18"/>
                <w:color w:val="auto"/>
              </w:rPr>
              <w:t>amortization</w:t>
            </w:r>
          </w:p>
        </w:tc>
        <w:tc>
          <w:tcPr>
            <w:tcW w:w="4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980" w:type="dxa"/>
            <w:vAlign w:val="bottom"/>
            <w:gridSpan w:val="2"/>
          </w:tcPr>
          <w:p>
            <w:pPr>
              <w:jc w:val="right"/>
              <w:ind w:right="660"/>
              <w:spacing w:after="0"/>
              <w:rPr>
                <w:sz w:val="20"/>
                <w:szCs w:val="20"/>
                <w:color w:val="auto"/>
              </w:rPr>
            </w:pPr>
            <w:r>
              <w:rPr>
                <w:rFonts w:ascii="Arial" w:cs="Arial" w:eastAsia="Arial" w:hAnsi="Arial"/>
                <w:sz w:val="18"/>
                <w:szCs w:val="18"/>
                <w:color w:val="auto"/>
              </w:rPr>
              <w:t>(4,864)</w:t>
            </w:r>
          </w:p>
        </w:tc>
        <w:tc>
          <w:tcPr>
            <w:tcW w:w="500" w:type="dxa"/>
            <w:vAlign w:val="bottom"/>
          </w:tcPr>
          <w:p>
            <w:pPr>
              <w:spacing w:after="0"/>
              <w:rPr>
                <w:sz w:val="20"/>
                <w:szCs w:val="20"/>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(1,216)</w:t>
            </w:r>
          </w:p>
        </w:tc>
        <w:tc>
          <w:tcPr>
            <w:tcW w:w="0" w:type="dxa"/>
            <w:vAlign w:val="bottom"/>
          </w:tcPr>
          <w:p>
            <w:pPr>
              <w:spacing w:after="0"/>
              <w:rPr>
                <w:sz w:val="1"/>
                <w:szCs w:val="1"/>
                <w:color w:val="auto"/>
              </w:rPr>
            </w:pPr>
          </w:p>
        </w:tc>
      </w:tr>
      <w:tr>
        <w:trPr>
          <w:trHeight w:val="216"/>
        </w:trPr>
        <w:tc>
          <w:tcPr>
            <w:tcW w:w="31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Unaudited pro forma adjustment</w:t>
            </w:r>
          </w:p>
        </w:tc>
        <w:tc>
          <w:tcPr>
            <w:tcW w:w="4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4,240</w:t>
            </w:r>
          </w:p>
        </w:tc>
        <w:tc>
          <w:tcPr>
            <w:tcW w:w="720" w:type="dxa"/>
            <w:vAlign w:val="bottom"/>
            <w:shd w:val="clear" w:color="auto" w:fill="CCEEFF"/>
          </w:tcPr>
          <w:p>
            <w:pPr>
              <w:spacing w:after="0"/>
              <w:rPr>
                <w:sz w:val="18"/>
                <w:szCs w:val="18"/>
                <w:color w:val="auto"/>
              </w:rPr>
            </w:pPr>
          </w:p>
        </w:tc>
        <w:tc>
          <w:tcPr>
            <w:tcW w:w="5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ind w:left="452" w:right="60" w:firstLine="438"/>
        <w:spacing w:after="0" w:line="293" w:lineRule="auto"/>
        <w:rPr>
          <w:sz w:val="20"/>
          <w:szCs w:val="20"/>
          <w:color w:val="auto"/>
        </w:rPr>
      </w:pPr>
      <w:r>
        <w:rPr>
          <w:rFonts w:ascii="Arial" w:cs="Arial" w:eastAsia="Arial" w:hAnsi="Arial"/>
          <w:sz w:val="16"/>
          <w:szCs w:val="16"/>
          <w:color w:val="auto"/>
        </w:rPr>
        <w:t>The estimated fair value of amortizable intangible assets is expected to be amortized over the preliminary estimated useful life of approximately twelve years for customer relationships. Trade name intangible assets are primarily estimated to have an indefinite useful life and will be subject to periodic impairment testing. These estimated useful lives are subject to the finalization of the purchase price allocation. The amortizable life for each category of asset was based on the duration of the estimated cash flows for each asset. The estimated amortizable life of customer relationships was determined after consideration of Paragon’s historical customers’ buying and attrition patterns. With other assumptions held constant, a 10% change in the fair value adjustment for amortizable intangible assets would increase/decrease annual unaudited pro forma amortization by approximately $910.</w:t>
      </w:r>
    </w:p>
    <w:p>
      <w:pPr>
        <w:spacing w:after="0" w:line="70" w:lineRule="exact"/>
        <w:rPr>
          <w:sz w:val="20"/>
          <w:szCs w:val="20"/>
          <w:color w:val="auto"/>
        </w:rPr>
      </w:pPr>
    </w:p>
    <w:p>
      <w:pPr>
        <w:ind w:left="452" w:hanging="452"/>
        <w:spacing w:after="0" w:line="285" w:lineRule="auto"/>
        <w:tabs>
          <w:tab w:leader="none" w:pos="452" w:val="left"/>
        </w:tabs>
        <w:numPr>
          <w:ilvl w:val="0"/>
          <w:numId w:val="13"/>
        </w:numPr>
        <w:rPr>
          <w:rFonts w:ascii="Arial" w:cs="Arial" w:eastAsia="Arial" w:hAnsi="Arial"/>
          <w:sz w:val="16"/>
          <w:szCs w:val="16"/>
          <w:color w:val="auto"/>
        </w:rPr>
      </w:pPr>
      <w:r>
        <w:rPr>
          <w:rFonts w:ascii="Arial" w:cs="Arial" w:eastAsia="Arial" w:hAnsi="Arial"/>
          <w:sz w:val="16"/>
          <w:szCs w:val="16"/>
          <w:i w:val="1"/>
          <w:iCs w:val="1"/>
          <w:color w:val="auto"/>
        </w:rPr>
        <w:t xml:space="preserve">Interest expense </w:t>
      </w:r>
      <w:r>
        <w:rPr>
          <w:rFonts w:ascii="Arial" w:cs="Arial" w:eastAsia="Arial" w:hAnsi="Arial"/>
          <w:sz w:val="16"/>
          <w:szCs w:val="16"/>
          <w:color w:val="auto"/>
        </w:rPr>
        <w:t>- In order to fund the Acquisition, we entered into the Second Lien Credit Facility which accrues interest at a rate of 8.0% plus the</w:t>
      </w:r>
      <w:r>
        <w:rPr>
          <w:rFonts w:ascii="Arial" w:cs="Arial" w:eastAsia="Arial" w:hAnsi="Arial"/>
          <w:sz w:val="16"/>
          <w:szCs w:val="16"/>
          <w:i w:val="1"/>
          <w:iCs w:val="1"/>
          <w:color w:val="auto"/>
        </w:rPr>
        <w:t xml:space="preserve"> </w:t>
      </w:r>
      <w:r>
        <w:rPr>
          <w:rFonts w:ascii="Arial" w:cs="Arial" w:eastAsia="Arial" w:hAnsi="Arial"/>
          <w:sz w:val="16"/>
          <w:szCs w:val="16"/>
          <w:color w:val="auto"/>
        </w:rPr>
        <w:t>one-month US Dollar London Interbank Offer Rate (“1M USD LIBOR”). We also incurred debt issuance costs and loan amendment fees of $5,803. We calculated one year of interest expense on the new Second Lien Credit Facility and estimated the effective interest expense on the amortization of the debt issuance costs. We applied the straight-line method to amortize the debt issuance costs as the impact is not materially different from the effective interest amortization method. We applied the 1M USD LIBOR of 1.93%, the interest rate on May 7, 2018. With other assumptions held constant, a</w:t>
      </w:r>
    </w:p>
    <w:p>
      <w:pPr>
        <w:spacing w:after="0" w:line="2" w:lineRule="exact"/>
        <w:rPr>
          <w:rFonts w:ascii="Arial" w:cs="Arial" w:eastAsia="Arial" w:hAnsi="Arial"/>
          <w:sz w:val="16"/>
          <w:szCs w:val="16"/>
          <w:color w:val="auto"/>
        </w:rPr>
      </w:pPr>
    </w:p>
    <w:p>
      <w:pPr>
        <w:ind w:left="452" w:right="40" w:firstLine="37"/>
        <w:spacing w:after="0" w:line="187" w:lineRule="auto"/>
        <w:rPr>
          <w:rFonts w:ascii="Arial" w:cs="Arial" w:eastAsia="Arial" w:hAnsi="Arial"/>
          <w:sz w:val="16"/>
          <w:szCs w:val="16"/>
          <w:color w:val="auto"/>
        </w:rPr>
      </w:pPr>
      <w:r>
        <w:rPr>
          <w:rFonts w:ascii="Arial" w:cs="Arial" w:eastAsia="Arial" w:hAnsi="Arial"/>
          <w:sz w:val="30"/>
          <w:szCs w:val="30"/>
          <w:color w:val="auto"/>
          <w:vertAlign w:val="superscript"/>
        </w:rPr>
        <w:t>1</w:t>
      </w:r>
      <w:r>
        <w:rPr>
          <w:rFonts w:ascii="Arial" w:cs="Arial" w:eastAsia="Arial" w:hAnsi="Arial"/>
          <w:sz w:val="18"/>
          <w:szCs w:val="18"/>
          <w:color w:val="auto"/>
        </w:rPr>
        <w:t>⁄</w:t>
      </w:r>
      <w:r>
        <w:rPr>
          <w:rFonts w:ascii="Arial" w:cs="Arial" w:eastAsia="Arial" w:hAnsi="Arial"/>
          <w:sz w:val="30"/>
          <w:szCs w:val="30"/>
          <w:color w:val="auto"/>
          <w:vertAlign w:val="subscript"/>
        </w:rPr>
        <w:t>8</w:t>
      </w:r>
      <w:r>
        <w:rPr>
          <w:rFonts w:ascii="Arial" w:cs="Arial" w:eastAsia="Arial" w:hAnsi="Arial"/>
          <w:sz w:val="18"/>
          <w:szCs w:val="18"/>
          <w:color w:val="auto"/>
        </w:rPr>
        <w:t>% increase in the 1M USD LIBOR would increase/decrease the annual unaudited pro forma interest expense by approximately $250. The unaudited pro forma adjustment is calculated as follows:</w:t>
      </w:r>
    </w:p>
    <w:p>
      <w:pPr>
        <w:spacing w:after="0" w:line="210" w:lineRule="exact"/>
        <w:rPr>
          <w:sz w:val="20"/>
          <w:szCs w:val="20"/>
          <w:color w:val="auto"/>
        </w:rPr>
      </w:pPr>
    </w:p>
    <w:tbl>
      <w:tblPr>
        <w:tblLayout w:type="fixed"/>
        <w:tblInd w:w="912" w:type="dxa"/>
        <w:tblCellMar>
          <w:top w:w="0" w:type="dxa"/>
          <w:left w:w="0" w:type="dxa"/>
          <w:bottom w:w="0" w:type="dxa"/>
          <w:right w:w="0" w:type="dxa"/>
        </w:tblCellMar>
      </w:tblPr>
      <w:tr>
        <w:trPr>
          <w:trHeight w:val="161"/>
        </w:trPr>
        <w:tc>
          <w:tcPr>
            <w:tcW w:w="42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880" w:type="dxa"/>
            <w:vAlign w:val="bottom"/>
            <w:gridSpan w:val="3"/>
          </w:tcPr>
          <w:p>
            <w:pPr>
              <w:jc w:val="right"/>
              <w:ind w:right="800"/>
              <w:spacing w:after="0"/>
              <w:rPr>
                <w:sz w:val="20"/>
                <w:szCs w:val="20"/>
                <w:color w:val="auto"/>
              </w:rPr>
            </w:pPr>
            <w:r>
              <w:rPr>
                <w:rFonts w:ascii="Arial" w:cs="Arial" w:eastAsia="Arial" w:hAnsi="Arial"/>
                <w:sz w:val="14"/>
                <w:szCs w:val="14"/>
                <w:b w:val="1"/>
                <w:bCs w:val="1"/>
                <w:color w:val="auto"/>
                <w:w w:val="95"/>
              </w:rPr>
              <w:t>Interest expense</w:t>
            </w:r>
          </w:p>
        </w:tc>
        <w:tc>
          <w:tcPr>
            <w:tcW w:w="1480" w:type="dxa"/>
            <w:vAlign w:val="bottom"/>
            <w:gridSpan w:val="3"/>
          </w:tcPr>
          <w:p>
            <w:pPr>
              <w:ind w:left="80"/>
              <w:spacing w:after="0"/>
              <w:rPr>
                <w:sz w:val="20"/>
                <w:szCs w:val="20"/>
                <w:color w:val="auto"/>
              </w:rPr>
            </w:pPr>
            <w:r>
              <w:rPr>
                <w:rFonts w:ascii="Arial" w:cs="Arial" w:eastAsia="Arial" w:hAnsi="Arial"/>
                <w:sz w:val="14"/>
                <w:szCs w:val="14"/>
                <w:b w:val="1"/>
                <w:bCs w:val="1"/>
                <w:color w:val="auto"/>
              </w:rPr>
              <w:t>Interest expense for</w:t>
            </w:r>
          </w:p>
        </w:tc>
      </w:tr>
      <w:tr>
        <w:trPr>
          <w:trHeight w:val="149"/>
        </w:trPr>
        <w:tc>
          <w:tcPr>
            <w:tcW w:w="42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188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for the year ended</w:t>
            </w:r>
          </w:p>
        </w:tc>
        <w:tc>
          <w:tcPr>
            <w:tcW w:w="140" w:type="dxa"/>
            <w:vAlign w:val="bottom"/>
          </w:tcPr>
          <w:p>
            <w:pPr>
              <w:spacing w:after="0"/>
              <w:rPr>
                <w:sz w:val="12"/>
                <w:szCs w:val="12"/>
                <w:color w:val="auto"/>
              </w:rPr>
            </w:pPr>
          </w:p>
        </w:tc>
        <w:tc>
          <w:tcPr>
            <w:tcW w:w="1340" w:type="dxa"/>
            <w:vAlign w:val="bottom"/>
            <w:gridSpan w:val="2"/>
          </w:tcPr>
          <w:p>
            <w:pPr>
              <w:jc w:val="right"/>
              <w:ind w:right="260"/>
              <w:spacing w:after="0" w:line="149" w:lineRule="exact"/>
              <w:rPr>
                <w:sz w:val="20"/>
                <w:szCs w:val="20"/>
                <w:color w:val="auto"/>
              </w:rPr>
            </w:pPr>
            <w:r>
              <w:rPr>
                <w:rFonts w:ascii="Arial" w:cs="Arial" w:eastAsia="Arial" w:hAnsi="Arial"/>
                <w:sz w:val="14"/>
                <w:szCs w:val="14"/>
                <w:b w:val="1"/>
                <w:bCs w:val="1"/>
                <w:color w:val="auto"/>
                <w:w w:val="93"/>
              </w:rPr>
              <w:t>the three months</w:t>
            </w:r>
          </w:p>
        </w:tc>
      </w:tr>
      <w:tr>
        <w:trPr>
          <w:trHeight w:val="171"/>
        </w:trPr>
        <w:tc>
          <w:tcPr>
            <w:tcW w:w="42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880" w:type="dxa"/>
            <w:vAlign w:val="bottom"/>
            <w:gridSpan w:val="3"/>
          </w:tcPr>
          <w:p>
            <w:pPr>
              <w:spacing w:after="0"/>
              <w:rPr>
                <w:sz w:val="20"/>
                <w:szCs w:val="20"/>
                <w:color w:val="auto"/>
              </w:rPr>
            </w:pPr>
            <w:r>
              <w:rPr>
                <w:rFonts w:ascii="Arial" w:cs="Arial" w:eastAsia="Arial" w:hAnsi="Arial"/>
                <w:sz w:val="14"/>
                <w:szCs w:val="14"/>
                <w:b w:val="1"/>
                <w:bCs w:val="1"/>
                <w:color w:val="auto"/>
              </w:rPr>
              <w:t>December 31, 2017</w:t>
            </w:r>
          </w:p>
        </w:tc>
        <w:tc>
          <w:tcPr>
            <w:tcW w:w="1480" w:type="dxa"/>
            <w:vAlign w:val="bottom"/>
            <w:gridSpan w:val="3"/>
          </w:tcPr>
          <w:p>
            <w:pPr>
              <w:ind w:left="20"/>
              <w:spacing w:after="0"/>
              <w:rPr>
                <w:sz w:val="20"/>
                <w:szCs w:val="20"/>
                <w:color w:val="auto"/>
              </w:rPr>
            </w:pPr>
            <w:r>
              <w:rPr>
                <w:rFonts w:ascii="Arial" w:cs="Arial" w:eastAsia="Arial" w:hAnsi="Arial"/>
                <w:sz w:val="14"/>
                <w:szCs w:val="14"/>
                <w:b w:val="1"/>
                <w:bCs w:val="1"/>
                <w:color w:val="auto"/>
                <w:w w:val="99"/>
              </w:rPr>
              <w:t>ended March 31, 2018</w:t>
            </w:r>
          </w:p>
        </w:tc>
      </w:tr>
      <w:tr>
        <w:trPr>
          <w:trHeight w:val="196"/>
        </w:trPr>
        <w:tc>
          <w:tcPr>
            <w:tcW w:w="424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Term loan</w:t>
            </w:r>
          </w:p>
        </w:tc>
        <w:tc>
          <w:tcPr>
            <w:tcW w:w="580" w:type="dxa"/>
            <w:vAlign w:val="bottom"/>
            <w:tcBorders>
              <w:top w:val="single" w:sz="8" w:color="CCEEFF"/>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1400" w:type="dxa"/>
            <w:vAlign w:val="bottom"/>
            <w:tcBorders>
              <w:top w:val="single" w:sz="8" w:color="CCEEFF"/>
            </w:tcBorders>
            <w:shd w:val="clear" w:color="auto" w:fill="CCEEFF"/>
          </w:tcPr>
          <w:p>
            <w:pPr>
              <w:jc w:val="right"/>
              <w:ind w:right="730"/>
              <w:spacing w:after="0" w:line="196" w:lineRule="exact"/>
              <w:rPr>
                <w:sz w:val="20"/>
                <w:szCs w:val="20"/>
                <w:color w:val="auto"/>
              </w:rPr>
            </w:pPr>
            <w:r>
              <w:rPr>
                <w:rFonts w:ascii="Arial" w:cs="Arial" w:eastAsia="Arial" w:hAnsi="Arial"/>
                <w:sz w:val="18"/>
                <w:szCs w:val="18"/>
                <w:color w:val="auto"/>
                <w:w w:val="86"/>
              </w:rPr>
              <w:t>200,000</w:t>
            </w:r>
          </w:p>
        </w:tc>
        <w:tc>
          <w:tcPr>
            <w:tcW w:w="38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2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216"/>
        </w:trPr>
        <w:tc>
          <w:tcPr>
            <w:tcW w:w="4240" w:type="dxa"/>
            <w:vAlign w:val="bottom"/>
          </w:tcPr>
          <w:p>
            <w:pPr>
              <w:spacing w:after="0"/>
              <w:rPr>
                <w:sz w:val="20"/>
                <w:szCs w:val="20"/>
                <w:color w:val="auto"/>
              </w:rPr>
            </w:pPr>
            <w:r>
              <w:rPr>
                <w:rFonts w:ascii="Arial" w:cs="Arial" w:eastAsia="Arial" w:hAnsi="Arial"/>
                <w:sz w:val="18"/>
                <w:szCs w:val="18"/>
                <w:color w:val="auto"/>
              </w:rPr>
              <w:t>Interest rate</w:t>
            </w:r>
          </w:p>
        </w:tc>
        <w:tc>
          <w:tcPr>
            <w:tcW w:w="580" w:type="dxa"/>
            <w:vAlign w:val="bottom"/>
          </w:tcPr>
          <w:p>
            <w:pPr>
              <w:spacing w:after="0"/>
              <w:rPr>
                <w:sz w:val="18"/>
                <w:szCs w:val="18"/>
                <w:color w:val="auto"/>
              </w:rPr>
            </w:pPr>
          </w:p>
        </w:tc>
        <w:tc>
          <w:tcPr>
            <w:tcW w:w="1400" w:type="dxa"/>
            <w:vAlign w:val="bottom"/>
          </w:tcPr>
          <w:p>
            <w:pPr>
              <w:jc w:val="right"/>
              <w:ind w:right="570"/>
              <w:spacing w:after="0"/>
              <w:rPr>
                <w:sz w:val="20"/>
                <w:szCs w:val="20"/>
                <w:color w:val="auto"/>
              </w:rPr>
            </w:pPr>
            <w:r>
              <w:rPr>
                <w:rFonts w:ascii="Arial" w:cs="Arial" w:eastAsia="Arial" w:hAnsi="Arial"/>
                <w:sz w:val="18"/>
                <w:szCs w:val="18"/>
                <w:color w:val="auto"/>
              </w:rPr>
              <w:t>9.9%</w:t>
            </w:r>
          </w:p>
        </w:tc>
        <w:tc>
          <w:tcPr>
            <w:tcW w:w="3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2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Interest expense</w:t>
            </w:r>
          </w:p>
        </w:tc>
        <w:tc>
          <w:tcPr>
            <w:tcW w:w="580" w:type="dxa"/>
            <w:vAlign w:val="bottom"/>
            <w:shd w:val="clear" w:color="auto" w:fill="CCEEFF"/>
          </w:tcPr>
          <w:p>
            <w:pPr>
              <w:spacing w:after="0"/>
              <w:rPr>
                <w:sz w:val="18"/>
                <w:szCs w:val="18"/>
                <w:color w:val="auto"/>
              </w:rPr>
            </w:pPr>
          </w:p>
        </w:tc>
        <w:tc>
          <w:tcPr>
            <w:tcW w:w="1780" w:type="dxa"/>
            <w:vAlign w:val="bottom"/>
            <w:gridSpan w:val="2"/>
            <w:shd w:val="clear" w:color="auto" w:fill="CCEEFF"/>
          </w:tcPr>
          <w:p>
            <w:pPr>
              <w:ind w:left="1400"/>
              <w:spacing w:after="0"/>
              <w:rPr>
                <w:sz w:val="20"/>
                <w:szCs w:val="20"/>
                <w:color w:val="auto"/>
              </w:rPr>
            </w:pPr>
            <w:r>
              <w:rPr>
                <w:rFonts w:ascii="Arial" w:cs="Arial" w:eastAsia="Arial" w:hAnsi="Arial"/>
                <w:sz w:val="18"/>
                <w:szCs w:val="18"/>
                <w:color w:val="auto"/>
              </w:rPr>
              <w:t>$</w:t>
            </w:r>
          </w:p>
        </w:tc>
        <w:tc>
          <w:tcPr>
            <w:tcW w:w="150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19,855</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4,964</w:t>
            </w:r>
          </w:p>
        </w:tc>
      </w:tr>
      <w:tr>
        <w:trPr>
          <w:trHeight w:val="216"/>
        </w:trPr>
        <w:tc>
          <w:tcPr>
            <w:tcW w:w="4240" w:type="dxa"/>
            <w:vAlign w:val="bottom"/>
          </w:tcPr>
          <w:p>
            <w:pPr>
              <w:spacing w:after="0"/>
              <w:rPr>
                <w:sz w:val="20"/>
                <w:szCs w:val="20"/>
                <w:color w:val="auto"/>
              </w:rPr>
            </w:pPr>
            <w:r>
              <w:rPr>
                <w:rFonts w:ascii="Arial" w:cs="Arial" w:eastAsia="Arial" w:hAnsi="Arial"/>
                <w:sz w:val="18"/>
                <w:szCs w:val="18"/>
                <w:color w:val="auto"/>
              </w:rPr>
              <w:t>Debt issuance costs (5 years)</w:t>
            </w: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1400" w:type="dxa"/>
            <w:vAlign w:val="bottom"/>
          </w:tcPr>
          <w:p>
            <w:pPr>
              <w:jc w:val="right"/>
              <w:ind w:right="730"/>
              <w:spacing w:after="0"/>
              <w:rPr>
                <w:sz w:val="20"/>
                <w:szCs w:val="20"/>
                <w:color w:val="auto"/>
              </w:rPr>
            </w:pPr>
            <w:r>
              <w:rPr>
                <w:rFonts w:ascii="Arial" w:cs="Arial" w:eastAsia="Arial" w:hAnsi="Arial"/>
                <w:sz w:val="18"/>
                <w:szCs w:val="18"/>
                <w:color w:val="auto"/>
              </w:rPr>
              <w:t>4,838</w:t>
            </w:r>
          </w:p>
        </w:tc>
        <w:tc>
          <w:tcPr>
            <w:tcW w:w="3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2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Amortization</w:t>
            </w:r>
          </w:p>
        </w:tc>
        <w:tc>
          <w:tcPr>
            <w:tcW w:w="580" w:type="dxa"/>
            <w:vAlign w:val="bottom"/>
            <w:shd w:val="clear" w:color="auto" w:fill="CCEEFF"/>
          </w:tcPr>
          <w:p>
            <w:pPr>
              <w:spacing w:after="0"/>
              <w:rPr>
                <w:sz w:val="18"/>
                <w:szCs w:val="18"/>
                <w:color w:val="auto"/>
              </w:rPr>
            </w:pPr>
          </w:p>
        </w:tc>
        <w:tc>
          <w:tcPr>
            <w:tcW w:w="1780" w:type="dxa"/>
            <w:vAlign w:val="bottom"/>
            <w:gridSpan w:val="2"/>
            <w:shd w:val="clear" w:color="auto" w:fill="CCEEFF"/>
          </w:tcPr>
          <w:p>
            <w:pPr>
              <w:ind w:left="1400"/>
              <w:spacing w:after="0"/>
              <w:rPr>
                <w:sz w:val="20"/>
                <w:szCs w:val="20"/>
                <w:color w:val="auto"/>
              </w:rPr>
            </w:pPr>
            <w:r>
              <w:rPr>
                <w:rFonts w:ascii="Arial" w:cs="Arial" w:eastAsia="Arial" w:hAnsi="Arial"/>
                <w:sz w:val="18"/>
                <w:szCs w:val="18"/>
                <w:color w:val="auto"/>
              </w:rPr>
              <w:t>$</w:t>
            </w:r>
          </w:p>
        </w:tc>
        <w:tc>
          <w:tcPr>
            <w:tcW w:w="150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968</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242</w:t>
            </w:r>
          </w:p>
        </w:tc>
      </w:tr>
      <w:tr>
        <w:trPr>
          <w:trHeight w:val="216"/>
        </w:trPr>
        <w:tc>
          <w:tcPr>
            <w:tcW w:w="4240" w:type="dxa"/>
            <w:vAlign w:val="bottom"/>
          </w:tcPr>
          <w:p>
            <w:pPr>
              <w:spacing w:after="0"/>
              <w:rPr>
                <w:sz w:val="20"/>
                <w:szCs w:val="20"/>
                <w:color w:val="auto"/>
              </w:rPr>
            </w:pPr>
            <w:r>
              <w:rPr>
                <w:rFonts w:ascii="Arial" w:cs="Arial" w:eastAsia="Arial" w:hAnsi="Arial"/>
                <w:sz w:val="18"/>
                <w:szCs w:val="18"/>
                <w:color w:val="auto"/>
              </w:rPr>
              <w:t>Amendment fees (4 years)</w:t>
            </w:r>
          </w:p>
        </w:tc>
        <w:tc>
          <w:tcPr>
            <w:tcW w:w="580" w:type="dxa"/>
            <w:vAlign w:val="bottom"/>
          </w:tcPr>
          <w:p>
            <w:pPr>
              <w:spacing w:after="0"/>
              <w:rPr>
                <w:sz w:val="18"/>
                <w:szCs w:val="18"/>
                <w:color w:val="auto"/>
              </w:rPr>
            </w:pPr>
          </w:p>
        </w:tc>
        <w:tc>
          <w:tcPr>
            <w:tcW w:w="1400" w:type="dxa"/>
            <w:vAlign w:val="bottom"/>
          </w:tcPr>
          <w:p>
            <w:pPr>
              <w:jc w:val="right"/>
              <w:ind w:right="730"/>
              <w:spacing w:after="0"/>
              <w:rPr>
                <w:sz w:val="20"/>
                <w:szCs w:val="20"/>
                <w:color w:val="auto"/>
              </w:rPr>
            </w:pPr>
            <w:r>
              <w:rPr>
                <w:rFonts w:ascii="Arial" w:cs="Arial" w:eastAsia="Arial" w:hAnsi="Arial"/>
                <w:sz w:val="18"/>
                <w:szCs w:val="18"/>
                <w:color w:val="auto"/>
              </w:rPr>
              <w:t>965</w:t>
            </w:r>
          </w:p>
        </w:tc>
        <w:tc>
          <w:tcPr>
            <w:tcW w:w="3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2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Amortization</w:t>
            </w:r>
          </w:p>
        </w:tc>
        <w:tc>
          <w:tcPr>
            <w:tcW w:w="58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241</w:t>
            </w:r>
          </w:p>
        </w:tc>
        <w:tc>
          <w:tcPr>
            <w:tcW w:w="1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60</w:t>
            </w:r>
          </w:p>
        </w:tc>
      </w:tr>
      <w:tr>
        <w:trPr>
          <w:trHeight w:val="209"/>
        </w:trPr>
        <w:tc>
          <w:tcPr>
            <w:tcW w:w="4240" w:type="dxa"/>
            <w:vAlign w:val="bottom"/>
          </w:tcPr>
          <w:p>
            <w:pPr>
              <w:spacing w:after="0"/>
              <w:rPr>
                <w:sz w:val="20"/>
                <w:szCs w:val="20"/>
                <w:color w:val="auto"/>
              </w:rPr>
            </w:pPr>
            <w:r>
              <w:rPr>
                <w:rFonts w:ascii="Arial" w:cs="Arial" w:eastAsia="Arial" w:hAnsi="Arial"/>
                <w:sz w:val="18"/>
                <w:szCs w:val="18"/>
                <w:color w:val="auto"/>
              </w:rPr>
              <w:t>Amortization of debt issuance costs and amendment</w:t>
            </w:r>
          </w:p>
        </w:tc>
        <w:tc>
          <w:tcPr>
            <w:tcW w:w="5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4240" w:type="dxa"/>
            <w:vAlign w:val="bottom"/>
          </w:tcPr>
          <w:p>
            <w:pPr>
              <w:ind w:left="180"/>
              <w:spacing w:after="0"/>
              <w:rPr>
                <w:sz w:val="20"/>
                <w:szCs w:val="20"/>
                <w:color w:val="auto"/>
              </w:rPr>
            </w:pPr>
            <w:r>
              <w:rPr>
                <w:rFonts w:ascii="Arial" w:cs="Arial" w:eastAsia="Arial" w:hAnsi="Arial"/>
                <w:sz w:val="18"/>
                <w:szCs w:val="18"/>
                <w:color w:val="auto"/>
              </w:rPr>
              <w:t>fees</w:t>
            </w:r>
          </w:p>
        </w:tc>
        <w:tc>
          <w:tcPr>
            <w:tcW w:w="58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500" w:type="dxa"/>
            <w:vAlign w:val="bottom"/>
            <w:gridSpan w:val="2"/>
          </w:tcPr>
          <w:p>
            <w:pPr>
              <w:jc w:val="right"/>
              <w:ind w:right="720"/>
              <w:spacing w:after="0"/>
              <w:rPr>
                <w:sz w:val="20"/>
                <w:szCs w:val="20"/>
                <w:color w:val="auto"/>
              </w:rPr>
            </w:pPr>
            <w:r>
              <w:rPr>
                <w:rFonts w:ascii="Arial" w:cs="Arial" w:eastAsia="Arial" w:hAnsi="Arial"/>
                <w:sz w:val="18"/>
                <w:szCs w:val="18"/>
                <w:color w:val="auto"/>
              </w:rPr>
              <w:t>1,209</w:t>
            </w:r>
          </w:p>
        </w:tc>
        <w:tc>
          <w:tcPr>
            <w:tcW w:w="140" w:type="dxa"/>
            <w:vAlign w:val="bottom"/>
          </w:tcPr>
          <w:p>
            <w:pPr>
              <w:spacing w:after="0"/>
              <w:rPr>
                <w:sz w:val="20"/>
                <w:szCs w:val="20"/>
                <w:color w:val="auto"/>
              </w:rPr>
            </w:pP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302</w:t>
            </w:r>
          </w:p>
        </w:tc>
      </w:tr>
      <w:tr>
        <w:trPr>
          <w:trHeight w:val="27"/>
        </w:trPr>
        <w:tc>
          <w:tcPr>
            <w:tcW w:w="42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7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2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4240" w:type="dxa"/>
            <w:vAlign w:val="bottom"/>
            <w:shd w:val="clear" w:color="auto" w:fill="CCEEFF"/>
          </w:tcPr>
          <w:p>
            <w:pPr>
              <w:spacing w:after="0"/>
              <w:rPr>
                <w:sz w:val="20"/>
                <w:szCs w:val="20"/>
                <w:color w:val="auto"/>
              </w:rPr>
            </w:pPr>
            <w:r>
              <w:rPr>
                <w:rFonts w:ascii="Arial" w:cs="Arial" w:eastAsia="Arial" w:hAnsi="Arial"/>
                <w:sz w:val="18"/>
                <w:szCs w:val="18"/>
                <w:color w:val="auto"/>
              </w:rPr>
              <w:t>Total interest expense</w:t>
            </w:r>
          </w:p>
        </w:tc>
        <w:tc>
          <w:tcPr>
            <w:tcW w:w="580" w:type="dxa"/>
            <w:vAlign w:val="bottom"/>
            <w:shd w:val="clear" w:color="auto" w:fill="CCEEFF"/>
          </w:tcPr>
          <w:p>
            <w:pPr>
              <w:spacing w:after="0"/>
              <w:rPr>
                <w:sz w:val="18"/>
                <w:szCs w:val="18"/>
                <w:color w:val="auto"/>
              </w:rPr>
            </w:pPr>
          </w:p>
        </w:tc>
        <w:tc>
          <w:tcPr>
            <w:tcW w:w="1780" w:type="dxa"/>
            <w:vAlign w:val="bottom"/>
            <w:gridSpan w:val="2"/>
            <w:shd w:val="clear" w:color="auto" w:fill="CCEEFF"/>
          </w:tcPr>
          <w:p>
            <w:pPr>
              <w:ind w:left="1400"/>
              <w:spacing w:after="0"/>
              <w:rPr>
                <w:sz w:val="20"/>
                <w:szCs w:val="20"/>
                <w:color w:val="auto"/>
              </w:rPr>
            </w:pPr>
            <w:r>
              <w:rPr>
                <w:rFonts w:ascii="Arial" w:cs="Arial" w:eastAsia="Arial" w:hAnsi="Arial"/>
                <w:sz w:val="18"/>
                <w:szCs w:val="18"/>
                <w:color w:val="auto"/>
              </w:rPr>
              <w:t>$</w:t>
            </w:r>
          </w:p>
        </w:tc>
        <w:tc>
          <w:tcPr>
            <w:tcW w:w="150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21,064</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5,266</w:t>
            </w:r>
          </w:p>
        </w:tc>
      </w:tr>
      <w:tr>
        <w:trPr>
          <w:trHeight w:val="216"/>
        </w:trPr>
        <w:tc>
          <w:tcPr>
            <w:tcW w:w="4240" w:type="dxa"/>
            <w:vAlign w:val="bottom"/>
          </w:tcPr>
          <w:p>
            <w:pPr>
              <w:spacing w:after="0"/>
              <w:rPr>
                <w:sz w:val="20"/>
                <w:szCs w:val="20"/>
                <w:color w:val="auto"/>
              </w:rPr>
            </w:pPr>
            <w:r>
              <w:rPr>
                <w:rFonts w:ascii="Arial" w:cs="Arial" w:eastAsia="Arial" w:hAnsi="Arial"/>
                <w:sz w:val="18"/>
                <w:szCs w:val="18"/>
                <w:color w:val="auto"/>
              </w:rPr>
              <w:t>Less Paragon historical interest expense</w:t>
            </w:r>
          </w:p>
        </w:tc>
        <w:tc>
          <w:tcPr>
            <w:tcW w:w="5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500" w:type="dxa"/>
            <w:vAlign w:val="bottom"/>
            <w:gridSpan w:val="2"/>
          </w:tcPr>
          <w:p>
            <w:pPr>
              <w:jc w:val="right"/>
              <w:ind w:right="660"/>
              <w:spacing w:after="0"/>
              <w:rPr>
                <w:sz w:val="20"/>
                <w:szCs w:val="20"/>
                <w:color w:val="auto"/>
              </w:rPr>
            </w:pPr>
            <w:r>
              <w:rPr>
                <w:rFonts w:ascii="Arial" w:cs="Arial" w:eastAsia="Arial" w:hAnsi="Arial"/>
                <w:sz w:val="18"/>
                <w:szCs w:val="18"/>
                <w:color w:val="auto"/>
              </w:rPr>
              <w:t>(7,971)</w:t>
            </w:r>
          </w:p>
        </w:tc>
        <w:tc>
          <w:tcPr>
            <w:tcW w:w="140" w:type="dxa"/>
            <w:vAlign w:val="bottom"/>
          </w:tcPr>
          <w:p>
            <w:pPr>
              <w:spacing w:after="0"/>
              <w:rPr>
                <w:sz w:val="18"/>
                <w:szCs w:val="18"/>
                <w:color w:val="auto"/>
              </w:rPr>
            </w:pPr>
          </w:p>
        </w:tc>
        <w:tc>
          <w:tcPr>
            <w:tcW w:w="1340" w:type="dxa"/>
            <w:vAlign w:val="bottom"/>
            <w:gridSpan w:val="2"/>
          </w:tcPr>
          <w:p>
            <w:pPr>
              <w:jc w:val="right"/>
              <w:ind w:right="40"/>
              <w:spacing w:after="0"/>
              <w:rPr>
                <w:sz w:val="20"/>
                <w:szCs w:val="20"/>
                <w:color w:val="auto"/>
              </w:rPr>
            </w:pPr>
            <w:r>
              <w:rPr>
                <w:rFonts w:ascii="Arial" w:cs="Arial" w:eastAsia="Arial" w:hAnsi="Arial"/>
                <w:sz w:val="18"/>
                <w:szCs w:val="18"/>
                <w:color w:val="auto"/>
              </w:rPr>
              <w:t>(1,843)</w:t>
            </w:r>
          </w:p>
        </w:tc>
      </w:tr>
      <w:tr>
        <w:trPr>
          <w:trHeight w:val="27"/>
        </w:trPr>
        <w:tc>
          <w:tcPr>
            <w:tcW w:w="42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7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2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4240" w:type="dxa"/>
            <w:vAlign w:val="bottom"/>
            <w:shd w:val="clear" w:color="auto" w:fill="CCEEFF"/>
          </w:tcPr>
          <w:p>
            <w:pPr>
              <w:spacing w:after="0"/>
              <w:rPr>
                <w:sz w:val="20"/>
                <w:szCs w:val="20"/>
                <w:color w:val="auto"/>
              </w:rPr>
            </w:pPr>
            <w:r>
              <w:rPr>
                <w:rFonts w:ascii="Arial" w:cs="Arial" w:eastAsia="Arial" w:hAnsi="Arial"/>
                <w:sz w:val="18"/>
                <w:szCs w:val="18"/>
                <w:color w:val="auto"/>
              </w:rPr>
              <w:t>Unaudited pro forma adjustment</w:t>
            </w:r>
          </w:p>
        </w:tc>
        <w:tc>
          <w:tcPr>
            <w:tcW w:w="580" w:type="dxa"/>
            <w:vAlign w:val="bottom"/>
            <w:shd w:val="clear" w:color="auto" w:fill="CCEEFF"/>
          </w:tcPr>
          <w:p>
            <w:pPr>
              <w:spacing w:after="0"/>
              <w:rPr>
                <w:sz w:val="18"/>
                <w:szCs w:val="18"/>
                <w:color w:val="auto"/>
              </w:rPr>
            </w:pPr>
          </w:p>
        </w:tc>
        <w:tc>
          <w:tcPr>
            <w:tcW w:w="1780" w:type="dxa"/>
            <w:vAlign w:val="bottom"/>
            <w:gridSpan w:val="2"/>
            <w:shd w:val="clear" w:color="auto" w:fill="CCEEFF"/>
          </w:tcPr>
          <w:p>
            <w:pPr>
              <w:ind w:left="1400"/>
              <w:spacing w:after="0"/>
              <w:rPr>
                <w:sz w:val="20"/>
                <w:szCs w:val="20"/>
                <w:color w:val="auto"/>
              </w:rPr>
            </w:pPr>
            <w:r>
              <w:rPr>
                <w:rFonts w:ascii="Arial" w:cs="Arial" w:eastAsia="Arial" w:hAnsi="Arial"/>
                <w:sz w:val="18"/>
                <w:szCs w:val="18"/>
                <w:color w:val="auto"/>
              </w:rPr>
              <w:t>$</w:t>
            </w:r>
          </w:p>
        </w:tc>
        <w:tc>
          <w:tcPr>
            <w:tcW w:w="150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13,093</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3,423</w:t>
            </w:r>
          </w:p>
        </w:tc>
      </w:tr>
      <w:tr>
        <w:trPr>
          <w:trHeight w:val="20"/>
        </w:trPr>
        <w:tc>
          <w:tcPr>
            <w:tcW w:w="42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42" w:lineRule="exact"/>
        <w:rPr>
          <w:sz w:val="20"/>
          <w:szCs w:val="20"/>
          <w:color w:val="auto"/>
        </w:rPr>
      </w:pPr>
    </w:p>
    <w:p>
      <w:pPr>
        <w:ind w:left="452" w:hanging="452"/>
        <w:spacing w:after="0"/>
        <w:tabs>
          <w:tab w:leader="none" w:pos="452" w:val="left"/>
        </w:tabs>
        <w:numPr>
          <w:ilvl w:val="0"/>
          <w:numId w:val="14"/>
        </w:numPr>
        <w:rPr>
          <w:rFonts w:ascii="Arial" w:cs="Arial" w:eastAsia="Arial" w:hAnsi="Arial"/>
          <w:sz w:val="18"/>
          <w:szCs w:val="18"/>
          <w:color w:val="auto"/>
        </w:rPr>
      </w:pPr>
      <w:r>
        <w:rPr>
          <w:rFonts w:ascii="Arial" w:cs="Arial" w:eastAsia="Arial" w:hAnsi="Arial"/>
          <w:sz w:val="18"/>
          <w:szCs w:val="18"/>
          <w:i w:val="1"/>
          <w:iCs w:val="1"/>
          <w:color w:val="auto"/>
        </w:rPr>
        <w:t xml:space="preserve">Provision (benefit) for income taxes </w:t>
      </w:r>
      <w:r>
        <w:rPr>
          <w:rFonts w:ascii="Arial" w:cs="Arial" w:eastAsia="Arial" w:hAnsi="Arial"/>
          <w:sz w:val="18"/>
          <w:szCs w:val="18"/>
          <w:color w:val="auto"/>
        </w:rPr>
        <w:t>- The unaudited pro forma adjustment is calculated as follows:</w:t>
      </w:r>
    </w:p>
    <w:p>
      <w:pPr>
        <w:spacing w:after="0" w:line="231" w:lineRule="exact"/>
        <w:rPr>
          <w:sz w:val="20"/>
          <w:szCs w:val="20"/>
          <w:color w:val="auto"/>
        </w:rPr>
      </w:pPr>
    </w:p>
    <w:tbl>
      <w:tblPr>
        <w:tblLayout w:type="fixed"/>
        <w:tblInd w:w="1372"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4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40" w:type="dxa"/>
            <w:vAlign w:val="bottom"/>
            <w:gridSpan w:val="2"/>
          </w:tcPr>
          <w:p>
            <w:pPr>
              <w:jc w:val="right"/>
              <w:ind w:right="780"/>
              <w:spacing w:after="0"/>
              <w:rPr>
                <w:sz w:val="20"/>
                <w:szCs w:val="20"/>
                <w:color w:val="auto"/>
              </w:rPr>
            </w:pPr>
            <w:r>
              <w:rPr>
                <w:rFonts w:ascii="Arial" w:cs="Arial" w:eastAsia="Arial" w:hAnsi="Arial"/>
                <w:sz w:val="14"/>
                <w:szCs w:val="14"/>
                <w:b w:val="1"/>
                <w:bCs w:val="1"/>
                <w:color w:val="auto"/>
                <w:w w:val="97"/>
              </w:rPr>
              <w:t>Year ended</w:t>
            </w:r>
          </w:p>
        </w:tc>
        <w:tc>
          <w:tcPr>
            <w:tcW w:w="1860" w:type="dxa"/>
            <w:vAlign w:val="bottom"/>
            <w:gridSpan w:val="4"/>
          </w:tcPr>
          <w:p>
            <w:pPr>
              <w:ind w:left="480"/>
              <w:spacing w:after="0"/>
              <w:rPr>
                <w:sz w:val="20"/>
                <w:szCs w:val="20"/>
                <w:color w:val="auto"/>
              </w:rPr>
            </w:pPr>
            <w:r>
              <w:rPr>
                <w:rFonts w:ascii="Arial" w:cs="Arial" w:eastAsia="Arial" w:hAnsi="Arial"/>
                <w:sz w:val="14"/>
                <w:szCs w:val="14"/>
                <w:b w:val="1"/>
                <w:bCs w:val="1"/>
                <w:color w:val="auto"/>
                <w:w w:val="98"/>
              </w:rPr>
              <w:t>Three months ended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460" w:type="dxa"/>
            <w:vAlign w:val="bottom"/>
          </w:tcPr>
          <w:p>
            <w:pPr>
              <w:spacing w:after="0"/>
              <w:rPr>
                <w:sz w:val="14"/>
                <w:szCs w:val="14"/>
                <w:color w:val="auto"/>
              </w:rPr>
            </w:pPr>
          </w:p>
        </w:tc>
        <w:tc>
          <w:tcPr>
            <w:tcW w:w="2340" w:type="dxa"/>
            <w:vAlign w:val="bottom"/>
            <w:gridSpan w:val="4"/>
          </w:tcPr>
          <w:p>
            <w:pPr>
              <w:ind w:left="640"/>
              <w:spacing w:after="0"/>
              <w:rPr>
                <w:sz w:val="20"/>
                <w:szCs w:val="20"/>
                <w:color w:val="auto"/>
              </w:rPr>
            </w:pPr>
            <w:r>
              <w:rPr>
                <w:rFonts w:ascii="Arial" w:cs="Arial" w:eastAsia="Arial" w:hAnsi="Arial"/>
                <w:sz w:val="14"/>
                <w:szCs w:val="14"/>
                <w:b w:val="1"/>
                <w:bCs w:val="1"/>
                <w:color w:val="auto"/>
              </w:rPr>
              <w:t>December 31, 2017</w:t>
            </w:r>
          </w:p>
        </w:tc>
        <w:tc>
          <w:tcPr>
            <w:tcW w:w="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6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w w:val="96"/>
              </w:rPr>
              <w:t>March 31, 2018</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4460" w:type="dxa"/>
            <w:vAlign w:val="bottom"/>
            <w:tcBorders>
              <w:top w:val="single" w:sz="8" w:color="CCEEFF"/>
            </w:tcBorders>
            <w:shd w:val="clear" w:color="auto" w:fill="CCEEFF"/>
          </w:tcPr>
          <w:p>
            <w:pPr>
              <w:spacing w:after="0" w:line="182" w:lineRule="exact"/>
              <w:rPr>
                <w:sz w:val="20"/>
                <w:szCs w:val="20"/>
                <w:color w:val="auto"/>
              </w:rPr>
            </w:pPr>
            <w:r>
              <w:rPr>
                <w:rFonts w:ascii="Arial" w:cs="Arial" w:eastAsia="Arial" w:hAnsi="Arial"/>
                <w:sz w:val="18"/>
                <w:szCs w:val="18"/>
                <w:color w:val="auto"/>
              </w:rPr>
              <w:t>Provision (benefit) due to depreciation, amortization,</w:t>
            </w:r>
          </w:p>
        </w:tc>
        <w:tc>
          <w:tcPr>
            <w:tcW w:w="64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1000" w:type="dxa"/>
            <w:vAlign w:val="bottom"/>
            <w:tcBorders>
              <w:top w:val="single" w:sz="8" w:color="auto"/>
            </w:tcBorders>
            <w:shd w:val="clear" w:color="auto" w:fill="CCEEFF"/>
          </w:tcPr>
          <w:p>
            <w:pPr>
              <w:spacing w:after="0"/>
              <w:rPr>
                <w:sz w:val="15"/>
                <w:szCs w:val="15"/>
                <w:color w:val="auto"/>
              </w:rPr>
            </w:pPr>
          </w:p>
        </w:tc>
        <w:tc>
          <w:tcPr>
            <w:tcW w:w="540" w:type="dxa"/>
            <w:vAlign w:val="bottom"/>
            <w:tcBorders>
              <w:top w:val="single" w:sz="8" w:color="CCEEFF"/>
            </w:tcBorders>
            <w:shd w:val="clear" w:color="auto" w:fill="CCEEFF"/>
          </w:tcPr>
          <w:p>
            <w:pPr>
              <w:spacing w:after="0"/>
              <w:rPr>
                <w:sz w:val="15"/>
                <w:szCs w:val="15"/>
                <w:color w:val="auto"/>
              </w:rPr>
            </w:pPr>
          </w:p>
        </w:tc>
        <w:tc>
          <w:tcPr>
            <w:tcW w:w="48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114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transaction costs, and insurance amortization</w:t>
            </w: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4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adjustments</w:t>
            </w:r>
          </w:p>
        </w:tc>
        <w:tc>
          <w:tcPr>
            <w:tcW w:w="80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w:t>
            </w:r>
          </w:p>
        </w:tc>
        <w:tc>
          <w:tcPr>
            <w:tcW w:w="15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(945)</w:t>
            </w:r>
          </w:p>
        </w:tc>
        <w:tc>
          <w:tcPr>
            <w:tcW w:w="60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w:t>
            </w:r>
          </w:p>
        </w:tc>
        <w:tc>
          <w:tcPr>
            <w:tcW w:w="1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tcPr>
          <w:p>
            <w:pPr>
              <w:spacing w:after="0"/>
              <w:rPr>
                <w:sz w:val="20"/>
                <w:szCs w:val="20"/>
                <w:color w:val="auto"/>
              </w:rPr>
            </w:pPr>
            <w:r>
              <w:rPr>
                <w:rFonts w:ascii="Arial" w:cs="Arial" w:eastAsia="Arial" w:hAnsi="Arial"/>
                <w:sz w:val="18"/>
                <w:szCs w:val="18"/>
                <w:color w:val="auto"/>
              </w:rPr>
              <w:t>Benefit due to interest expense adjustment</w:t>
            </w: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40" w:type="dxa"/>
            <w:vAlign w:val="bottom"/>
            <w:gridSpan w:val="2"/>
          </w:tcPr>
          <w:p>
            <w:pPr>
              <w:jc w:val="right"/>
              <w:ind w:right="480"/>
              <w:spacing w:after="0"/>
              <w:rPr>
                <w:sz w:val="20"/>
                <w:szCs w:val="20"/>
                <w:color w:val="auto"/>
              </w:rPr>
            </w:pPr>
            <w:r>
              <w:rPr>
                <w:rFonts w:ascii="Arial" w:cs="Arial" w:eastAsia="Arial" w:hAnsi="Arial"/>
                <w:sz w:val="18"/>
                <w:szCs w:val="18"/>
                <w:color w:val="auto"/>
              </w:rPr>
              <w:t>(4,583)</w:t>
            </w: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right"/>
              <w:ind w:right="60"/>
              <w:spacing w:after="0"/>
              <w:rPr>
                <w:sz w:val="20"/>
                <w:szCs w:val="20"/>
                <w:color w:val="auto"/>
              </w:rPr>
            </w:pPr>
            <w:r>
              <w:rPr>
                <w:rFonts w:ascii="Arial" w:cs="Arial" w:eastAsia="Arial" w:hAnsi="Arial"/>
                <w:sz w:val="18"/>
                <w:szCs w:val="18"/>
                <w:color w:val="auto"/>
              </w:rPr>
              <w:t>(719)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4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60" w:type="dxa"/>
            <w:vAlign w:val="bottom"/>
            <w:shd w:val="clear" w:color="auto" w:fill="CCEEFF"/>
          </w:tcPr>
          <w:p>
            <w:pPr>
              <w:spacing w:after="0"/>
              <w:rPr>
                <w:sz w:val="20"/>
                <w:szCs w:val="20"/>
                <w:color w:val="auto"/>
              </w:rPr>
            </w:pPr>
            <w:r>
              <w:rPr>
                <w:rFonts w:ascii="Arial" w:cs="Arial" w:eastAsia="Arial" w:hAnsi="Arial"/>
                <w:sz w:val="18"/>
                <w:szCs w:val="18"/>
                <w:color w:val="auto"/>
              </w:rPr>
              <w:t>Unaudited pro forma adjustment</w:t>
            </w:r>
          </w:p>
        </w:tc>
        <w:tc>
          <w:tcPr>
            <w:tcW w:w="80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w:t>
            </w:r>
          </w:p>
        </w:tc>
        <w:tc>
          <w:tcPr>
            <w:tcW w:w="15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(5,528)</w:t>
            </w:r>
          </w:p>
        </w:tc>
        <w:tc>
          <w:tcPr>
            <w:tcW w:w="60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w w:val="99"/>
              </w:rPr>
              <w:t>$</w:t>
            </w:r>
          </w:p>
        </w:tc>
        <w:tc>
          <w:tcPr>
            <w:tcW w:w="1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(533)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ind w:left="452" w:right="60" w:firstLine="438"/>
        <w:spacing w:after="0" w:line="264" w:lineRule="auto"/>
        <w:rPr>
          <w:sz w:val="20"/>
          <w:szCs w:val="20"/>
          <w:color w:val="auto"/>
        </w:rPr>
      </w:pPr>
      <w:r>
        <w:rPr>
          <w:rFonts w:ascii="Arial" w:cs="Arial" w:eastAsia="Arial" w:hAnsi="Arial"/>
          <w:sz w:val="18"/>
          <w:szCs w:val="18"/>
          <w:color w:val="auto"/>
        </w:rPr>
        <w:t>A U.S. federal statutory tax rate of 35% and 21% has been applied to the unaudited pro forma depreciation and amortization adjustments and the transaction related expenses recognized by us and Paragon for the year ended December 31, 2017, and for the three months ended March 31, 2018, respectively.</w:t>
      </w:r>
    </w:p>
    <w:p>
      <w:pPr>
        <w:spacing w:after="0" w:line="114" w:lineRule="exact"/>
        <w:rPr>
          <w:sz w:val="20"/>
          <w:szCs w:val="20"/>
          <w:color w:val="auto"/>
        </w:rPr>
      </w:pPr>
    </w:p>
    <w:p>
      <w:pPr>
        <w:jc w:val="center"/>
        <w:ind w:right="-31"/>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372"/>
          </w:cols>
          <w:pgMar w:left="248" w:top="253" w:right="279" w:bottom="1440" w:gutter="0" w:footer="0" w:header="0"/>
        </w:sectPr>
      </w:pPr>
    </w:p>
    <w:bookmarkStart w:id="47" w:name="page48"/>
    <w:bookmarkEnd w:id="47"/>
    <w:p>
      <w:pPr>
        <w:ind w:left="460" w:hanging="452"/>
        <w:spacing w:after="0" w:line="264" w:lineRule="auto"/>
        <w:tabs>
          <w:tab w:leader="none" w:pos="460" w:val="left"/>
        </w:tabs>
        <w:numPr>
          <w:ilvl w:val="0"/>
          <w:numId w:val="15"/>
        </w:numPr>
        <w:rPr>
          <w:rFonts w:ascii="Arial" w:cs="Arial" w:eastAsia="Arial" w:hAnsi="Arial"/>
          <w:sz w:val="18"/>
          <w:szCs w:val="18"/>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Acquisition related costs excluded from selling, general and administrative expense </w:t>
      </w:r>
      <w:r>
        <w:rPr>
          <w:rFonts w:ascii="Arial" w:cs="Arial" w:eastAsia="Arial" w:hAnsi="Arial"/>
          <w:sz w:val="18"/>
          <w:szCs w:val="18"/>
          <w:color w:val="auto"/>
        </w:rPr>
        <w:t>– Transaction related expenses of $1,548 recognized by us during</w:t>
      </w:r>
      <w:r>
        <w:rPr>
          <w:rFonts w:ascii="Arial" w:cs="Arial" w:eastAsia="Arial" w:hAnsi="Arial"/>
          <w:sz w:val="18"/>
          <w:szCs w:val="18"/>
          <w:i w:val="1"/>
          <w:iCs w:val="1"/>
          <w:color w:val="auto"/>
        </w:rPr>
        <w:t xml:space="preserve"> </w:t>
      </w:r>
      <w:r>
        <w:rPr>
          <w:rFonts w:ascii="Arial" w:cs="Arial" w:eastAsia="Arial" w:hAnsi="Arial"/>
          <w:sz w:val="18"/>
          <w:szCs w:val="18"/>
          <w:color w:val="auto"/>
        </w:rPr>
        <w:t>the three months ended March 31, 2018, and their related tax effects have been eliminated from the pro forma statement of operations as these items are directly attributable to the Acquisition and will not have an ongoing impact.</w:t>
      </w: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740" w:type="dxa"/>
            <w:vAlign w:val="bottom"/>
            <w:gridSpan w:val="3"/>
          </w:tcPr>
          <w:p>
            <w:pPr>
              <w:spacing w:after="0"/>
              <w:rPr>
                <w:sz w:val="20"/>
                <w:szCs w:val="20"/>
                <w:color w:val="auto"/>
              </w:rPr>
            </w:pPr>
            <w:r>
              <w:rPr>
                <w:rFonts w:ascii="Arial" w:cs="Arial" w:eastAsia="Arial" w:hAnsi="Arial"/>
                <w:sz w:val="18"/>
                <w:szCs w:val="18"/>
                <w:b w:val="1"/>
                <w:bCs w:val="1"/>
                <w:i w:val="1"/>
                <w:iCs w:val="1"/>
                <w:color w:val="auto"/>
              </w:rPr>
              <w:t>Adjustments to Unaudited Pro Forma Balance Sheet</w:t>
            </w:r>
          </w:p>
        </w:tc>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8"/>
        </w:trPr>
        <w:tc>
          <w:tcPr>
            <w:tcW w:w="300" w:type="dxa"/>
            <w:vAlign w:val="bottom"/>
          </w:tcPr>
          <w:p>
            <w:pPr>
              <w:spacing w:after="0"/>
              <w:rPr>
                <w:sz w:val="20"/>
                <w:szCs w:val="20"/>
                <w:color w:val="auto"/>
              </w:rPr>
            </w:pPr>
            <w:r>
              <w:rPr>
                <w:rFonts w:ascii="Arial" w:cs="Arial" w:eastAsia="Arial" w:hAnsi="Arial"/>
                <w:sz w:val="18"/>
                <w:szCs w:val="18"/>
                <w:color w:val="auto"/>
              </w:rPr>
              <w:t>f)</w:t>
            </w:r>
          </w:p>
        </w:tc>
        <w:tc>
          <w:tcPr>
            <w:tcW w:w="8440" w:type="dxa"/>
            <w:vAlign w:val="bottom"/>
            <w:gridSpan w:val="2"/>
          </w:tcPr>
          <w:p>
            <w:pPr>
              <w:ind w:left="160"/>
              <w:spacing w:after="0"/>
              <w:rPr>
                <w:sz w:val="20"/>
                <w:szCs w:val="20"/>
                <w:color w:val="auto"/>
              </w:rPr>
            </w:pPr>
            <w:r>
              <w:rPr>
                <w:rFonts w:ascii="Arial" w:cs="Arial" w:eastAsia="Arial" w:hAnsi="Arial"/>
                <w:sz w:val="18"/>
                <w:szCs w:val="18"/>
                <w:i w:val="1"/>
                <w:iCs w:val="1"/>
                <w:color w:val="auto"/>
              </w:rPr>
              <w:t xml:space="preserve">Cash - </w:t>
            </w:r>
            <w:r>
              <w:rPr>
                <w:rFonts w:ascii="Arial" w:cs="Arial" w:eastAsia="Arial" w:hAnsi="Arial"/>
                <w:sz w:val="18"/>
                <w:szCs w:val="18"/>
                <w:color w:val="auto"/>
              </w:rPr>
              <w:t>Adjustment reflects the preliminary net adjustment to cash in connection with the Acquisition:</w:t>
            </w:r>
          </w:p>
        </w:tc>
        <w:tc>
          <w:tcPr>
            <w:tcW w:w="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300" w:type="dxa"/>
            <w:vAlign w:val="bottom"/>
          </w:tcPr>
          <w:p>
            <w:pPr>
              <w:spacing w:after="0"/>
              <w:rPr>
                <w:sz w:val="21"/>
                <w:szCs w:val="21"/>
                <w:color w:val="auto"/>
              </w:rPr>
            </w:pPr>
          </w:p>
        </w:tc>
        <w:tc>
          <w:tcPr>
            <w:tcW w:w="1540" w:type="dxa"/>
            <w:vAlign w:val="bottom"/>
            <w:vMerge w:val="restart"/>
          </w:tcPr>
          <w:p>
            <w:pPr>
              <w:spacing w:after="0"/>
              <w:rPr>
                <w:sz w:val="21"/>
                <w:szCs w:val="21"/>
                <w:color w:val="auto"/>
              </w:rPr>
            </w:pPr>
          </w:p>
        </w:tc>
        <w:tc>
          <w:tcPr>
            <w:tcW w:w="69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1540" w:type="dxa"/>
            <w:vAlign w:val="bottom"/>
            <w:vMerge w:val="continue"/>
          </w:tcPr>
          <w:p>
            <w:pPr>
              <w:spacing w:after="0"/>
              <w:rPr>
                <w:sz w:val="18"/>
                <w:szCs w:val="18"/>
                <w:color w:val="auto"/>
              </w:rPr>
            </w:pPr>
          </w:p>
        </w:tc>
        <w:tc>
          <w:tcPr>
            <w:tcW w:w="6900" w:type="dxa"/>
            <w:vAlign w:val="bottom"/>
            <w:shd w:val="clear" w:color="auto" w:fill="CCEEFF"/>
          </w:tcPr>
          <w:p>
            <w:pPr>
              <w:spacing w:after="0"/>
              <w:rPr>
                <w:sz w:val="20"/>
                <w:szCs w:val="20"/>
                <w:color w:val="auto"/>
              </w:rPr>
            </w:pPr>
            <w:r>
              <w:rPr>
                <w:rFonts w:ascii="Arial" w:cs="Arial" w:eastAsia="Arial" w:hAnsi="Arial"/>
                <w:sz w:val="18"/>
                <w:szCs w:val="18"/>
                <w:color w:val="auto"/>
              </w:rPr>
              <w:t>Cash consideration transferred</w:t>
            </w:r>
          </w:p>
        </w:tc>
        <w:tc>
          <w:tcPr>
            <w:tcW w:w="8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89"/>
              </w:rPr>
              <w:t>$(369,000)</w:t>
            </w: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6900" w:type="dxa"/>
            <w:vAlign w:val="bottom"/>
          </w:tcPr>
          <w:p>
            <w:pPr>
              <w:spacing w:after="0"/>
              <w:rPr>
                <w:sz w:val="20"/>
                <w:szCs w:val="20"/>
                <w:color w:val="auto"/>
              </w:rPr>
            </w:pPr>
            <w:r>
              <w:rPr>
                <w:rFonts w:ascii="Arial" w:cs="Arial" w:eastAsia="Arial" w:hAnsi="Arial"/>
                <w:sz w:val="18"/>
                <w:szCs w:val="18"/>
                <w:color w:val="auto"/>
              </w:rPr>
              <w:t>Remove cash on Paragon historical balance sheet</w:t>
            </w:r>
          </w:p>
        </w:tc>
        <w:tc>
          <w:tcPr>
            <w:tcW w:w="860" w:type="dxa"/>
            <w:vAlign w:val="bottom"/>
            <w:gridSpan w:val="3"/>
          </w:tcPr>
          <w:p>
            <w:pPr>
              <w:jc w:val="right"/>
              <w:spacing w:after="0"/>
              <w:rPr>
                <w:sz w:val="20"/>
                <w:szCs w:val="20"/>
                <w:color w:val="auto"/>
              </w:rPr>
            </w:pPr>
            <w:r>
              <w:rPr>
                <w:rFonts w:ascii="Arial" w:cs="Arial" w:eastAsia="Arial" w:hAnsi="Arial"/>
                <w:sz w:val="18"/>
                <w:szCs w:val="18"/>
                <w:color w:val="auto"/>
              </w:rPr>
              <w:t>(10,077)</w:t>
            </w: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6900" w:type="dxa"/>
            <w:vAlign w:val="bottom"/>
            <w:shd w:val="clear" w:color="auto" w:fill="CCEEFF"/>
          </w:tcPr>
          <w:p>
            <w:pPr>
              <w:spacing w:after="0"/>
              <w:rPr>
                <w:sz w:val="20"/>
                <w:szCs w:val="20"/>
                <w:color w:val="auto"/>
              </w:rPr>
            </w:pPr>
            <w:r>
              <w:rPr>
                <w:rFonts w:ascii="Arial" w:cs="Arial" w:eastAsia="Arial" w:hAnsi="Arial"/>
                <w:sz w:val="18"/>
                <w:szCs w:val="18"/>
                <w:color w:val="auto"/>
              </w:rPr>
              <w:t>Proceeds of new borrowings, net of discount</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197,200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00" w:type="dxa"/>
            <w:vAlign w:val="bottom"/>
          </w:tcPr>
          <w:p>
            <w:pPr>
              <w:spacing w:after="0"/>
              <w:rPr>
                <w:sz w:val="19"/>
                <w:szCs w:val="19"/>
                <w:color w:val="auto"/>
              </w:rPr>
            </w:pPr>
          </w:p>
        </w:tc>
        <w:tc>
          <w:tcPr>
            <w:tcW w:w="8440" w:type="dxa"/>
            <w:vAlign w:val="bottom"/>
            <w:gridSpan w:val="2"/>
          </w:tcPr>
          <w:p>
            <w:pPr>
              <w:ind w:left="1540"/>
              <w:spacing w:after="0"/>
              <w:rPr>
                <w:sz w:val="20"/>
                <w:szCs w:val="20"/>
                <w:color w:val="auto"/>
              </w:rPr>
            </w:pPr>
            <w:r>
              <w:rPr>
                <w:rFonts w:ascii="Arial" w:cs="Arial" w:eastAsia="Arial" w:hAnsi="Arial"/>
                <w:sz w:val="18"/>
                <w:szCs w:val="18"/>
                <w:color w:val="auto"/>
              </w:rPr>
              <w:t>Unaudited pro forma adjustment</w:t>
            </w:r>
          </w:p>
        </w:tc>
        <w:tc>
          <w:tcPr>
            <w:tcW w:w="20" w:type="dxa"/>
            <w:vAlign w:val="bottom"/>
            <w:tcBorders>
              <w:bottom w:val="single" w:sz="8" w:color="auto"/>
            </w:tcBorders>
          </w:tcPr>
          <w:p>
            <w:pPr>
              <w:spacing w:after="0"/>
              <w:rPr>
                <w:sz w:val="19"/>
                <w:szCs w:val="19"/>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(181,877</w:t>
            </w:r>
          </w:p>
        </w:tc>
        <w:tc>
          <w:tcPr>
            <w:tcW w:w="12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30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6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460" w:right="340" w:firstLine="438"/>
        <w:spacing w:after="0" w:line="264" w:lineRule="auto"/>
        <w:rPr>
          <w:sz w:val="20"/>
          <w:szCs w:val="20"/>
          <w:color w:val="auto"/>
        </w:rPr>
      </w:pPr>
      <w:r>
        <w:rPr>
          <w:rFonts w:ascii="Arial" w:cs="Arial" w:eastAsia="Arial" w:hAnsi="Arial"/>
          <w:sz w:val="18"/>
          <w:szCs w:val="18"/>
          <w:color w:val="auto"/>
        </w:rPr>
        <w:t>In March 2018, we paid $6,000 in earnest money to the previous owners of Paragon, which was reflected in Other non-current assets in our historical balance sheet. Therefore, the cash adjustment reflects $369,000 of cash consideration transferred of the remaining total Purchase Price of $375,000.</w:t>
      </w:r>
    </w:p>
    <w:p>
      <w:pPr>
        <w:spacing w:after="0" w:line="208" w:lineRule="exact"/>
        <w:rPr>
          <w:sz w:val="20"/>
          <w:szCs w:val="20"/>
          <w:color w:val="auto"/>
        </w:rPr>
      </w:pPr>
    </w:p>
    <w:p>
      <w:pPr>
        <w:ind w:left="460" w:right="20" w:hanging="452"/>
        <w:spacing w:after="0" w:line="255" w:lineRule="auto"/>
        <w:tabs>
          <w:tab w:leader="none" w:pos="460" w:val="left"/>
        </w:tabs>
        <w:numPr>
          <w:ilvl w:val="0"/>
          <w:numId w:val="16"/>
        </w:numPr>
        <w:rPr>
          <w:rFonts w:ascii="Arial" w:cs="Arial" w:eastAsia="Arial" w:hAnsi="Arial"/>
          <w:sz w:val="18"/>
          <w:szCs w:val="18"/>
          <w:color w:val="auto"/>
        </w:rPr>
      </w:pPr>
      <w:r>
        <w:rPr>
          <w:rFonts w:ascii="Arial" w:cs="Arial" w:eastAsia="Arial" w:hAnsi="Arial"/>
          <w:sz w:val="18"/>
          <w:szCs w:val="18"/>
          <w:i w:val="1"/>
          <w:iCs w:val="1"/>
          <w:color w:val="auto"/>
        </w:rPr>
        <w:t xml:space="preserve">Inventories - </w:t>
      </w:r>
      <w:r>
        <w:rPr>
          <w:rFonts w:ascii="Arial" w:cs="Arial" w:eastAsia="Arial" w:hAnsi="Arial"/>
          <w:sz w:val="18"/>
          <w:szCs w:val="18"/>
          <w:color w:val="auto"/>
        </w:rPr>
        <w:t>The unaudited pro forma adjustment of $3,623 to inventory represents the step-up of Paragon’s inventories balance to the preliminary</w:t>
      </w:r>
      <w:r>
        <w:rPr>
          <w:rFonts w:ascii="Arial" w:cs="Arial" w:eastAsia="Arial" w:hAnsi="Arial"/>
          <w:sz w:val="18"/>
          <w:szCs w:val="18"/>
          <w:i w:val="1"/>
          <w:iCs w:val="1"/>
          <w:color w:val="auto"/>
        </w:rPr>
        <w:t xml:space="preserve"> </w:t>
      </w:r>
      <w:r>
        <w:rPr>
          <w:rFonts w:ascii="Arial" w:cs="Arial" w:eastAsia="Arial" w:hAnsi="Arial"/>
          <w:sz w:val="18"/>
          <w:szCs w:val="18"/>
          <w:color w:val="auto"/>
        </w:rPr>
        <w:t>estimated fair value. As raw materials inventory was assumed to be at market value, the adjustment is related to work-in-process and finished goods inventory. The preliminary fair value of finished goods inventory to be acquired was determined using the gross profit percentage of the overall product mix and the estimated cost to sell the finished goods. The preliminary fair value of work-in-process inventory was determined by considering costs to complete inventory and estimated profit on these costs. The unaudited pro forma statements of operations do not reflect the impact of the increase to cost of sales of $3,623 for the estimated purchase accounting adjustment to inventories as this amount is not expected to have a continuing impact on our operations.</w:t>
      </w:r>
    </w:p>
    <w:p>
      <w:pPr>
        <w:spacing w:after="0" w:line="94" w:lineRule="exact"/>
        <w:rPr>
          <w:rFonts w:ascii="Arial" w:cs="Arial" w:eastAsia="Arial" w:hAnsi="Arial"/>
          <w:sz w:val="18"/>
          <w:szCs w:val="18"/>
          <w:color w:val="auto"/>
        </w:rPr>
      </w:pPr>
    </w:p>
    <w:p>
      <w:pPr>
        <w:ind w:left="460" w:right="80" w:hanging="452"/>
        <w:spacing w:after="0" w:line="264" w:lineRule="auto"/>
        <w:tabs>
          <w:tab w:leader="none" w:pos="460" w:val="left"/>
        </w:tabs>
        <w:numPr>
          <w:ilvl w:val="0"/>
          <w:numId w:val="16"/>
        </w:numPr>
        <w:rPr>
          <w:rFonts w:ascii="Arial" w:cs="Arial" w:eastAsia="Arial" w:hAnsi="Arial"/>
          <w:sz w:val="18"/>
          <w:szCs w:val="18"/>
          <w:color w:val="auto"/>
        </w:rPr>
      </w:pPr>
      <w:r>
        <w:rPr>
          <w:rFonts w:ascii="Arial" w:cs="Arial" w:eastAsia="Arial" w:hAnsi="Arial"/>
          <w:sz w:val="18"/>
          <w:szCs w:val="18"/>
          <w:i w:val="1"/>
          <w:iCs w:val="1"/>
          <w:color w:val="auto"/>
        </w:rPr>
        <w:t xml:space="preserve">Property, plant and equipment, net - </w:t>
      </w:r>
      <w:r>
        <w:rPr>
          <w:rFonts w:ascii="Arial" w:cs="Arial" w:eastAsia="Arial" w:hAnsi="Arial"/>
          <w:sz w:val="18"/>
          <w:szCs w:val="18"/>
          <w:color w:val="auto"/>
        </w:rPr>
        <w:t>The unaudited pro forma adjustment reflects the preliminary estimated fair value of property, plant and equipment</w:t>
      </w:r>
      <w:r>
        <w:rPr>
          <w:rFonts w:ascii="Arial" w:cs="Arial" w:eastAsia="Arial" w:hAnsi="Arial"/>
          <w:sz w:val="18"/>
          <w:szCs w:val="18"/>
          <w:i w:val="1"/>
          <w:iCs w:val="1"/>
          <w:color w:val="auto"/>
        </w:rPr>
        <w:t xml:space="preserve"> </w:t>
      </w:r>
      <w:r>
        <w:rPr>
          <w:rFonts w:ascii="Arial" w:cs="Arial" w:eastAsia="Arial" w:hAnsi="Arial"/>
          <w:sz w:val="18"/>
          <w:szCs w:val="18"/>
          <w:color w:val="auto"/>
        </w:rPr>
        <w:t>recorded in relation to the Acquisition. Refer to Note 4(b) above for details related to the estimated fair value of property, plant and equipment. The preliminary estimated amounts assigned to property, plant and equipment are as follows:</w:t>
      </w:r>
    </w:p>
    <w:p>
      <w:pPr>
        <w:spacing w:after="0" w:line="223" w:lineRule="exact"/>
        <w:rPr>
          <w:sz w:val="20"/>
          <w:szCs w:val="20"/>
          <w:color w:val="auto"/>
        </w:rPr>
      </w:pPr>
    </w:p>
    <w:tbl>
      <w:tblPr>
        <w:tblLayout w:type="fixed"/>
        <w:tblInd w:w="184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860" w:type="dxa"/>
            <w:vAlign w:val="bottom"/>
            <w:shd w:val="clear" w:color="auto" w:fill="CCEEFF"/>
          </w:tcPr>
          <w:p>
            <w:pPr>
              <w:spacing w:after="0"/>
              <w:rPr>
                <w:sz w:val="20"/>
                <w:szCs w:val="20"/>
                <w:color w:val="auto"/>
              </w:rPr>
            </w:pPr>
            <w:r>
              <w:rPr>
                <w:rFonts w:ascii="Arial" w:cs="Arial" w:eastAsia="Arial" w:hAnsi="Arial"/>
                <w:sz w:val="18"/>
                <w:szCs w:val="18"/>
                <w:color w:val="auto"/>
              </w:rPr>
              <w:t>Preliminary estimated fair value</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56,843</w:t>
            </w:r>
          </w:p>
        </w:tc>
        <w:tc>
          <w:tcPr>
            <w:tcW w:w="12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5860" w:type="dxa"/>
            <w:vAlign w:val="bottom"/>
          </w:tcPr>
          <w:p>
            <w:pPr>
              <w:spacing w:after="0"/>
              <w:rPr>
                <w:sz w:val="20"/>
                <w:szCs w:val="20"/>
                <w:color w:val="auto"/>
              </w:rPr>
            </w:pPr>
            <w:r>
              <w:rPr>
                <w:rFonts w:ascii="Arial" w:cs="Arial" w:eastAsia="Arial" w:hAnsi="Arial"/>
                <w:sz w:val="18"/>
                <w:szCs w:val="18"/>
                <w:color w:val="auto"/>
              </w:rPr>
              <w:t>Less Paragon historical book value of property and equipment, net</w:t>
            </w: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w w:val="89"/>
              </w:rPr>
              <w:t>(35,583)</w:t>
            </w:r>
          </w:p>
        </w:tc>
      </w:tr>
      <w:tr>
        <w:trPr>
          <w:trHeight w:val="216"/>
        </w:trPr>
        <w:tc>
          <w:tcPr>
            <w:tcW w:w="20" w:type="dxa"/>
            <w:vAlign w:val="bottom"/>
          </w:tcPr>
          <w:p>
            <w:pPr>
              <w:spacing w:after="0"/>
              <w:rPr>
                <w:sz w:val="18"/>
                <w:szCs w:val="18"/>
                <w:color w:val="auto"/>
              </w:rPr>
            </w:pPr>
          </w:p>
        </w:tc>
        <w:tc>
          <w:tcPr>
            <w:tcW w:w="5860" w:type="dxa"/>
            <w:vAlign w:val="bottom"/>
            <w:shd w:val="clear" w:color="auto" w:fill="CCEEFF"/>
          </w:tcPr>
          <w:p>
            <w:pPr>
              <w:spacing w:after="0"/>
              <w:rPr>
                <w:sz w:val="20"/>
                <w:szCs w:val="20"/>
                <w:color w:val="auto"/>
              </w:rPr>
            </w:pPr>
            <w:r>
              <w:rPr>
                <w:rFonts w:ascii="Arial" w:cs="Arial" w:eastAsia="Arial" w:hAnsi="Arial"/>
                <w:sz w:val="18"/>
                <w:szCs w:val="18"/>
                <w:color w:val="auto"/>
              </w:rPr>
              <w:t>Unaudited pro forma adjustment</w:t>
            </w:r>
          </w:p>
        </w:tc>
        <w:tc>
          <w:tcPr>
            <w:tcW w:w="110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21,260</w:t>
            </w:r>
          </w:p>
        </w:tc>
        <w:tc>
          <w:tcPr>
            <w:tcW w:w="12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58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42" w:lineRule="exact"/>
        <w:rPr>
          <w:sz w:val="20"/>
          <w:szCs w:val="20"/>
          <w:color w:val="auto"/>
        </w:rPr>
      </w:pPr>
    </w:p>
    <w:p>
      <w:pPr>
        <w:ind w:left="460" w:right="200" w:hanging="452"/>
        <w:spacing w:after="0" w:line="286" w:lineRule="auto"/>
        <w:tabs>
          <w:tab w:leader="none" w:pos="460" w:val="left"/>
        </w:tabs>
        <w:numPr>
          <w:ilvl w:val="0"/>
          <w:numId w:val="17"/>
        </w:numPr>
        <w:rPr>
          <w:rFonts w:ascii="Arial" w:cs="Arial" w:eastAsia="Arial" w:hAnsi="Arial"/>
          <w:sz w:val="17"/>
          <w:szCs w:val="17"/>
          <w:color w:val="auto"/>
        </w:rPr>
      </w:pPr>
      <w:r>
        <w:rPr>
          <w:rFonts w:ascii="Arial" w:cs="Arial" w:eastAsia="Arial" w:hAnsi="Arial"/>
          <w:sz w:val="17"/>
          <w:szCs w:val="17"/>
          <w:i w:val="1"/>
          <w:iCs w:val="1"/>
          <w:color w:val="auto"/>
        </w:rPr>
        <w:t xml:space="preserve">Intangible assets, net - </w:t>
      </w:r>
      <w:r>
        <w:rPr>
          <w:rFonts w:ascii="Arial" w:cs="Arial" w:eastAsia="Arial" w:hAnsi="Arial"/>
          <w:sz w:val="17"/>
          <w:szCs w:val="17"/>
          <w:color w:val="auto"/>
        </w:rPr>
        <w:t>The unaudited pro forma adjustment reflects the preliminary estimated fair value of identifiable intangible assets acquired in</w:t>
      </w:r>
      <w:r>
        <w:rPr>
          <w:rFonts w:ascii="Arial" w:cs="Arial" w:eastAsia="Arial" w:hAnsi="Arial"/>
          <w:sz w:val="17"/>
          <w:szCs w:val="17"/>
          <w:i w:val="1"/>
          <w:iCs w:val="1"/>
          <w:color w:val="auto"/>
        </w:rPr>
        <w:t xml:space="preserve"> </w:t>
      </w:r>
      <w:r>
        <w:rPr>
          <w:rFonts w:ascii="Arial" w:cs="Arial" w:eastAsia="Arial" w:hAnsi="Arial"/>
          <w:sz w:val="17"/>
          <w:szCs w:val="17"/>
          <w:color w:val="auto"/>
        </w:rPr>
        <w:t>relation to the Acquisition. Refer to Note 4(b) above for details related to the preliminary estimated fair value and related amortization expense of the intangible assets. The preliminary estimated amounts assigned to the identifiable intangible assets are as follows:</w:t>
      </w:r>
    </w:p>
    <w:p>
      <w:pPr>
        <w:spacing w:after="0" w:line="207" w:lineRule="exact"/>
        <w:rPr>
          <w:sz w:val="20"/>
          <w:szCs w:val="20"/>
          <w:color w:val="auto"/>
        </w:rPr>
      </w:pPr>
    </w:p>
    <w:tbl>
      <w:tblPr>
        <w:tblLayout w:type="fixed"/>
        <w:tblInd w:w="184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Preliminary estimated fair value</w:t>
            </w:r>
          </w:p>
        </w:tc>
        <w:tc>
          <w:tcPr>
            <w:tcW w:w="14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124,246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tcPr>
          <w:p>
            <w:pPr>
              <w:spacing w:after="0"/>
              <w:rPr>
                <w:sz w:val="20"/>
                <w:szCs w:val="20"/>
                <w:color w:val="auto"/>
              </w:rPr>
            </w:pPr>
            <w:r>
              <w:rPr>
                <w:rFonts w:ascii="Arial" w:cs="Arial" w:eastAsia="Arial" w:hAnsi="Arial"/>
                <w:sz w:val="18"/>
                <w:szCs w:val="18"/>
                <w:color w:val="auto"/>
              </w:rPr>
              <w:t>Less Paragon historical book value of intangible assets, net</w:t>
            </w: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w w:val="92"/>
              </w:rPr>
              <w:t>(48,365)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5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Unaudited pro forma adjustment</w:t>
            </w:r>
          </w:p>
        </w:tc>
        <w:tc>
          <w:tcPr>
            <w:tcW w:w="14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75,881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5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left="460" w:right="100" w:hanging="452"/>
        <w:spacing w:after="0" w:line="272" w:lineRule="auto"/>
        <w:tabs>
          <w:tab w:leader="none" w:pos="460" w:val="left"/>
        </w:tabs>
        <w:numPr>
          <w:ilvl w:val="0"/>
          <w:numId w:val="18"/>
        </w:numPr>
        <w:rPr>
          <w:rFonts w:ascii="Arial" w:cs="Arial" w:eastAsia="Arial" w:hAnsi="Arial"/>
          <w:sz w:val="17"/>
          <w:szCs w:val="17"/>
          <w:color w:val="auto"/>
        </w:rPr>
      </w:pPr>
      <w:r>
        <w:rPr>
          <w:rFonts w:ascii="Arial" w:cs="Arial" w:eastAsia="Arial" w:hAnsi="Arial"/>
          <w:sz w:val="17"/>
          <w:szCs w:val="17"/>
          <w:i w:val="1"/>
          <w:iCs w:val="1"/>
          <w:color w:val="auto"/>
        </w:rPr>
        <w:t xml:space="preserve">Goodwill - </w:t>
      </w:r>
      <w:r>
        <w:rPr>
          <w:rFonts w:ascii="Arial" w:cs="Arial" w:eastAsia="Arial" w:hAnsi="Arial"/>
          <w:sz w:val="17"/>
          <w:szCs w:val="17"/>
          <w:color w:val="auto"/>
        </w:rPr>
        <w:t>The unaudited pro forma adjustment reflects the preliminary estimated adjustment to goodwill as a result of the Acquisition. Goodwill</w:t>
      </w:r>
      <w:r>
        <w:rPr>
          <w:rFonts w:ascii="Arial" w:cs="Arial" w:eastAsia="Arial" w:hAnsi="Arial"/>
          <w:sz w:val="17"/>
          <w:szCs w:val="17"/>
          <w:i w:val="1"/>
          <w:iCs w:val="1"/>
          <w:color w:val="auto"/>
        </w:rPr>
        <w:t xml:space="preserve"> </w:t>
      </w:r>
      <w:r>
        <w:rPr>
          <w:rFonts w:ascii="Arial" w:cs="Arial" w:eastAsia="Arial" w:hAnsi="Arial"/>
          <w:sz w:val="17"/>
          <w:szCs w:val="17"/>
          <w:color w:val="auto"/>
        </w:rPr>
        <w:t>represents the excess of the consideration transferred over the preliminary fair value of the assets acquired and liabilities assumed as described in Note 3 above. The goodwill will not be amortized, but instead will be tested for impairment at least annually and whenever events or circumstances have occurred that may indicate a possible impairment exists. In the event management determines that the value of goodwill has become impaired, we will incur an accounting charge for the amount of the impairment during the period in which the determination is made. The goodwill is attributable to the expected synergies from raw material cost and procurement savings, manufacturing and supply chain process efficiency improvements and cost reductions across a larger business and increased revenues from access to</w:t>
      </w:r>
    </w:p>
    <w:p>
      <w:pPr>
        <w:spacing w:after="0" w:line="11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00"/>
          </w:cols>
          <w:pgMar w:left="240" w:top="274" w:right="259" w:bottom="1440" w:gutter="0" w:footer="0" w:header="0"/>
        </w:sectPr>
      </w:pPr>
    </w:p>
    <w:bookmarkStart w:id="48" w:name="page49"/>
    <w:bookmarkEnd w:id="48"/>
    <w:p>
      <w:pPr>
        <w:ind w:left="452" w:right="34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strategically important end markets. The goodwill is not expected to be deductible for tax purposes. The preliminary estimated unaudited pro forma adjustment to goodwill is calculated as follows:</w:t>
      </w:r>
    </w:p>
    <w:p>
      <w:pPr>
        <w:spacing w:after="0" w:line="212" w:lineRule="exact"/>
        <w:rPr>
          <w:sz w:val="20"/>
          <w:szCs w:val="20"/>
          <w:color w:val="auto"/>
        </w:rPr>
      </w:pPr>
    </w:p>
    <w:tbl>
      <w:tblPr>
        <w:tblLayout w:type="fixed"/>
        <w:tblInd w:w="1832"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Preliminary purchase price at March 31, 2018</w:t>
            </w:r>
          </w:p>
        </w:tc>
        <w:tc>
          <w:tcPr>
            <w:tcW w:w="2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$ 375,000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tcPr>
          <w:p>
            <w:pPr>
              <w:spacing w:after="0"/>
              <w:rPr>
                <w:sz w:val="20"/>
                <w:szCs w:val="20"/>
                <w:color w:val="auto"/>
              </w:rPr>
            </w:pPr>
            <w:r>
              <w:rPr>
                <w:rFonts w:ascii="Arial" w:cs="Arial" w:eastAsia="Arial" w:hAnsi="Arial"/>
                <w:sz w:val="18"/>
                <w:szCs w:val="18"/>
                <w:color w:val="auto"/>
              </w:rPr>
              <w:t>Less: Fair value of net assets to be acquired</w:t>
            </w:r>
          </w:p>
        </w:tc>
        <w:tc>
          <w:tcPr>
            <w:tcW w:w="1800" w:type="dxa"/>
            <w:vAlign w:val="bottom"/>
          </w:tcPr>
          <w:p>
            <w:pPr>
              <w:spacing w:after="0"/>
              <w:rPr>
                <w:sz w:val="18"/>
                <w:szCs w:val="18"/>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(186,874)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080" w:type="dxa"/>
            <w:vAlign w:val="bottom"/>
          </w:tcPr>
          <w:p>
            <w:pPr>
              <w:spacing w:after="0"/>
              <w:rPr>
                <w:sz w:val="2"/>
                <w:szCs w:val="2"/>
                <w:color w:val="auto"/>
              </w:rPr>
            </w:pPr>
          </w:p>
        </w:tc>
        <w:tc>
          <w:tcPr>
            <w:tcW w:w="180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Total estimated goodwill</w:t>
            </w:r>
          </w:p>
        </w:tc>
        <w:tc>
          <w:tcPr>
            <w:tcW w:w="2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$ 188,126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tcPr>
          <w:p>
            <w:pPr>
              <w:spacing w:after="0"/>
              <w:rPr>
                <w:sz w:val="20"/>
                <w:szCs w:val="20"/>
                <w:color w:val="auto"/>
              </w:rPr>
            </w:pPr>
            <w:r>
              <w:rPr>
                <w:rFonts w:ascii="Arial" w:cs="Arial" w:eastAsia="Arial" w:hAnsi="Arial"/>
                <w:sz w:val="18"/>
                <w:szCs w:val="18"/>
                <w:color w:val="auto"/>
              </w:rPr>
              <w:t>Less: Paragon goodwill</w:t>
            </w:r>
          </w:p>
        </w:tc>
        <w:tc>
          <w:tcPr>
            <w:tcW w:w="1800" w:type="dxa"/>
            <w:vAlign w:val="bottom"/>
          </w:tcPr>
          <w:p>
            <w:pPr>
              <w:spacing w:after="0"/>
              <w:rPr>
                <w:sz w:val="18"/>
                <w:szCs w:val="18"/>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(49,946)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080" w:type="dxa"/>
            <w:vAlign w:val="bottom"/>
          </w:tcPr>
          <w:p>
            <w:pPr>
              <w:spacing w:after="0"/>
              <w:rPr>
                <w:sz w:val="2"/>
                <w:szCs w:val="2"/>
                <w:color w:val="auto"/>
              </w:rPr>
            </w:pPr>
          </w:p>
        </w:tc>
        <w:tc>
          <w:tcPr>
            <w:tcW w:w="180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Unaudited pro forma adjustment</w:t>
            </w:r>
          </w:p>
        </w:tc>
        <w:tc>
          <w:tcPr>
            <w:tcW w:w="2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$ 138,180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8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left="452" w:hanging="452"/>
        <w:spacing w:after="0"/>
        <w:tabs>
          <w:tab w:leader="none" w:pos="452" w:val="left"/>
        </w:tabs>
        <w:numPr>
          <w:ilvl w:val="0"/>
          <w:numId w:val="19"/>
        </w:numPr>
        <w:rPr>
          <w:rFonts w:ascii="Arial" w:cs="Arial" w:eastAsia="Arial" w:hAnsi="Arial"/>
          <w:sz w:val="18"/>
          <w:szCs w:val="18"/>
          <w:color w:val="auto"/>
        </w:rPr>
      </w:pPr>
      <w:r>
        <w:rPr>
          <w:rFonts w:ascii="Arial" w:cs="Arial" w:eastAsia="Arial" w:hAnsi="Arial"/>
          <w:sz w:val="18"/>
          <w:szCs w:val="18"/>
          <w:i w:val="1"/>
          <w:iCs w:val="1"/>
          <w:color w:val="auto"/>
        </w:rPr>
        <w:t xml:space="preserve">Other non-current assets - </w:t>
      </w:r>
      <w:r>
        <w:rPr>
          <w:rFonts w:ascii="Arial" w:cs="Arial" w:eastAsia="Arial" w:hAnsi="Arial"/>
          <w:sz w:val="18"/>
          <w:szCs w:val="18"/>
          <w:color w:val="auto"/>
        </w:rPr>
        <w:t>The unaudited pro forma adjustment to Other non-current assets is comprised of the following adjustments:</w:t>
      </w:r>
    </w:p>
    <w:p>
      <w:pPr>
        <w:spacing w:after="0" w:line="267" w:lineRule="exact"/>
        <w:rPr>
          <w:sz w:val="20"/>
          <w:szCs w:val="20"/>
          <w:color w:val="auto"/>
        </w:rPr>
      </w:pPr>
    </w:p>
    <w:tbl>
      <w:tblPr>
        <w:tblLayout w:type="fixed"/>
        <w:tblInd w:w="1832"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280" w:type="dxa"/>
            <w:vAlign w:val="bottom"/>
            <w:shd w:val="clear" w:color="auto" w:fill="CCEEFF"/>
          </w:tcPr>
          <w:p>
            <w:pPr>
              <w:spacing w:after="0"/>
              <w:rPr>
                <w:sz w:val="20"/>
                <w:szCs w:val="20"/>
                <w:color w:val="auto"/>
              </w:rPr>
            </w:pPr>
            <w:r>
              <w:rPr>
                <w:rFonts w:ascii="Arial" w:cs="Arial" w:eastAsia="Arial" w:hAnsi="Arial"/>
                <w:sz w:val="18"/>
                <w:szCs w:val="18"/>
                <w:color w:val="auto"/>
              </w:rPr>
              <w:t>Prepaid representation &amp; warranties insurance premium</w:t>
            </w: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tcPr>
          <w:p>
            <w:pPr>
              <w:spacing w:after="0"/>
              <w:rPr>
                <w:sz w:val="20"/>
                <w:szCs w:val="20"/>
                <w:color w:val="auto"/>
              </w:rPr>
            </w:pPr>
            <w:r>
              <w:rPr>
                <w:rFonts w:ascii="Arial" w:cs="Arial" w:eastAsia="Arial" w:hAnsi="Arial"/>
                <w:sz w:val="18"/>
                <w:szCs w:val="18"/>
                <w:color w:val="auto"/>
              </w:rPr>
              <w:t>Cash paid for earnest money</w:t>
            </w: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right"/>
              <w:ind w:right="60"/>
              <w:spacing w:after="0"/>
              <w:rPr>
                <w:sz w:val="20"/>
                <w:szCs w:val="20"/>
                <w:color w:val="auto"/>
              </w:rPr>
            </w:pPr>
            <w:r>
              <w:rPr>
                <w:rFonts w:ascii="Arial" w:cs="Arial" w:eastAsia="Arial" w:hAnsi="Arial"/>
                <w:sz w:val="18"/>
                <w:szCs w:val="18"/>
                <w:color w:val="auto"/>
                <w:w w:val="87"/>
              </w:rPr>
              <w:t>(6,000)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shd w:val="clear" w:color="auto" w:fill="CCEEFF"/>
          </w:tcPr>
          <w:p>
            <w:pPr>
              <w:spacing w:after="0"/>
              <w:rPr>
                <w:sz w:val="20"/>
                <w:szCs w:val="20"/>
                <w:color w:val="auto"/>
              </w:rPr>
            </w:pPr>
            <w:r>
              <w:rPr>
                <w:rFonts w:ascii="Arial" w:cs="Arial" w:eastAsia="Arial" w:hAnsi="Arial"/>
                <w:sz w:val="18"/>
                <w:szCs w:val="18"/>
                <w:color w:val="auto"/>
              </w:rPr>
              <w:t>Less: Reclass of cash surrender value of life insurance to other current assets</w:t>
            </w: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7"/>
              </w:rPr>
              <w:t>(2,598)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tcPr>
          <w:p>
            <w:pPr>
              <w:spacing w:after="0"/>
              <w:rPr>
                <w:sz w:val="20"/>
                <w:szCs w:val="20"/>
                <w:color w:val="auto"/>
              </w:rPr>
            </w:pPr>
            <w:r>
              <w:rPr>
                <w:rFonts w:ascii="Arial" w:cs="Arial" w:eastAsia="Arial" w:hAnsi="Arial"/>
                <w:sz w:val="18"/>
                <w:szCs w:val="18"/>
                <w:color w:val="auto"/>
              </w:rPr>
              <w:t>Less: Notes receivable settled at closing</w:t>
            </w: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right"/>
              <w:ind w:right="60"/>
              <w:spacing w:after="0"/>
              <w:rPr>
                <w:sz w:val="20"/>
                <w:szCs w:val="20"/>
                <w:color w:val="auto"/>
              </w:rPr>
            </w:pPr>
            <w:r>
              <w:rPr>
                <w:rFonts w:ascii="Arial" w:cs="Arial" w:eastAsia="Arial" w:hAnsi="Arial"/>
                <w:sz w:val="18"/>
                <w:szCs w:val="18"/>
                <w:color w:val="auto"/>
              </w:rPr>
              <w:t>(600)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2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280" w:type="dxa"/>
            <w:vAlign w:val="bottom"/>
            <w:shd w:val="clear" w:color="auto" w:fill="CCEEFF"/>
          </w:tcPr>
          <w:p>
            <w:pPr>
              <w:spacing w:after="0"/>
              <w:rPr>
                <w:sz w:val="20"/>
                <w:szCs w:val="20"/>
                <w:color w:val="auto"/>
              </w:rPr>
            </w:pPr>
            <w:r>
              <w:rPr>
                <w:rFonts w:ascii="Arial" w:cs="Arial" w:eastAsia="Arial" w:hAnsi="Arial"/>
                <w:sz w:val="18"/>
                <w:szCs w:val="18"/>
                <w:color w:val="auto"/>
              </w:rPr>
              <w:t>Unaudited pro forma adjustment</w:t>
            </w: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7"/>
              </w:rPr>
              <w:t>(8,204)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452" w:right="100" w:firstLine="438"/>
        <w:spacing w:after="0" w:line="254" w:lineRule="auto"/>
        <w:rPr>
          <w:sz w:val="20"/>
          <w:szCs w:val="20"/>
          <w:color w:val="auto"/>
        </w:rPr>
      </w:pPr>
      <w:r>
        <w:rPr>
          <w:rFonts w:ascii="Arial" w:cs="Arial" w:eastAsia="Arial" w:hAnsi="Arial"/>
          <w:sz w:val="18"/>
          <w:szCs w:val="18"/>
          <w:color w:val="auto"/>
        </w:rPr>
        <w:t>This adjustment includes $994 of prepaid insurance premiums for representation and warranties insurance described in Note 4(a) above. As discussed in Note 4(f) above, Other non-current assets historically reflected $6,000 that was paid in March 2018 for earnest money related to the Transaction, therefore the adjustment to Other non-current assets reflects the removal of this amount. Additionally, this adjustment includes $2,598 representing the cash surrender value of a life insurance policy recorded by Paragon in Other non-current assets. As of the date hereof, management estimates that the assets will be liquidated within 12 months; therefore, NN reclassified the amount from other non-current assets to Other current assets. The adjustment also includes a $600 reduction of employee notes receivable which was repaid before closing in accordance with the SPA. The offset to this $600 reduction of employee notes receivable was reflected in the adjustment for Paragon’s historical equity balances as discussed in Note 4(o) below.</w:t>
      </w:r>
    </w:p>
    <w:p>
      <w:pPr>
        <w:spacing w:after="0" w:line="219" w:lineRule="exact"/>
        <w:rPr>
          <w:sz w:val="20"/>
          <w:szCs w:val="20"/>
          <w:color w:val="auto"/>
        </w:rPr>
      </w:pPr>
    </w:p>
    <w:p>
      <w:pPr>
        <w:ind w:left="452" w:hanging="452"/>
        <w:spacing w:after="0" w:line="290" w:lineRule="auto"/>
        <w:tabs>
          <w:tab w:leader="none" w:pos="452" w:val="left"/>
        </w:tabs>
        <w:numPr>
          <w:ilvl w:val="0"/>
          <w:numId w:val="20"/>
        </w:numPr>
        <w:rPr>
          <w:rFonts w:ascii="Arial" w:cs="Arial" w:eastAsia="Arial" w:hAnsi="Arial"/>
          <w:sz w:val="16"/>
          <w:szCs w:val="16"/>
          <w:color w:val="auto"/>
        </w:rPr>
      </w:pPr>
      <w:r>
        <w:rPr>
          <w:rFonts w:ascii="Arial" w:cs="Arial" w:eastAsia="Arial" w:hAnsi="Arial"/>
          <w:sz w:val="16"/>
          <w:szCs w:val="16"/>
          <w:i w:val="1"/>
          <w:iCs w:val="1"/>
          <w:color w:val="auto"/>
        </w:rPr>
        <w:t xml:space="preserve">Deferred tax liabilities – </w:t>
      </w:r>
      <w:r>
        <w:rPr>
          <w:rFonts w:ascii="Arial" w:cs="Arial" w:eastAsia="Arial" w:hAnsi="Arial"/>
          <w:sz w:val="16"/>
          <w:szCs w:val="16"/>
          <w:color w:val="auto"/>
        </w:rPr>
        <w:t>Deferred tax liabilities includes an unaudited pro forma adjustment that reflects the change in net deferred tax liabilities arising</w:t>
      </w:r>
      <w:r>
        <w:rPr>
          <w:rFonts w:ascii="Arial" w:cs="Arial" w:eastAsia="Arial" w:hAnsi="Arial"/>
          <w:sz w:val="16"/>
          <w:szCs w:val="16"/>
          <w:i w:val="1"/>
          <w:iCs w:val="1"/>
          <w:color w:val="auto"/>
        </w:rPr>
        <w:t xml:space="preserve"> </w:t>
      </w:r>
      <w:r>
        <w:rPr>
          <w:rFonts w:ascii="Arial" w:cs="Arial" w:eastAsia="Arial" w:hAnsi="Arial"/>
          <w:sz w:val="16"/>
          <w:szCs w:val="16"/>
          <w:color w:val="auto"/>
        </w:rPr>
        <w:t>from preliminary estimated fair value adjustments to Paragon’s assets to be acquired and liabilities to be assumed by us in the Acquisition. Deferred income taxes arising from the preliminary estimated fair value adjustments for acquired inventory; property, plant and equipment; and intangible assets have been calculated by applying the statutory U.S. tax rate of 21% to the related fair value adjustments. The 21% tax rate considers the applicable law in effect on March 31, 2018, inclusive of the effects of the Tax Cuts and Jobs Act of 2017 (“Tax Act”) which was signed into law on December 22, 2017. The Tax Act requires companies to recognize the effects of changes in tax laws and rates on deferred tax assets and liabilities and the retroactive effects of changes in tax laws in the period in which the new legislation is enacted. Note that the pro forma impact on the statements of operations, discussed in Note 4(d) of this filing, applies a 35% tax rate for the year ended December 31, 2017, because the new tax rate was not effective in 2017.</w:t>
      </w:r>
    </w:p>
    <w:p>
      <w:pPr>
        <w:spacing w:after="0" w:line="172" w:lineRule="exact"/>
        <w:rPr>
          <w:sz w:val="20"/>
          <w:szCs w:val="20"/>
          <w:color w:val="auto"/>
        </w:rPr>
      </w:pPr>
    </w:p>
    <w:tbl>
      <w:tblPr>
        <w:tblLayout w:type="fixed"/>
        <w:tblInd w:w="1372" w:type="dxa"/>
        <w:tblCellMar>
          <w:top w:w="0" w:type="dxa"/>
          <w:left w:w="0" w:type="dxa"/>
          <w:bottom w:w="0" w:type="dxa"/>
          <w:right w:w="0" w:type="dxa"/>
        </w:tblCellMar>
      </w:tblPr>
      <w:tr>
        <w:trPr>
          <w:trHeight w:val="161"/>
        </w:trPr>
        <w:tc>
          <w:tcPr>
            <w:tcW w:w="5780" w:type="dxa"/>
            <w:vAlign w:val="bottom"/>
          </w:tcPr>
          <w:p>
            <w:pPr>
              <w:spacing w:after="0"/>
              <w:rPr>
                <w:sz w:val="14"/>
                <w:szCs w:val="14"/>
                <w:color w:val="auto"/>
              </w:rPr>
            </w:pPr>
          </w:p>
        </w:tc>
        <w:tc>
          <w:tcPr>
            <w:tcW w:w="2020" w:type="dxa"/>
            <w:vAlign w:val="bottom"/>
            <w:gridSpan w:val="2"/>
          </w:tcPr>
          <w:p>
            <w:pPr>
              <w:jc w:val="right"/>
              <w:ind w:right="610"/>
              <w:spacing w:after="0"/>
              <w:rPr>
                <w:sz w:val="20"/>
                <w:szCs w:val="20"/>
                <w:color w:val="auto"/>
              </w:rPr>
            </w:pPr>
            <w:r>
              <w:rPr>
                <w:rFonts w:ascii="Arial" w:cs="Arial" w:eastAsia="Arial" w:hAnsi="Arial"/>
                <w:sz w:val="14"/>
                <w:szCs w:val="14"/>
                <w:b w:val="1"/>
                <w:bCs w:val="1"/>
                <w:color w:val="auto"/>
              </w:rPr>
              <w:t>Adjustment to</w:t>
            </w:r>
          </w:p>
        </w:tc>
        <w:tc>
          <w:tcPr>
            <w:tcW w:w="880" w:type="dxa"/>
            <w:vAlign w:val="bottom"/>
            <w:gridSpan w:val="4"/>
          </w:tcPr>
          <w:p>
            <w:pPr>
              <w:jc w:val="center"/>
              <w:ind w:right="60"/>
              <w:spacing w:after="0"/>
              <w:rPr>
                <w:sz w:val="20"/>
                <w:szCs w:val="20"/>
                <w:color w:val="auto"/>
              </w:rPr>
            </w:pPr>
            <w:r>
              <w:rPr>
                <w:rFonts w:ascii="Arial" w:cs="Arial" w:eastAsia="Arial" w:hAnsi="Arial"/>
                <w:sz w:val="14"/>
                <w:szCs w:val="14"/>
                <w:b w:val="1"/>
                <w:bCs w:val="1"/>
                <w:color w:val="auto"/>
                <w:w w:val="95"/>
              </w:rPr>
              <w:t>Deferred Tax</w:t>
            </w:r>
          </w:p>
        </w:tc>
      </w:tr>
      <w:tr>
        <w:trPr>
          <w:trHeight w:val="171"/>
        </w:trPr>
        <w:tc>
          <w:tcPr>
            <w:tcW w:w="5780" w:type="dxa"/>
            <w:vAlign w:val="bottom"/>
          </w:tcPr>
          <w:p>
            <w:pPr>
              <w:spacing w:after="0"/>
              <w:rPr>
                <w:sz w:val="14"/>
                <w:szCs w:val="14"/>
                <w:color w:val="auto"/>
              </w:rPr>
            </w:pPr>
          </w:p>
        </w:tc>
        <w:tc>
          <w:tcPr>
            <w:tcW w:w="2020" w:type="dxa"/>
            <w:vAlign w:val="bottom"/>
            <w:gridSpan w:val="2"/>
          </w:tcPr>
          <w:p>
            <w:pPr>
              <w:ind w:left="420"/>
              <w:spacing w:after="0"/>
              <w:rPr>
                <w:sz w:val="20"/>
                <w:szCs w:val="20"/>
                <w:color w:val="auto"/>
              </w:rPr>
            </w:pPr>
            <w:r>
              <w:rPr>
                <w:rFonts w:ascii="Arial" w:cs="Arial" w:eastAsia="Arial" w:hAnsi="Arial"/>
                <w:sz w:val="14"/>
                <w:szCs w:val="14"/>
                <w:b w:val="1"/>
                <w:bCs w:val="1"/>
                <w:color w:val="auto"/>
              </w:rPr>
              <w:t>Asset Acquired</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rPr>
              <w:t>Liability</w:t>
            </w:r>
          </w:p>
        </w:tc>
      </w:tr>
      <w:tr>
        <w:trPr>
          <w:trHeight w:val="216"/>
        </w:trPr>
        <w:tc>
          <w:tcPr>
            <w:tcW w:w="5780" w:type="dxa"/>
            <w:vAlign w:val="bottom"/>
            <w:shd w:val="clear" w:color="auto" w:fill="CCEEFF"/>
          </w:tcPr>
          <w:p>
            <w:pPr>
              <w:spacing w:after="0"/>
              <w:rPr>
                <w:sz w:val="20"/>
                <w:szCs w:val="20"/>
                <w:color w:val="auto"/>
              </w:rPr>
            </w:pPr>
            <w:r>
              <w:rPr>
                <w:rFonts w:ascii="Arial" w:cs="Arial" w:eastAsia="Arial" w:hAnsi="Arial"/>
                <w:sz w:val="18"/>
                <w:szCs w:val="18"/>
                <w:color w:val="auto"/>
              </w:rPr>
              <w:t>Estimated fair value adjustment of identifiable intangible assets acquired</w:t>
            </w:r>
          </w:p>
        </w:tc>
        <w:tc>
          <w:tcPr>
            <w:tcW w:w="6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ind w:right="590"/>
              <w:spacing w:after="0"/>
              <w:rPr>
                <w:sz w:val="20"/>
                <w:szCs w:val="20"/>
                <w:color w:val="auto"/>
              </w:rPr>
            </w:pPr>
            <w:r>
              <w:rPr>
                <w:rFonts w:ascii="Arial" w:cs="Arial" w:eastAsia="Arial" w:hAnsi="Arial"/>
                <w:sz w:val="18"/>
                <w:szCs w:val="18"/>
                <w:color w:val="auto"/>
              </w:rPr>
              <w:t>75,881</w:t>
            </w: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15,935</w:t>
            </w:r>
          </w:p>
        </w:tc>
        <w:tc>
          <w:tcPr>
            <w:tcW w:w="60" w:type="dxa"/>
            <w:vAlign w:val="bottom"/>
            <w:shd w:val="clear" w:color="auto" w:fill="CCEEFF"/>
          </w:tcPr>
          <w:p>
            <w:pPr>
              <w:spacing w:after="0"/>
              <w:rPr>
                <w:sz w:val="18"/>
                <w:szCs w:val="18"/>
                <w:color w:val="auto"/>
              </w:rPr>
            </w:pPr>
          </w:p>
        </w:tc>
      </w:tr>
      <w:tr>
        <w:trPr>
          <w:trHeight w:val="216"/>
        </w:trPr>
        <w:tc>
          <w:tcPr>
            <w:tcW w:w="5780" w:type="dxa"/>
            <w:vAlign w:val="bottom"/>
          </w:tcPr>
          <w:p>
            <w:pPr>
              <w:spacing w:after="0"/>
              <w:rPr>
                <w:sz w:val="20"/>
                <w:szCs w:val="20"/>
                <w:color w:val="auto"/>
              </w:rPr>
            </w:pPr>
            <w:r>
              <w:rPr>
                <w:rFonts w:ascii="Arial" w:cs="Arial" w:eastAsia="Arial" w:hAnsi="Arial"/>
                <w:sz w:val="18"/>
                <w:szCs w:val="18"/>
                <w:color w:val="auto"/>
              </w:rPr>
              <w:t>Estimated fair value adjustment to inventory</w:t>
            </w:r>
          </w:p>
        </w:tc>
        <w:tc>
          <w:tcPr>
            <w:tcW w:w="680" w:type="dxa"/>
            <w:vAlign w:val="bottom"/>
          </w:tcPr>
          <w:p>
            <w:pPr>
              <w:spacing w:after="0"/>
              <w:rPr>
                <w:sz w:val="18"/>
                <w:szCs w:val="18"/>
                <w:color w:val="auto"/>
              </w:rPr>
            </w:pPr>
          </w:p>
        </w:tc>
        <w:tc>
          <w:tcPr>
            <w:tcW w:w="1340" w:type="dxa"/>
            <w:vAlign w:val="bottom"/>
          </w:tcPr>
          <w:p>
            <w:pPr>
              <w:jc w:val="right"/>
              <w:ind w:right="590"/>
              <w:spacing w:after="0"/>
              <w:rPr>
                <w:sz w:val="20"/>
                <w:szCs w:val="20"/>
                <w:color w:val="auto"/>
              </w:rPr>
            </w:pPr>
            <w:r>
              <w:rPr>
                <w:rFonts w:ascii="Arial" w:cs="Arial" w:eastAsia="Arial" w:hAnsi="Arial"/>
                <w:sz w:val="18"/>
                <w:szCs w:val="18"/>
                <w:color w:val="auto"/>
              </w:rPr>
              <w:t>3,623</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761</w:t>
            </w:r>
          </w:p>
        </w:tc>
        <w:tc>
          <w:tcPr>
            <w:tcW w:w="60" w:type="dxa"/>
            <w:vAlign w:val="bottom"/>
          </w:tcPr>
          <w:p>
            <w:pPr>
              <w:spacing w:after="0"/>
              <w:rPr>
                <w:sz w:val="18"/>
                <w:szCs w:val="18"/>
                <w:color w:val="auto"/>
              </w:rPr>
            </w:pPr>
          </w:p>
        </w:tc>
      </w:tr>
      <w:tr>
        <w:trPr>
          <w:trHeight w:val="216"/>
        </w:trPr>
        <w:tc>
          <w:tcPr>
            <w:tcW w:w="5780" w:type="dxa"/>
            <w:vAlign w:val="bottom"/>
            <w:shd w:val="clear" w:color="auto" w:fill="CCEEFF"/>
          </w:tcPr>
          <w:p>
            <w:pPr>
              <w:spacing w:after="0"/>
              <w:rPr>
                <w:sz w:val="20"/>
                <w:szCs w:val="20"/>
                <w:color w:val="auto"/>
              </w:rPr>
            </w:pPr>
            <w:r>
              <w:rPr>
                <w:rFonts w:ascii="Arial" w:cs="Arial" w:eastAsia="Arial" w:hAnsi="Arial"/>
                <w:sz w:val="18"/>
                <w:szCs w:val="18"/>
                <w:color w:val="auto"/>
                <w:w w:val="97"/>
              </w:rPr>
              <w:t>Estimated fair value adjustment of property, plant and equipment acquired</w:t>
            </w:r>
          </w:p>
        </w:tc>
        <w:tc>
          <w:tcPr>
            <w:tcW w:w="680" w:type="dxa"/>
            <w:vAlign w:val="bottom"/>
            <w:shd w:val="clear" w:color="auto" w:fill="CCEEFF"/>
          </w:tcPr>
          <w:p>
            <w:pPr>
              <w:spacing w:after="0"/>
              <w:rPr>
                <w:sz w:val="18"/>
                <w:szCs w:val="18"/>
                <w:color w:val="auto"/>
              </w:rPr>
            </w:pPr>
          </w:p>
        </w:tc>
        <w:tc>
          <w:tcPr>
            <w:tcW w:w="1340" w:type="dxa"/>
            <w:vAlign w:val="bottom"/>
            <w:shd w:val="clear" w:color="auto" w:fill="CCEEFF"/>
          </w:tcPr>
          <w:p>
            <w:pPr>
              <w:jc w:val="right"/>
              <w:ind w:right="590"/>
              <w:spacing w:after="0"/>
              <w:rPr>
                <w:sz w:val="20"/>
                <w:szCs w:val="20"/>
                <w:color w:val="auto"/>
              </w:rPr>
            </w:pPr>
            <w:r>
              <w:rPr>
                <w:rFonts w:ascii="Arial" w:cs="Arial" w:eastAsia="Arial" w:hAnsi="Arial"/>
                <w:sz w:val="18"/>
                <w:szCs w:val="18"/>
                <w:color w:val="auto"/>
              </w:rPr>
              <w:t>21,260</w:t>
            </w:r>
          </w:p>
        </w:tc>
        <w:tc>
          <w:tcPr>
            <w:tcW w:w="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4,465</w:t>
            </w:r>
          </w:p>
        </w:tc>
        <w:tc>
          <w:tcPr>
            <w:tcW w:w="60" w:type="dxa"/>
            <w:vAlign w:val="bottom"/>
            <w:shd w:val="clear" w:color="auto" w:fill="CCEEFF"/>
          </w:tcPr>
          <w:p>
            <w:pPr>
              <w:spacing w:after="0"/>
              <w:rPr>
                <w:sz w:val="18"/>
                <w:szCs w:val="18"/>
                <w:color w:val="auto"/>
              </w:rPr>
            </w:pPr>
          </w:p>
        </w:tc>
      </w:tr>
      <w:tr>
        <w:trPr>
          <w:trHeight w:val="223"/>
        </w:trPr>
        <w:tc>
          <w:tcPr>
            <w:tcW w:w="5780" w:type="dxa"/>
            <w:vAlign w:val="bottom"/>
          </w:tcPr>
          <w:p>
            <w:pPr>
              <w:spacing w:after="0"/>
              <w:rPr>
                <w:sz w:val="20"/>
                <w:szCs w:val="20"/>
                <w:color w:val="auto"/>
              </w:rPr>
            </w:pPr>
            <w:r>
              <w:rPr>
                <w:rFonts w:ascii="Arial" w:cs="Arial" w:eastAsia="Arial" w:hAnsi="Arial"/>
                <w:sz w:val="18"/>
                <w:szCs w:val="18"/>
                <w:color w:val="auto"/>
              </w:rPr>
              <w:t>Deferred tax liabilities related to estimated fair value adjustments</w:t>
            </w:r>
          </w:p>
        </w:tc>
        <w:tc>
          <w:tcPr>
            <w:tcW w:w="6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21,161</w:t>
            </w:r>
          </w:p>
        </w:tc>
        <w:tc>
          <w:tcPr>
            <w:tcW w:w="60" w:type="dxa"/>
            <w:vAlign w:val="bottom"/>
          </w:tcPr>
          <w:p>
            <w:pPr>
              <w:spacing w:after="0"/>
              <w:rPr>
                <w:sz w:val="19"/>
                <w:szCs w:val="19"/>
                <w:color w:val="auto"/>
              </w:rPr>
            </w:pPr>
          </w:p>
        </w:tc>
      </w:tr>
      <w:tr>
        <w:trPr>
          <w:trHeight w:val="20"/>
        </w:trPr>
        <w:tc>
          <w:tcPr>
            <w:tcW w:w="57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42" w:lineRule="exact"/>
        <w:rPr>
          <w:sz w:val="20"/>
          <w:szCs w:val="20"/>
          <w:color w:val="auto"/>
        </w:rPr>
      </w:pPr>
    </w:p>
    <w:p>
      <w:pPr>
        <w:ind w:left="452" w:right="20" w:hanging="452"/>
        <w:spacing w:after="0" w:line="276" w:lineRule="auto"/>
        <w:tabs>
          <w:tab w:leader="none" w:pos="452" w:val="left"/>
        </w:tabs>
        <w:numPr>
          <w:ilvl w:val="0"/>
          <w:numId w:val="21"/>
        </w:numPr>
        <w:rPr>
          <w:rFonts w:ascii="Arial" w:cs="Arial" w:eastAsia="Arial" w:hAnsi="Arial"/>
          <w:sz w:val="17"/>
          <w:szCs w:val="17"/>
          <w:color w:val="auto"/>
        </w:rPr>
      </w:pPr>
      <w:r>
        <w:rPr>
          <w:rFonts w:ascii="Arial" w:cs="Arial" w:eastAsia="Arial" w:hAnsi="Arial"/>
          <w:sz w:val="17"/>
          <w:szCs w:val="17"/>
          <w:i w:val="1"/>
          <w:iCs w:val="1"/>
          <w:color w:val="auto"/>
        </w:rPr>
        <w:t xml:space="preserve">Long-term debt - </w:t>
      </w:r>
      <w:r>
        <w:rPr>
          <w:rFonts w:ascii="Arial" w:cs="Arial" w:eastAsia="Arial" w:hAnsi="Arial"/>
          <w:sz w:val="17"/>
          <w:szCs w:val="17"/>
          <w:color w:val="auto"/>
        </w:rPr>
        <w:t>In connection with the Acquisition, we entered into the Second Lien Credit Facility for an amount of $200,000. The Second Lien</w:t>
      </w:r>
      <w:r>
        <w:rPr>
          <w:rFonts w:ascii="Arial" w:cs="Arial" w:eastAsia="Arial" w:hAnsi="Arial"/>
          <w:sz w:val="17"/>
          <w:szCs w:val="17"/>
          <w:i w:val="1"/>
          <w:iCs w:val="1"/>
          <w:color w:val="auto"/>
        </w:rPr>
        <w:t xml:space="preserve"> </w:t>
      </w:r>
      <w:r>
        <w:rPr>
          <w:rFonts w:ascii="Arial" w:cs="Arial" w:eastAsia="Arial" w:hAnsi="Arial"/>
          <w:sz w:val="17"/>
          <w:szCs w:val="17"/>
          <w:color w:val="auto"/>
        </w:rPr>
        <w:t>Credit Facility matures on April 19, 2023, with outstanding principal due upon maturity. As such, we included the entire $200,000 in the long-term debt caption. To obtain the loan, we incurred $2,800 original issue discount and $3,003 debt issuance costs, which were recorded as a reduction of the debt. We used these proceeds, together with cash on hand, to complete the Acquisition. In addition, under the SPA, Paragon repaid its existing debt for an amount of $85,816 as this debt was excluded from liabilities assumed in the Acquisition.</w:t>
      </w:r>
    </w:p>
    <w:p>
      <w:pPr>
        <w:spacing w:after="0" w:line="105"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12"/>
          </w:cols>
          <w:pgMar w:left="248" w:top="274" w:right="239" w:bottom="1440" w:gutter="0" w:footer="0" w:header="0"/>
        </w:sectPr>
      </w:pPr>
    </w:p>
    <w:bookmarkStart w:id="49" w:name="page50"/>
    <w:bookmarkEnd w:id="49"/>
    <w:p>
      <w:pPr>
        <w:ind w:left="452" w:right="200" w:firstLine="438"/>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unaudited pro forma adjustments to debt are classified between short-term borrowings (due within one year) and long-term borrowings as follows:</w:t>
      </w:r>
    </w:p>
    <w:p>
      <w:pPr>
        <w:spacing w:after="0" w:line="177" w:lineRule="exact"/>
        <w:rPr>
          <w:sz w:val="20"/>
          <w:szCs w:val="20"/>
          <w:color w:val="auto"/>
        </w:rPr>
      </w:pPr>
    </w:p>
    <w:tbl>
      <w:tblPr>
        <w:tblLayout w:type="fixed"/>
        <w:tblInd w:w="912" w:type="dxa"/>
        <w:tblCellMar>
          <w:top w:w="0" w:type="dxa"/>
          <w:left w:w="0" w:type="dxa"/>
          <w:bottom w:w="0" w:type="dxa"/>
          <w:right w:w="0" w:type="dxa"/>
        </w:tblCellMar>
      </w:tblPr>
      <w:tr>
        <w:trPr>
          <w:trHeight w:val="161"/>
        </w:trPr>
        <w:tc>
          <w:tcPr>
            <w:tcW w:w="5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60" w:type="dxa"/>
            <w:vAlign w:val="bottom"/>
            <w:gridSpan w:val="2"/>
            <w:vMerge w:val="restart"/>
          </w:tcPr>
          <w:p>
            <w:pPr>
              <w:jc w:val="center"/>
              <w:ind w:right="660"/>
              <w:spacing w:after="0"/>
              <w:rPr>
                <w:sz w:val="20"/>
                <w:szCs w:val="20"/>
                <w:color w:val="auto"/>
              </w:rPr>
            </w:pPr>
            <w:r>
              <w:rPr>
                <w:rFonts w:ascii="Arial" w:cs="Arial" w:eastAsia="Arial" w:hAnsi="Arial"/>
                <w:sz w:val="14"/>
                <w:szCs w:val="14"/>
                <w:b w:val="1"/>
                <w:bCs w:val="1"/>
                <w:color w:val="auto"/>
                <w:w w:val="97"/>
              </w:rPr>
              <w:t>New Debt</w:t>
            </w:r>
          </w:p>
        </w:tc>
        <w:tc>
          <w:tcPr>
            <w:tcW w:w="1340" w:type="dxa"/>
            <w:vAlign w:val="bottom"/>
            <w:gridSpan w:val="3"/>
          </w:tcPr>
          <w:p>
            <w:pPr>
              <w:jc w:val="center"/>
              <w:ind w:right="340"/>
              <w:spacing w:after="0"/>
              <w:rPr>
                <w:sz w:val="20"/>
                <w:szCs w:val="20"/>
                <w:color w:val="auto"/>
              </w:rPr>
            </w:pPr>
            <w:r>
              <w:rPr>
                <w:rFonts w:ascii="Arial" w:cs="Arial" w:eastAsia="Arial" w:hAnsi="Arial"/>
                <w:sz w:val="14"/>
                <w:szCs w:val="14"/>
                <w:b w:val="1"/>
                <w:bCs w:val="1"/>
                <w:color w:val="auto"/>
                <w:w w:val="94"/>
              </w:rPr>
              <w:t>Debt paid off by</w:t>
            </w: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5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60" w:type="dxa"/>
            <w:vAlign w:val="bottom"/>
            <w:gridSpan w:val="2"/>
            <w:vMerge w:val="continue"/>
          </w:tcPr>
          <w:p>
            <w:pPr>
              <w:spacing w:after="0"/>
              <w:rPr>
                <w:sz w:val="12"/>
                <w:szCs w:val="12"/>
                <w:color w:val="auto"/>
              </w:rPr>
            </w:pPr>
          </w:p>
        </w:tc>
        <w:tc>
          <w:tcPr>
            <w:tcW w:w="1340" w:type="dxa"/>
            <w:vAlign w:val="bottom"/>
            <w:gridSpan w:val="3"/>
          </w:tcPr>
          <w:p>
            <w:pPr>
              <w:jc w:val="center"/>
              <w:ind w:right="360"/>
              <w:spacing w:after="0" w:line="149" w:lineRule="exact"/>
              <w:rPr>
                <w:sz w:val="20"/>
                <w:szCs w:val="20"/>
                <w:color w:val="auto"/>
              </w:rPr>
            </w:pPr>
            <w:r>
              <w:rPr>
                <w:rFonts w:ascii="Arial" w:cs="Arial" w:eastAsia="Arial" w:hAnsi="Arial"/>
                <w:sz w:val="14"/>
                <w:szCs w:val="14"/>
                <w:b w:val="1"/>
                <w:bCs w:val="1"/>
                <w:color w:val="auto"/>
                <w:w w:val="94"/>
              </w:rPr>
              <w:t>Paragon from</w:t>
            </w:r>
          </w:p>
        </w:tc>
        <w:tc>
          <w:tcPr>
            <w:tcW w:w="260" w:type="dxa"/>
            <w:vAlign w:val="bottom"/>
          </w:tcPr>
          <w:p>
            <w:pPr>
              <w:spacing w:after="0"/>
              <w:rPr>
                <w:sz w:val="12"/>
                <w:szCs w:val="12"/>
                <w:color w:val="auto"/>
              </w:rPr>
            </w:pPr>
          </w:p>
        </w:tc>
        <w:tc>
          <w:tcPr>
            <w:tcW w:w="840" w:type="dxa"/>
            <w:vAlign w:val="bottom"/>
            <w:gridSpan w:val="3"/>
            <w:vMerge w:val="restart"/>
          </w:tcPr>
          <w:p>
            <w:pPr>
              <w:jc w:val="center"/>
              <w:ind w:right="100"/>
              <w:spacing w:after="0"/>
              <w:rPr>
                <w:sz w:val="20"/>
                <w:szCs w:val="20"/>
                <w:color w:val="auto"/>
              </w:rPr>
            </w:pPr>
            <w:r>
              <w:rPr>
                <w:rFonts w:ascii="Arial" w:cs="Arial" w:eastAsia="Arial" w:hAnsi="Arial"/>
                <w:sz w:val="14"/>
                <w:szCs w:val="14"/>
                <w:b w:val="1"/>
                <w:bCs w:val="1"/>
                <w:color w:val="auto"/>
                <w:w w:val="95"/>
              </w:rPr>
              <w:t>Total Pro</w:t>
            </w:r>
          </w:p>
        </w:tc>
        <w:tc>
          <w:tcPr>
            <w:tcW w:w="0" w:type="dxa"/>
            <w:vAlign w:val="bottom"/>
          </w:tcPr>
          <w:p>
            <w:pPr>
              <w:spacing w:after="0"/>
              <w:rPr>
                <w:sz w:val="1"/>
                <w:szCs w:val="1"/>
                <w:color w:val="auto"/>
              </w:rPr>
            </w:pPr>
          </w:p>
        </w:tc>
      </w:tr>
      <w:tr>
        <w:trPr>
          <w:trHeight w:val="149"/>
        </w:trPr>
        <w:tc>
          <w:tcPr>
            <w:tcW w:w="5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60" w:type="dxa"/>
            <w:vAlign w:val="bottom"/>
            <w:gridSpan w:val="2"/>
          </w:tcPr>
          <w:p>
            <w:pPr>
              <w:jc w:val="center"/>
              <w:ind w:right="660"/>
              <w:spacing w:after="0" w:line="149" w:lineRule="exact"/>
              <w:rPr>
                <w:sz w:val="20"/>
                <w:szCs w:val="20"/>
                <w:color w:val="auto"/>
              </w:rPr>
            </w:pPr>
            <w:r>
              <w:rPr>
                <w:rFonts w:ascii="Arial" w:cs="Arial" w:eastAsia="Arial" w:hAnsi="Arial"/>
                <w:sz w:val="14"/>
                <w:szCs w:val="14"/>
                <w:b w:val="1"/>
                <w:bCs w:val="1"/>
                <w:color w:val="auto"/>
                <w:w w:val="90"/>
              </w:rPr>
              <w:t>entered</w:t>
            </w:r>
          </w:p>
        </w:tc>
        <w:tc>
          <w:tcPr>
            <w:tcW w:w="120" w:type="dxa"/>
            <w:vAlign w:val="bottom"/>
          </w:tcPr>
          <w:p>
            <w:pPr>
              <w:spacing w:after="0"/>
              <w:rPr>
                <w:sz w:val="12"/>
                <w:szCs w:val="12"/>
                <w:color w:val="auto"/>
              </w:rPr>
            </w:pPr>
          </w:p>
        </w:tc>
        <w:tc>
          <w:tcPr>
            <w:tcW w:w="1220" w:type="dxa"/>
            <w:vAlign w:val="bottom"/>
            <w:gridSpan w:val="2"/>
          </w:tcPr>
          <w:p>
            <w:pPr>
              <w:jc w:val="center"/>
              <w:ind w:right="480"/>
              <w:spacing w:after="0" w:line="149" w:lineRule="exact"/>
              <w:rPr>
                <w:sz w:val="20"/>
                <w:szCs w:val="20"/>
                <w:color w:val="auto"/>
              </w:rPr>
            </w:pPr>
            <w:r>
              <w:rPr>
                <w:rFonts w:ascii="Arial" w:cs="Arial" w:eastAsia="Arial" w:hAnsi="Arial"/>
                <w:sz w:val="14"/>
                <w:szCs w:val="14"/>
                <w:b w:val="1"/>
                <w:bCs w:val="1"/>
                <w:color w:val="auto"/>
                <w:w w:val="86"/>
              </w:rPr>
              <w:t>proceeds</w:t>
            </w:r>
          </w:p>
        </w:tc>
        <w:tc>
          <w:tcPr>
            <w:tcW w:w="260" w:type="dxa"/>
            <w:vAlign w:val="bottom"/>
          </w:tcPr>
          <w:p>
            <w:pPr>
              <w:spacing w:after="0"/>
              <w:rPr>
                <w:sz w:val="12"/>
                <w:szCs w:val="12"/>
                <w:color w:val="auto"/>
              </w:rPr>
            </w:pPr>
          </w:p>
        </w:tc>
        <w:tc>
          <w:tcPr>
            <w:tcW w:w="84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680" w:type="dxa"/>
            <w:vAlign w:val="bottom"/>
          </w:tcPr>
          <w:p>
            <w:pPr>
              <w:spacing w:after="0"/>
              <w:rPr>
                <w:sz w:val="12"/>
                <w:szCs w:val="12"/>
                <w:color w:val="auto"/>
              </w:rPr>
            </w:pPr>
          </w:p>
        </w:tc>
        <w:tc>
          <w:tcPr>
            <w:tcW w:w="1460" w:type="dxa"/>
            <w:vAlign w:val="bottom"/>
            <w:gridSpan w:val="3"/>
          </w:tcPr>
          <w:p>
            <w:pPr>
              <w:jc w:val="center"/>
              <w:ind w:right="560"/>
              <w:spacing w:after="0" w:line="149" w:lineRule="exact"/>
              <w:rPr>
                <w:sz w:val="20"/>
                <w:szCs w:val="20"/>
                <w:color w:val="auto"/>
              </w:rPr>
            </w:pPr>
            <w:r>
              <w:rPr>
                <w:rFonts w:ascii="Arial" w:cs="Arial" w:eastAsia="Arial" w:hAnsi="Arial"/>
                <w:sz w:val="14"/>
                <w:szCs w:val="14"/>
                <w:b w:val="1"/>
                <w:bCs w:val="1"/>
                <w:color w:val="auto"/>
                <w:w w:val="97"/>
              </w:rPr>
              <w:t>into by NN for</w:t>
            </w:r>
          </w:p>
        </w:tc>
        <w:tc>
          <w:tcPr>
            <w:tcW w:w="120" w:type="dxa"/>
            <w:vAlign w:val="bottom"/>
          </w:tcPr>
          <w:p>
            <w:pPr>
              <w:spacing w:after="0"/>
              <w:rPr>
                <w:sz w:val="12"/>
                <w:szCs w:val="12"/>
                <w:color w:val="auto"/>
              </w:rPr>
            </w:pPr>
          </w:p>
        </w:tc>
        <w:tc>
          <w:tcPr>
            <w:tcW w:w="122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94"/>
              </w:rPr>
              <w:t>of the</w:t>
            </w: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8"/>
              </w:rPr>
              <w:t>Forma</w:t>
            </w:r>
          </w:p>
        </w:tc>
        <w:tc>
          <w:tcPr>
            <w:tcW w:w="0" w:type="dxa"/>
            <w:vAlign w:val="bottom"/>
          </w:tcPr>
          <w:p>
            <w:pPr>
              <w:spacing w:after="0"/>
              <w:rPr>
                <w:sz w:val="1"/>
                <w:szCs w:val="1"/>
                <w:color w:val="auto"/>
              </w:rPr>
            </w:pPr>
          </w:p>
        </w:tc>
      </w:tr>
      <w:tr>
        <w:trPr>
          <w:trHeight w:val="171"/>
        </w:trPr>
        <w:tc>
          <w:tcPr>
            <w:tcW w:w="5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60" w:type="dxa"/>
            <w:vAlign w:val="bottom"/>
            <w:gridSpan w:val="2"/>
          </w:tcPr>
          <w:p>
            <w:pPr>
              <w:jc w:val="center"/>
              <w:ind w:right="660"/>
              <w:spacing w:after="0"/>
              <w:rPr>
                <w:sz w:val="20"/>
                <w:szCs w:val="20"/>
                <w:color w:val="auto"/>
              </w:rPr>
            </w:pPr>
            <w:r>
              <w:rPr>
                <w:rFonts w:ascii="Arial" w:cs="Arial" w:eastAsia="Arial" w:hAnsi="Arial"/>
                <w:sz w:val="14"/>
                <w:szCs w:val="14"/>
                <w:b w:val="1"/>
                <w:bCs w:val="1"/>
                <w:color w:val="auto"/>
                <w:w w:val="91"/>
              </w:rPr>
              <w:t>Acquisition</w:t>
            </w:r>
          </w:p>
        </w:tc>
        <w:tc>
          <w:tcPr>
            <w:tcW w:w="120" w:type="dxa"/>
            <w:vAlign w:val="bottom"/>
          </w:tcPr>
          <w:p>
            <w:pPr>
              <w:spacing w:after="0"/>
              <w:rPr>
                <w:sz w:val="14"/>
                <w:szCs w:val="14"/>
                <w:color w:val="auto"/>
              </w:rPr>
            </w:pPr>
          </w:p>
        </w:tc>
        <w:tc>
          <w:tcPr>
            <w:tcW w:w="122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91"/>
              </w:rPr>
              <w:t>Acquisition</w:t>
            </w:r>
          </w:p>
        </w:tc>
        <w:tc>
          <w:tcPr>
            <w:tcW w:w="260" w:type="dxa"/>
            <w:vAlign w:val="bottom"/>
          </w:tcPr>
          <w:p>
            <w:pPr>
              <w:spacing w:after="0"/>
              <w:rPr>
                <w:sz w:val="14"/>
                <w:szCs w:val="14"/>
                <w:color w:val="auto"/>
              </w:rPr>
            </w:pPr>
          </w:p>
        </w:tc>
        <w:tc>
          <w:tcPr>
            <w:tcW w:w="840" w:type="dxa"/>
            <w:vAlign w:val="bottom"/>
            <w:gridSpan w:val="3"/>
          </w:tcPr>
          <w:p>
            <w:pPr>
              <w:spacing w:after="0"/>
              <w:rPr>
                <w:sz w:val="20"/>
                <w:szCs w:val="20"/>
                <w:color w:val="auto"/>
              </w:rPr>
            </w:pPr>
            <w:r>
              <w:rPr>
                <w:rFonts w:ascii="Arial" w:cs="Arial" w:eastAsia="Arial" w:hAnsi="Arial"/>
                <w:sz w:val="14"/>
                <w:szCs w:val="14"/>
                <w:b w:val="1"/>
                <w:bCs w:val="1"/>
                <w:color w:val="auto"/>
              </w:rPr>
              <w:t>Adjustment</w:t>
            </w:r>
          </w:p>
        </w:tc>
        <w:tc>
          <w:tcPr>
            <w:tcW w:w="0" w:type="dxa"/>
            <w:vAlign w:val="bottom"/>
          </w:tcPr>
          <w:p>
            <w:pPr>
              <w:spacing w:after="0"/>
              <w:rPr>
                <w:sz w:val="1"/>
                <w:szCs w:val="1"/>
                <w:color w:val="auto"/>
              </w:rPr>
            </w:pPr>
          </w:p>
        </w:tc>
      </w:tr>
      <w:tr>
        <w:trPr>
          <w:trHeight w:val="210"/>
        </w:trPr>
        <w:tc>
          <w:tcPr>
            <w:tcW w:w="56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Current maturities of long-term debt</w:t>
            </w: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tcBorders>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5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(880)</w:t>
            </w:r>
          </w:p>
        </w:tc>
        <w:tc>
          <w:tcPr>
            <w:tcW w:w="34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(880)</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4"/>
        </w:trPr>
        <w:tc>
          <w:tcPr>
            <w:tcW w:w="5680" w:type="dxa"/>
            <w:vAlign w:val="bottom"/>
          </w:tcPr>
          <w:p>
            <w:pPr>
              <w:spacing w:after="0"/>
              <w:rPr>
                <w:sz w:val="20"/>
                <w:szCs w:val="20"/>
                <w:color w:val="auto"/>
              </w:rPr>
            </w:pPr>
            <w:r>
              <w:rPr>
                <w:rFonts w:ascii="Arial" w:cs="Arial" w:eastAsia="Arial" w:hAnsi="Arial"/>
                <w:sz w:val="18"/>
                <w:szCs w:val="18"/>
                <w:color w:val="auto"/>
              </w:rPr>
              <w:t>Long-term debt, net of current portion</w:t>
            </w:r>
          </w:p>
        </w:tc>
        <w:tc>
          <w:tcPr>
            <w:tcW w:w="100" w:type="dxa"/>
            <w:vAlign w:val="bottom"/>
          </w:tcPr>
          <w:p>
            <w:pPr>
              <w:spacing w:after="0"/>
              <w:rPr>
                <w:sz w:val="24"/>
                <w:szCs w:val="24"/>
                <w:color w:val="auto"/>
              </w:rPr>
            </w:pPr>
          </w:p>
        </w:tc>
        <w:tc>
          <w:tcPr>
            <w:tcW w:w="1360" w:type="dxa"/>
            <w:vAlign w:val="bottom"/>
            <w:gridSpan w:val="2"/>
          </w:tcPr>
          <w:p>
            <w:pPr>
              <w:jc w:val="right"/>
              <w:ind w:right="560"/>
              <w:spacing w:after="0"/>
              <w:rPr>
                <w:sz w:val="20"/>
                <w:szCs w:val="20"/>
                <w:color w:val="auto"/>
              </w:rPr>
            </w:pPr>
            <w:r>
              <w:rPr>
                <w:rFonts w:ascii="Arial" w:cs="Arial" w:eastAsia="Arial" w:hAnsi="Arial"/>
                <w:sz w:val="18"/>
                <w:szCs w:val="18"/>
                <w:color w:val="auto"/>
              </w:rPr>
              <w:t>194,197</w:t>
            </w:r>
          </w:p>
        </w:tc>
        <w:tc>
          <w:tcPr>
            <w:tcW w:w="120" w:type="dxa"/>
            <w:vAlign w:val="bottom"/>
          </w:tcPr>
          <w:p>
            <w:pPr>
              <w:spacing w:after="0"/>
              <w:rPr>
                <w:sz w:val="24"/>
                <w:szCs w:val="24"/>
                <w:color w:val="auto"/>
              </w:rPr>
            </w:pPr>
          </w:p>
        </w:tc>
        <w:tc>
          <w:tcPr>
            <w:tcW w:w="1220" w:type="dxa"/>
            <w:vAlign w:val="bottom"/>
            <w:gridSpan w:val="2"/>
          </w:tcPr>
          <w:p>
            <w:pPr>
              <w:jc w:val="right"/>
              <w:ind w:right="280"/>
              <w:spacing w:after="0"/>
              <w:rPr>
                <w:sz w:val="20"/>
                <w:szCs w:val="20"/>
                <w:color w:val="auto"/>
              </w:rPr>
            </w:pPr>
            <w:r>
              <w:rPr>
                <w:rFonts w:ascii="Arial" w:cs="Arial" w:eastAsia="Arial" w:hAnsi="Arial"/>
                <w:sz w:val="18"/>
                <w:szCs w:val="18"/>
                <w:color w:val="auto"/>
              </w:rPr>
              <w:t>(84,936)</w:t>
            </w: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w w:val="92"/>
              </w:rPr>
              <w:t>109,261</w:t>
            </w:r>
          </w:p>
        </w:tc>
        <w:tc>
          <w:tcPr>
            <w:tcW w:w="0" w:type="dxa"/>
            <w:vAlign w:val="bottom"/>
          </w:tcPr>
          <w:p>
            <w:pPr>
              <w:spacing w:after="0"/>
              <w:rPr>
                <w:sz w:val="1"/>
                <w:szCs w:val="1"/>
                <w:color w:val="auto"/>
              </w:rPr>
            </w:pPr>
          </w:p>
        </w:tc>
      </w:tr>
      <w:tr>
        <w:trPr>
          <w:trHeight w:val="27"/>
        </w:trPr>
        <w:tc>
          <w:tcPr>
            <w:tcW w:w="56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680" w:type="dxa"/>
            <w:vAlign w:val="bottom"/>
            <w:shd w:val="clear" w:color="auto" w:fill="CCEEFF"/>
          </w:tcPr>
          <w:p>
            <w:pPr>
              <w:spacing w:after="0"/>
              <w:rPr>
                <w:sz w:val="20"/>
                <w:szCs w:val="20"/>
                <w:color w:val="auto"/>
              </w:rPr>
            </w:pPr>
            <w:r>
              <w:rPr>
                <w:rFonts w:ascii="Arial" w:cs="Arial" w:eastAsia="Arial" w:hAnsi="Arial"/>
                <w:sz w:val="18"/>
                <w:szCs w:val="18"/>
                <w:color w:val="auto"/>
              </w:rPr>
              <w:t>Total debt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194,197</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(85,816)</w:t>
            </w:r>
          </w:p>
        </w:tc>
        <w:tc>
          <w:tcPr>
            <w:tcW w:w="38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w w:val="99"/>
              </w:rPr>
              <w:t>$</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2"/>
              </w:rPr>
              <w:t>108,381</w:t>
            </w:r>
          </w:p>
        </w:tc>
        <w:tc>
          <w:tcPr>
            <w:tcW w:w="0" w:type="dxa"/>
            <w:vAlign w:val="bottom"/>
          </w:tcPr>
          <w:p>
            <w:pPr>
              <w:spacing w:after="0"/>
              <w:rPr>
                <w:sz w:val="1"/>
                <w:szCs w:val="1"/>
                <w:color w:val="auto"/>
              </w:rPr>
            </w:pPr>
          </w:p>
        </w:tc>
      </w:tr>
      <w:tr>
        <w:trPr>
          <w:trHeight w:val="20"/>
        </w:trPr>
        <w:tc>
          <w:tcPr>
            <w:tcW w:w="56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left="452" w:right="180" w:hanging="452"/>
        <w:spacing w:after="0" w:line="264" w:lineRule="auto"/>
        <w:tabs>
          <w:tab w:leader="none" w:pos="452" w:val="left"/>
        </w:tabs>
        <w:numPr>
          <w:ilvl w:val="0"/>
          <w:numId w:val="22"/>
        </w:numPr>
        <w:rPr>
          <w:rFonts w:ascii="Arial" w:cs="Arial" w:eastAsia="Arial" w:hAnsi="Arial"/>
          <w:sz w:val="18"/>
          <w:szCs w:val="18"/>
          <w:color w:val="auto"/>
        </w:rPr>
      </w:pPr>
      <w:r>
        <w:rPr>
          <w:rFonts w:ascii="Arial" w:cs="Arial" w:eastAsia="Arial" w:hAnsi="Arial"/>
          <w:sz w:val="18"/>
          <w:szCs w:val="18"/>
          <w:i w:val="1"/>
          <w:iCs w:val="1"/>
          <w:color w:val="auto"/>
        </w:rPr>
        <w:t xml:space="preserve">Income tax receivable </w:t>
      </w:r>
      <w:r>
        <w:rPr>
          <w:rFonts w:ascii="Arial" w:cs="Arial" w:eastAsia="Arial" w:hAnsi="Arial"/>
          <w:sz w:val="18"/>
          <w:szCs w:val="18"/>
          <w:color w:val="auto"/>
        </w:rPr>
        <w:t>– The unaudited pro forma adjustment of $3,486 to income tax receivable as of March 31, 2018, includes the tax effect of</w:t>
      </w:r>
      <w:r>
        <w:rPr>
          <w:rFonts w:ascii="Arial" w:cs="Arial" w:eastAsia="Arial" w:hAnsi="Arial"/>
          <w:sz w:val="18"/>
          <w:szCs w:val="18"/>
          <w:i w:val="1"/>
          <w:iCs w:val="1"/>
          <w:color w:val="auto"/>
        </w:rPr>
        <w:t xml:space="preserve"> </w:t>
      </w:r>
      <w:r>
        <w:rPr>
          <w:rFonts w:ascii="Arial" w:cs="Arial" w:eastAsia="Arial" w:hAnsi="Arial"/>
          <w:sz w:val="18"/>
          <w:szCs w:val="18"/>
          <w:color w:val="auto"/>
        </w:rPr>
        <w:t>transaction related expenses incurred during the three months ended March 31, 2018, as discussed in Note 4(e) of this filing, at the statutory U.S. tax rate of 21%.</w:t>
      </w:r>
    </w:p>
    <w:p>
      <w:pPr>
        <w:spacing w:after="0" w:line="86" w:lineRule="exact"/>
        <w:rPr>
          <w:rFonts w:ascii="Arial" w:cs="Arial" w:eastAsia="Arial" w:hAnsi="Arial"/>
          <w:sz w:val="18"/>
          <w:szCs w:val="18"/>
          <w:color w:val="auto"/>
        </w:rPr>
      </w:pPr>
    </w:p>
    <w:p>
      <w:pPr>
        <w:ind w:left="452" w:right="60" w:hanging="452"/>
        <w:spacing w:after="0" w:line="255" w:lineRule="auto"/>
        <w:tabs>
          <w:tab w:leader="none" w:pos="452" w:val="left"/>
        </w:tabs>
        <w:numPr>
          <w:ilvl w:val="0"/>
          <w:numId w:val="22"/>
        </w:numPr>
        <w:rPr>
          <w:rFonts w:ascii="Arial" w:cs="Arial" w:eastAsia="Arial" w:hAnsi="Arial"/>
          <w:sz w:val="18"/>
          <w:szCs w:val="18"/>
          <w:color w:val="auto"/>
        </w:rPr>
      </w:pPr>
      <w:r>
        <w:rPr>
          <w:rFonts w:ascii="Arial" w:cs="Arial" w:eastAsia="Arial" w:hAnsi="Arial"/>
          <w:sz w:val="18"/>
          <w:szCs w:val="18"/>
          <w:i w:val="1"/>
          <w:iCs w:val="1"/>
          <w:color w:val="auto"/>
        </w:rPr>
        <w:t xml:space="preserve">Stockholders’ equity - </w:t>
      </w:r>
      <w:r>
        <w:rPr>
          <w:rFonts w:ascii="Arial" w:cs="Arial" w:eastAsia="Arial" w:hAnsi="Arial"/>
          <w:sz w:val="18"/>
          <w:szCs w:val="18"/>
          <w:color w:val="auto"/>
        </w:rPr>
        <w:t>The unaudited pro forma balance sheet reflects the elimination of Paragon’s historical equity balances and the adjustment for</w:t>
      </w:r>
      <w:r>
        <w:rPr>
          <w:rFonts w:ascii="Arial" w:cs="Arial" w:eastAsia="Arial" w:hAnsi="Arial"/>
          <w:sz w:val="18"/>
          <w:szCs w:val="18"/>
          <w:i w:val="1"/>
          <w:iCs w:val="1"/>
          <w:color w:val="auto"/>
        </w:rPr>
        <w:t xml:space="preserve"> </w:t>
      </w:r>
      <w:r>
        <w:rPr>
          <w:rFonts w:ascii="Arial" w:cs="Arial" w:eastAsia="Arial" w:hAnsi="Arial"/>
          <w:sz w:val="18"/>
          <w:szCs w:val="18"/>
          <w:color w:val="auto"/>
        </w:rPr>
        <w:t>estimated acquisition-related fees and expenses, net of tax, of $13,112 incurred upon completion of the Acquisition. These transaction costs have been excluded from the unaudited pro forma statements of operations as they will not have a continuing impact on our operations. The adjustment for the elimination of historical Paragon stockholders’ equity includes the offsetting adjustment to reflect the $600 of employee notes receivable, which was repaid before closing in accordance with the SPA as discussed in Note 4(k) above. The unaudited pro forma adjustment to stockholders’ equity is calculated as follows:</w:t>
      </w:r>
    </w:p>
    <w:p>
      <w:pPr>
        <w:spacing w:after="0" w:line="234" w:lineRule="exact"/>
        <w:rPr>
          <w:sz w:val="20"/>
          <w:szCs w:val="20"/>
          <w:color w:val="auto"/>
        </w:rPr>
      </w:pPr>
    </w:p>
    <w:tbl>
      <w:tblPr>
        <w:tblLayout w:type="fixed"/>
        <w:tblInd w:w="1832"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660" w:type="dxa"/>
            <w:vAlign w:val="bottom"/>
            <w:shd w:val="clear" w:color="auto" w:fill="CCEEFF"/>
          </w:tcPr>
          <w:p>
            <w:pPr>
              <w:spacing w:after="0"/>
              <w:rPr>
                <w:sz w:val="20"/>
                <w:szCs w:val="20"/>
                <w:color w:val="auto"/>
              </w:rPr>
            </w:pPr>
            <w:r>
              <w:rPr>
                <w:rFonts w:ascii="Arial" w:cs="Arial" w:eastAsia="Arial" w:hAnsi="Arial"/>
                <w:sz w:val="18"/>
                <w:szCs w:val="18"/>
                <w:color w:val="auto"/>
              </w:rPr>
              <w:t>Elimination of historical Paragon stockholders equity</w:t>
            </w:r>
          </w:p>
        </w:tc>
        <w:tc>
          <w:tcPr>
            <w:tcW w:w="20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$(82,077)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tcPr>
          <w:p>
            <w:pPr>
              <w:spacing w:after="0"/>
              <w:rPr>
                <w:sz w:val="20"/>
                <w:szCs w:val="20"/>
                <w:color w:val="auto"/>
              </w:rPr>
            </w:pPr>
            <w:r>
              <w:rPr>
                <w:rFonts w:ascii="Arial" w:cs="Arial" w:eastAsia="Arial" w:hAnsi="Arial"/>
                <w:sz w:val="18"/>
                <w:szCs w:val="18"/>
                <w:color w:val="auto"/>
              </w:rPr>
              <w:t>Estimated transaction fees expected to be incurred, net of tax</w:t>
            </w:r>
          </w:p>
        </w:tc>
        <w:tc>
          <w:tcPr>
            <w:tcW w:w="130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(13,112)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6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60" w:type="dxa"/>
            <w:vAlign w:val="bottom"/>
            <w:shd w:val="clear" w:color="auto" w:fill="CCEEFF"/>
          </w:tcPr>
          <w:p>
            <w:pPr>
              <w:spacing w:after="0"/>
              <w:rPr>
                <w:sz w:val="20"/>
                <w:szCs w:val="20"/>
                <w:color w:val="auto"/>
              </w:rPr>
            </w:pPr>
            <w:r>
              <w:rPr>
                <w:rFonts w:ascii="Arial" w:cs="Arial" w:eastAsia="Arial" w:hAnsi="Arial"/>
                <w:sz w:val="18"/>
                <w:szCs w:val="18"/>
                <w:color w:val="auto"/>
              </w:rPr>
              <w:t>Unaudited pro forma adjustment</w:t>
            </w:r>
          </w:p>
        </w:tc>
        <w:tc>
          <w:tcPr>
            <w:tcW w:w="13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(95,189)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left="452" w:hanging="452"/>
        <w:spacing w:after="0" w:line="259" w:lineRule="auto"/>
        <w:tabs>
          <w:tab w:leader="none" w:pos="452" w:val="left"/>
        </w:tabs>
        <w:numPr>
          <w:ilvl w:val="0"/>
          <w:numId w:val="23"/>
        </w:numPr>
        <w:rPr>
          <w:rFonts w:ascii="Arial" w:cs="Arial" w:eastAsia="Arial" w:hAnsi="Arial"/>
          <w:sz w:val="18"/>
          <w:szCs w:val="18"/>
          <w:color w:val="auto"/>
        </w:rPr>
      </w:pPr>
      <w:r>
        <w:rPr>
          <w:rFonts w:ascii="Arial" w:cs="Arial" w:eastAsia="Arial" w:hAnsi="Arial"/>
          <w:sz w:val="18"/>
          <w:szCs w:val="18"/>
          <w:i w:val="1"/>
          <w:iCs w:val="1"/>
          <w:color w:val="auto"/>
        </w:rPr>
        <w:t xml:space="preserve">Accounts payable </w:t>
      </w:r>
      <w:r>
        <w:rPr>
          <w:rFonts w:ascii="Arial" w:cs="Arial" w:eastAsia="Arial" w:hAnsi="Arial"/>
          <w:sz w:val="18"/>
          <w:szCs w:val="18"/>
          <w:color w:val="auto"/>
        </w:rPr>
        <w:t>– The unaudited pro forma adjustment of $20,595 to accounts payable as of March 31, 2018, represents estimated transaction related</w:t>
      </w:r>
      <w:r>
        <w:rPr>
          <w:rFonts w:ascii="Arial" w:cs="Arial" w:eastAsia="Arial" w:hAnsi="Arial"/>
          <w:sz w:val="18"/>
          <w:szCs w:val="18"/>
          <w:i w:val="1"/>
          <w:iCs w:val="1"/>
          <w:color w:val="auto"/>
        </w:rPr>
        <w:t xml:space="preserve"> </w:t>
      </w:r>
      <w:r>
        <w:rPr>
          <w:rFonts w:ascii="Arial" w:cs="Arial" w:eastAsia="Arial" w:hAnsi="Arial"/>
          <w:sz w:val="18"/>
          <w:szCs w:val="18"/>
          <w:color w:val="auto"/>
        </w:rPr>
        <w:t>expenses. The $20,595 of estimated transaction related expenses includes $3,003 of financing fees and $994 in insurance premiums for representation and warranty insurance which will be capitalized in Other non-current assets. Additionally, the total includes advisory and other transaction related costs of $16,598 which will be expensed as incurred.</w:t>
      </w:r>
    </w:p>
    <w:p>
      <w:pPr>
        <w:spacing w:after="0" w:line="119" w:lineRule="exact"/>
        <w:rPr>
          <w:sz w:val="20"/>
          <w:szCs w:val="20"/>
          <w:color w:val="auto"/>
        </w:rPr>
      </w:pPr>
    </w:p>
    <w:p>
      <w:pPr>
        <w:jc w:val="center"/>
        <w:ind w:right="-91"/>
        <w:spacing w:after="0"/>
        <w:rPr>
          <w:sz w:val="20"/>
          <w:szCs w:val="20"/>
          <w:color w:val="auto"/>
        </w:rPr>
      </w:pPr>
      <w:r>
        <w:rPr>
          <w:rFonts w:ascii="Arial" w:cs="Arial" w:eastAsia="Arial" w:hAnsi="Arial"/>
          <w:sz w:val="18"/>
          <w:szCs w:val="18"/>
          <w:color w:val="auto"/>
        </w:rPr>
        <w:t>12</w:t>
      </w:r>
    </w:p>
    <w:sectPr>
      <w:pgSz w:w="11900" w:h="16838" w:orient="portrait"/>
      <w:cols w:equalWidth="0" w:num="1">
        <w:col w:w="11332"/>
      </w:cols>
      <w:pgMar w:left="248" w:top="274" w:right="3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EF438D"/>
    <w:multiLevelType w:val="hybridMultilevel"/>
    <w:lvl w:ilvl="0">
      <w:lvlJc w:val="left"/>
      <w:lvlText w:val="☐"/>
      <w:numFmt w:val="bullet"/>
      <w:start w:val="1"/>
    </w:lvl>
  </w:abstractNum>
  <w:abstractNum w:abstractNumId="1">
    <w:nsid w:val="140E0F76"/>
    <w:multiLevelType w:val="hybridMultilevel"/>
    <w:lvl w:ilvl="0">
      <w:lvlJc w:val="left"/>
      <w:lvlText w:val="(%1)"/>
      <w:numFmt w:val="lowerLetter"/>
      <w:start w:val="1"/>
    </w:lvl>
  </w:abstractNum>
  <w:abstractNum w:abstractNumId="2">
    <w:nsid w:val="3352255A"/>
    <w:multiLevelType w:val="hybridMultilevel"/>
    <w:lvl w:ilvl="0">
      <w:lvlJc w:val="left"/>
      <w:lvlText w:val="(%1)"/>
      <w:numFmt w:val="lowerLetter"/>
      <w:start w:val="2"/>
    </w:lvl>
  </w:abstractNum>
  <w:abstractNum w:abstractNumId="3">
    <w:nsid w:val="109CF92E"/>
    <w:multiLevelType w:val="hybridMultilevel"/>
    <w:lvl w:ilvl="0">
      <w:lvlJc w:val="left"/>
      <w:lvlText w:val="(%1)"/>
      <w:numFmt w:val="lowerLetter"/>
      <w:start w:val="4"/>
    </w:lvl>
  </w:abstractNum>
  <w:abstractNum w:abstractNumId="4">
    <w:nsid w:val="DED7263"/>
    <w:multiLevelType w:val="hybridMultilevel"/>
    <w:lvl w:ilvl="0">
      <w:lvlJc w:val="left"/>
      <w:lvlText w:val="$"/>
      <w:numFmt w:val="bullet"/>
      <w:start w:val="1"/>
    </w:lvl>
  </w:abstractNum>
  <w:abstractNum w:abstractNumId="5">
    <w:nsid w:val="7FDCC233"/>
    <w:multiLevelType w:val="hybridMultilevel"/>
    <w:lvl w:ilvl="0">
      <w:lvlJc w:val="left"/>
      <w:lvlText w:val="•"/>
      <w:numFmt w:val="bullet"/>
      <w:start w:val="1"/>
    </w:lvl>
  </w:abstractNum>
  <w:abstractNum w:abstractNumId="6">
    <w:nsid w:val="1BEFD79F"/>
    <w:multiLevelType w:val="hybridMultilevel"/>
    <w:lvl w:ilvl="0">
      <w:lvlJc w:val="left"/>
      <w:lvlText w:val="•"/>
      <w:numFmt w:val="bullet"/>
      <w:start w:val="1"/>
    </w:lvl>
  </w:abstractNum>
  <w:abstractNum w:abstractNumId="7">
    <w:nsid w:val="41A7C4C9"/>
    <w:multiLevelType w:val="hybridMultilevel"/>
    <w:lvl w:ilvl="0">
      <w:lvlJc w:val="left"/>
      <w:lvlText w:val="(%1)"/>
      <w:numFmt w:val="lowerRoman"/>
      <w:start w:val="1"/>
    </w:lvl>
  </w:abstractNum>
  <w:abstractNum w:abstractNumId="8">
    <w:nsid w:val="6B68079A"/>
    <w:multiLevelType w:val="hybridMultilevel"/>
    <w:lvl w:ilvl="0">
      <w:lvlJc w:val="left"/>
      <w:lvlText w:val="%1)"/>
      <w:numFmt w:val="lowerLetter"/>
      <w:start w:val="1"/>
    </w:lvl>
  </w:abstractNum>
  <w:abstractNum w:abstractNumId="9">
    <w:nsid w:val="4E6AFB66"/>
    <w:multiLevelType w:val="hybridMultilevel"/>
    <w:lvl w:ilvl="0">
      <w:lvlJc w:val="left"/>
      <w:lvlText w:val="%1)"/>
      <w:numFmt w:val="lowerLetter"/>
      <w:start w:val="3"/>
    </w:lvl>
  </w:abstractNum>
  <w:abstractNum w:abstractNumId="10">
    <w:nsid w:val="25E45D32"/>
    <w:multiLevelType w:val="hybridMultilevel"/>
    <w:lvl w:ilvl="0">
      <w:lvlJc w:val="left"/>
      <w:lvlText w:val="%1)"/>
      <w:numFmt w:val="lowerLetter"/>
      <w:start w:val="4"/>
    </w:lvl>
  </w:abstractNum>
  <w:abstractNum w:abstractNumId="11">
    <w:nsid w:val="519B500D"/>
    <w:multiLevelType w:val="hybridMultilevel"/>
    <w:lvl w:ilvl="0">
      <w:lvlJc w:val="left"/>
      <w:lvlText w:val="%1)"/>
      <w:numFmt w:val="lowerLetter"/>
      <w:start w:val="1"/>
    </w:lvl>
  </w:abstractNum>
  <w:abstractNum w:abstractNumId="12">
    <w:nsid w:val="431BD7B7"/>
    <w:multiLevelType w:val="hybridMultilevel"/>
    <w:lvl w:ilvl="0">
      <w:lvlJc w:val="left"/>
      <w:lvlText w:val="%1)"/>
      <w:numFmt w:val="lowerLetter"/>
      <w:start w:val="3"/>
    </w:lvl>
  </w:abstractNum>
  <w:abstractNum w:abstractNumId="13">
    <w:nsid w:val="3F2DBA31"/>
    <w:multiLevelType w:val="hybridMultilevel"/>
    <w:lvl w:ilvl="0">
      <w:lvlJc w:val="left"/>
      <w:lvlText w:val="%1)"/>
      <w:numFmt w:val="lowerLetter"/>
      <w:start w:val="4"/>
    </w:lvl>
  </w:abstractNum>
  <w:abstractNum w:abstractNumId="14">
    <w:nsid w:val="7C83E458"/>
    <w:multiLevelType w:val="hybridMultilevel"/>
    <w:lvl w:ilvl="0">
      <w:lvlJc w:val="left"/>
      <w:lvlText w:val="%1)"/>
      <w:numFmt w:val="lowerLetter"/>
      <w:start w:val="5"/>
    </w:lvl>
  </w:abstractNum>
  <w:abstractNum w:abstractNumId="15">
    <w:nsid w:val="257130A3"/>
    <w:multiLevelType w:val="hybridMultilevel"/>
    <w:lvl w:ilvl="0">
      <w:lvlJc w:val="left"/>
      <w:lvlText w:val="%1)"/>
      <w:numFmt w:val="lowerLetter"/>
      <w:start w:val="7"/>
    </w:lvl>
  </w:abstractNum>
  <w:abstractNum w:abstractNumId="16">
    <w:nsid w:val="62BBD95A"/>
    <w:multiLevelType w:val="hybridMultilevel"/>
    <w:lvl w:ilvl="0">
      <w:lvlJc w:val="left"/>
      <w:lvlText w:val="%1)"/>
      <w:numFmt w:val="lowerRoman"/>
      <w:start w:val="1"/>
    </w:lvl>
  </w:abstractNum>
  <w:abstractNum w:abstractNumId="17">
    <w:nsid w:val="436C6125"/>
    <w:multiLevelType w:val="hybridMultilevel"/>
    <w:lvl w:ilvl="0">
      <w:lvlJc w:val="left"/>
      <w:lvlText w:val="%1)"/>
      <w:numFmt w:val="lowerLetter"/>
      <w:start w:val="10"/>
    </w:lvl>
  </w:abstractNum>
  <w:abstractNum w:abstractNumId="18">
    <w:nsid w:val="628C895D"/>
    <w:multiLevelType w:val="hybridMultilevel"/>
    <w:lvl w:ilvl="0">
      <w:lvlJc w:val="left"/>
      <w:lvlText w:val="%1)"/>
      <w:numFmt w:val="lowerLetter"/>
      <w:start w:val="11"/>
    </w:lvl>
  </w:abstractNum>
  <w:abstractNum w:abstractNumId="19">
    <w:nsid w:val="333AB105"/>
    <w:multiLevelType w:val="hybridMultilevel"/>
    <w:lvl w:ilvl="0">
      <w:lvlJc w:val="left"/>
      <w:lvlText w:val="%1)"/>
      <w:numFmt w:val="lowerLetter"/>
      <w:start w:val="12"/>
    </w:lvl>
  </w:abstractNum>
  <w:abstractNum w:abstractNumId="20">
    <w:nsid w:val="721DA317"/>
    <w:multiLevelType w:val="hybridMultilevel"/>
    <w:lvl w:ilvl="0">
      <w:lvlJc w:val="left"/>
      <w:lvlText w:val="%1)"/>
      <w:numFmt w:val="lowerLetter"/>
      <w:start w:val="13"/>
    </w:lvl>
  </w:abstractNum>
  <w:abstractNum w:abstractNumId="21">
    <w:nsid w:val="2443A858"/>
    <w:multiLevelType w:val="hybridMultilevel"/>
    <w:lvl w:ilvl="0">
      <w:lvlJc w:val="left"/>
      <w:lvlText w:val="%1)"/>
      <w:numFmt w:val="lowerLetter"/>
      <w:start w:val="14"/>
    </w:lvl>
  </w:abstractNum>
  <w:abstractNum w:abstractNumId="22">
    <w:nsid w:val="2D1D5AE9"/>
    <w:multiLevelType w:val="hybridMultilevel"/>
    <w:lvl w:ilvl="0">
      <w:lvlJc w:val="left"/>
      <w:lvlText w:val="%1)"/>
      <w:numFmt w:val="lowerLetter"/>
      <w:start w:val="16"/>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jpe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jpe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2019-12-28T21:20:20Z</dcterms:created>
  <dcterms:modified xsi:type="dcterms:W3CDTF">2019-12-28T21:20:20Z</dcterms:modified>
</cp:coreProperties>
</file>