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 (b)(5)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333-100119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to Prospectus Dated February 11,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101600</wp:posOffset>
            </wp:positionV>
            <wp:extent cx="1012190" cy="1020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2190" cy="1020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3,556,895 Shares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The selling stockholders identified in this prospectus supplement are selling 3,556,895 shares of our common stock, par value $.01 per share. We will not receive any of the proceeds from the sale of the shares by the selling stockholders.</w:t>
      </w:r>
    </w:p>
    <w:p>
      <w:pPr>
        <w:spacing w:after="0" w:line="118" w:lineRule="exact"/>
        <w:rPr>
          <w:sz w:val="24"/>
          <w:szCs w:val="24"/>
          <w:color w:val="auto"/>
        </w:rPr>
      </w:pPr>
    </w:p>
    <w:p>
      <w:pPr>
        <w:ind w:right="660" w:firstLine="456"/>
        <w:spacing w:after="0" w:line="268" w:lineRule="auto"/>
        <w:rPr>
          <w:sz w:val="20"/>
          <w:szCs w:val="20"/>
          <w:color w:val="auto"/>
        </w:rPr>
      </w:pPr>
      <w:r>
        <w:rPr>
          <w:rFonts w:ascii="Arial" w:cs="Arial" w:eastAsia="Arial" w:hAnsi="Arial"/>
          <w:sz w:val="18"/>
          <w:szCs w:val="18"/>
          <w:color w:val="auto"/>
        </w:rPr>
        <w:t>You should read this prospectus supplement, the accompanying prospectus and the documents that are incorporated by reference in this prospectus supplement and the accompanying prospectus carefully before investing.</w:t>
      </w:r>
    </w:p>
    <w:p>
      <w:pPr>
        <w:spacing w:after="0" w:line="118" w:lineRule="exact"/>
        <w:rPr>
          <w:sz w:val="24"/>
          <w:szCs w:val="24"/>
          <w:color w:val="auto"/>
        </w:rPr>
      </w:pPr>
    </w:p>
    <w:p>
      <w:pPr>
        <w:ind w:right="38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“NNBR.” On May 12, 2003, the last sale price of the common stock as reported on the Nasdaq Stock Market was $10.74.</w:t>
      </w:r>
    </w:p>
    <w:p>
      <w:pPr>
        <w:spacing w:after="0" w:line="112"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8" w:lineRule="exact"/>
        <w:rPr>
          <w:sz w:val="24"/>
          <w:szCs w:val="24"/>
          <w:color w:val="auto"/>
        </w:rPr>
      </w:pPr>
    </w:p>
    <w:p>
      <w:pPr>
        <w:ind w:right="1020" w:firstLine="571"/>
        <w:spacing w:after="0" w:line="280" w:lineRule="auto"/>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Investing in our common stock involves risks. See “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S-8 of this prospectus supplement to read about the risks you should consider before buying our common stock.</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60" w:type="dxa"/>
            <w:vAlign w:val="bottom"/>
            <w:gridSpan w:val="2"/>
          </w:tcPr>
          <w:p>
            <w:pPr>
              <w:ind w:lef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4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36,885,001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Underwriting discount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40" w:type="dxa"/>
            <w:vAlign w:val="bottom"/>
          </w:tcPr>
          <w:p>
            <w:pPr>
              <w:jc w:val="right"/>
              <w:spacing w:after="0"/>
              <w:rPr>
                <w:sz w:val="20"/>
                <w:szCs w:val="20"/>
                <w:color w:val="auto"/>
              </w:rPr>
            </w:pPr>
            <w:r>
              <w:rPr>
                <w:rFonts w:ascii="Arial" w:cs="Arial" w:eastAsia="Arial" w:hAnsi="Arial"/>
                <w:sz w:val="18"/>
                <w:szCs w:val="18"/>
                <w:color w:val="auto"/>
              </w:rPr>
              <w:t>2,134,137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to the selling stockholders, before expenses</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w:t>
            </w:r>
          </w:p>
        </w:tc>
        <w:tc>
          <w:tcPr>
            <w:tcW w:w="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right="240" w:firstLine="456"/>
        <w:spacing w:after="0" w:line="332" w:lineRule="auto"/>
        <w:rPr>
          <w:sz w:val="20"/>
          <w:szCs w:val="20"/>
          <w:color w:val="auto"/>
        </w:rPr>
      </w:pPr>
      <w:r>
        <w:rPr>
          <w:rFonts w:ascii="Arial" w:cs="Arial" w:eastAsia="Arial" w:hAnsi="Arial"/>
          <w:sz w:val="16"/>
          <w:szCs w:val="16"/>
          <w:color w:val="auto"/>
        </w:rPr>
        <w:t>The Company has granted the underwriters an option to purchase up to 533,600 additional shares of common stock to cover over-allotments. If the over-allotment option is exercised in full, the Company will receive proceeds, before expenses, of $9.77 per share and $5,213,272 in total.</w:t>
      </w:r>
    </w:p>
    <w:p>
      <w:pPr>
        <w:spacing w:after="0" w:line="7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expect that the common stock will be ready for delivery on or about May 16,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173990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McDonald Investments Inc. Legg Mason Wood Walker</w:t>
      </w:r>
    </w:p>
    <w:p>
      <w:pPr>
        <w:spacing w:after="0" w:line="43" w:lineRule="exact"/>
        <w:rPr>
          <w:sz w:val="24"/>
          <w:szCs w:val="24"/>
          <w:color w:val="auto"/>
        </w:rPr>
      </w:pPr>
    </w:p>
    <w:p>
      <w:pPr>
        <w:ind w:left="8800"/>
        <w:spacing w:after="0"/>
        <w:rPr>
          <w:sz w:val="20"/>
          <w:szCs w:val="20"/>
          <w:color w:val="auto"/>
        </w:rPr>
      </w:pPr>
      <w:r>
        <w:rPr>
          <w:rFonts w:ascii="Arial" w:cs="Arial" w:eastAsia="Arial" w:hAnsi="Arial"/>
          <w:sz w:val="18"/>
          <w:szCs w:val="18"/>
          <w:b w:val="1"/>
          <w:bCs w:val="1"/>
          <w:color w:val="auto"/>
        </w:rPr>
        <w:t>Incorporated</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13, 2003</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8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80" w:type="dxa"/>
            <w:vAlign w:val="bottom"/>
          </w:tcPr>
          <w:p>
            <w:pPr>
              <w:jc w:val="right"/>
              <w:ind w:right="4412"/>
              <w:spacing w:after="0"/>
              <w:rPr>
                <w:sz w:val="20"/>
                <w:szCs w:val="20"/>
                <w:color w:val="auto"/>
              </w:rPr>
            </w:pPr>
            <w:r>
              <w:rPr>
                <w:rFonts w:ascii="Arial" w:cs="Arial" w:eastAsia="Arial" w:hAnsi="Arial"/>
                <w:sz w:val="18"/>
                <w:szCs w:val="18"/>
                <w:b w:val="1"/>
                <w:bCs w:val="1"/>
                <w:color w:val="auto"/>
              </w:rPr>
              <w:t>PROSPECTUS SUPPLEMENT</w:t>
            </w:r>
          </w:p>
        </w:tc>
      </w:tr>
      <w:tr>
        <w:trPr>
          <w:trHeight w:val="326"/>
        </w:trPr>
        <w:tc>
          <w:tcPr>
            <w:tcW w:w="352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Supplement Summary</w:t>
              </w:r>
            </w:hyperlink>
          </w:p>
        </w:tc>
        <w:tc>
          <w:tcPr>
            <w:tcW w:w="788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Risk Factors</w:t>
              </w:r>
            </w:hyperlink>
          </w:p>
        </w:tc>
        <w:tc>
          <w:tcPr>
            <w:tcW w:w="1480" w:type="dxa"/>
            <w:vAlign w:val="bottom"/>
            <w:tcBorders>
              <w:top w:val="single" w:sz="8" w:color="0000EE"/>
            </w:tcBorders>
            <w:gridSpan w:val="5"/>
          </w:tcPr>
          <w:p>
            <w:pPr>
              <w:spacing w:after="0"/>
              <w:rPr>
                <w:sz w:val="17"/>
                <w:szCs w:val="17"/>
                <w:color w:val="auto"/>
              </w:rPr>
            </w:pPr>
          </w:p>
        </w:tc>
        <w:tc>
          <w:tcPr>
            <w:tcW w:w="1160" w:type="dxa"/>
            <w:vAlign w:val="bottom"/>
            <w:gridSpan w:val="2"/>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Use of Proceeds</w:t>
              </w:r>
            </w:hyperlink>
          </w:p>
        </w:tc>
        <w:tc>
          <w:tcPr>
            <w:tcW w:w="2380" w:type="dxa"/>
            <w:vAlign w:val="bottom"/>
            <w:gridSpan w:val="4"/>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Selling Stockholders</w:t>
              </w:r>
            </w:hyperlink>
          </w:p>
        </w:tc>
        <w:tc>
          <w:tcPr>
            <w:tcW w:w="2060" w:type="dxa"/>
            <w:vAlign w:val="bottom"/>
            <w:gridSpan w:val="3"/>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r>
      <w:tr>
        <w:trPr>
          <w:trHeight w:val="196"/>
        </w:trPr>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Underwriting</w:t>
              </w:r>
            </w:hyperlink>
          </w:p>
        </w:tc>
        <w:tc>
          <w:tcPr>
            <w:tcW w:w="2580" w:type="dxa"/>
            <w:vAlign w:val="bottom"/>
            <w:gridSpan w:val="6"/>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Legal Matters</w:t>
              </w:r>
            </w:hyperlink>
          </w:p>
        </w:tc>
        <w:tc>
          <w:tcPr>
            <w:tcW w:w="2540" w:type="dxa"/>
            <w:vAlign w:val="bottom"/>
            <w:gridSpan w:val="5"/>
          </w:tcPr>
          <w:p>
            <w:pPr>
              <w:spacing w:after="0"/>
              <w:rPr>
                <w:sz w:val="17"/>
                <w:szCs w:val="17"/>
                <w:color w:val="auto"/>
              </w:rPr>
            </w:pPr>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196"/>
        </w:trPr>
        <w:tc>
          <w:tcPr>
            <w:tcW w:w="3520" w:type="dxa"/>
            <w:vAlign w:val="bottom"/>
            <w:gridSpan w:val="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Where You Can Find More Information</w:t>
              </w:r>
            </w:hyperlink>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r>
      <w:tr>
        <w:trPr>
          <w:trHeight w:val="20"/>
        </w:trPr>
        <w:tc>
          <w:tcPr>
            <w:tcW w:w="2780" w:type="dxa"/>
            <w:vAlign w:val="bottom"/>
            <w:gridSpan w:val="7"/>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196"/>
        </w:trPr>
        <w:tc>
          <w:tcPr>
            <w:tcW w:w="352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Incorporation of Certain Documents by Reference</w:t>
              </w:r>
            </w:hyperlink>
          </w:p>
        </w:tc>
        <w:tc>
          <w:tcPr>
            <w:tcW w:w="7880" w:type="dxa"/>
            <w:vAlign w:val="bottom"/>
          </w:tcPr>
          <w:p>
            <w:pPr>
              <w:jc w:val="right"/>
              <w:spacing w:after="0" w:line="196" w:lineRule="exact"/>
              <w:rPr>
                <w:sz w:val="20"/>
                <w:szCs w:val="20"/>
                <w:color w:val="auto"/>
              </w:rPr>
            </w:pPr>
            <w:r>
              <w:rPr>
                <w:rFonts w:ascii="Arial" w:cs="Arial" w:eastAsia="Arial" w:hAnsi="Arial"/>
                <w:sz w:val="18"/>
                <w:szCs w:val="18"/>
                <w:color w:val="auto"/>
              </w:rPr>
              <w:t>S-17</w:t>
            </w:r>
          </w:p>
        </w:tc>
      </w:tr>
    </w:tbl>
    <w:p>
      <w:pPr>
        <w:spacing w:after="0" w:line="16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supplement and the accompanying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This prospectus supplement summary highlights certain information contained elsewhere or incorporated by reference in this prospectus supplement and accompanying prospectus. This summary does not contain all of the information that you should consider before deciding to invest in our common stock. If there is any inconsistency between the information in this prospectus supplement and the accompanying prospectus, you should rely on the information in this prospectus supplement. You should read both this prospectus supplement and the accompanying prospectus together with additional information described below under the heading “Where You Can Find More Information.”</w:t>
      </w:r>
    </w:p>
    <w:p>
      <w:pPr>
        <w:spacing w:after="0" w:line="12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As used in this prospectus supplement and the accompanying prospectus, the terms “we,” “us,” “our,” “NN” or the “Company,” refer collectively to NN, Inc. and its subsidiaries, including Industrial Molding Group, L.P., The Delta Rubber Company, NN Arté S. De R.L. De C.V., NN Euroball, ApS (“Euroball”) and NN Netherlands B.V.</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83" w:lineRule="exact"/>
        <w:rPr>
          <w:sz w:val="20"/>
          <w:szCs w:val="20"/>
          <w:color w:val="auto"/>
        </w:rPr>
      </w:pPr>
    </w:p>
    <w:p>
      <w:pPr>
        <w:ind w:right="20" w:firstLine="464"/>
        <w:spacing w:after="0" w:line="290" w:lineRule="auto"/>
        <w:tabs>
          <w:tab w:leader="none" w:pos="754" w:val="left"/>
        </w:tabs>
        <w:numPr>
          <w:ilvl w:val="0"/>
          <w:numId w:val="1"/>
        </w:numPr>
        <w:rPr>
          <w:rFonts w:ascii="Arial" w:cs="Arial" w:eastAsia="Arial" w:hAnsi="Arial"/>
          <w:sz w:val="16"/>
          <w:szCs w:val="16"/>
          <w:color w:val="auto"/>
        </w:rPr>
      </w:pPr>
      <w:r>
        <w:rPr>
          <w:rFonts w:ascii="Arial" w:cs="Arial" w:eastAsia="Arial" w:hAnsi="Arial"/>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bearing component products presently account for approximately 90% of our consolidated revenue and sales of high precision plastic products account for the balance. We estimate that the size of the global market for balls, rollers, seals and retainers is $3.2 billion. Captive component production of bearing manufacturers accounts for approximately 53% of this market, while independent manufacturers currently serve approximately 47% of the market. We believe that we are a leader in the independent manufacturers segment of the market with a 17%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105"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intend to continue to capitalize on this growing trend of outsourcing within our global bearing customer base. Our successes include joining with our two largest bearing customers, SKF and INA/FAG, to create our majority-owned subsidiary, Euroball, which is now wholly-owned by us. In forming Euroball, we contributed our Ireland ball manufacturing facility, while SKF and INA/FAG contributed their captive ball manufacturing facilities in Italy and Germany. On December 20, 2002, we purchased all of INA/FAG’s interest in Euroball and on May 2, 2003, we purchased all of SKF’s interest in Euroball to become the sole owner of Euroball. Also, on May 2, 2003, we purchased certain component manufacturing operations of SKF in Veenendaal, The Netherlands. These transactions are described in the Section entitled “Recent Developments” beginning on page S-2. Both SKF and INA/FAG independently entered into long-term supply agreements designating Euroball as their primary supplier of ball products in Europe. Through Euroball, we are Europe’s leading provider of precision balls. Separately, as part of the Veenendaal transaction, SKF entered into a long-term supply agreement to purchase tapered rollers and metal cage products from us.</w:t>
      </w:r>
    </w:p>
    <w:p>
      <w:pPr>
        <w:spacing w:after="0" w:line="9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operate nine North American and European manufacturing facilities. Our two U.S. ball and roller production facilities are located in Tennessee and our Euroball subsidiary operates four manufacturing facilities located in The Netherlands, Ireland, Germany and Italy. Our seal, retainer and other plastic products are manufactured in three facilities located in Connecticut, Texas and Mexico.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Acquisitions and Financing Arrangements. </w:t>
      </w:r>
      <w:r>
        <w:rPr>
          <w:rFonts w:ascii="Arial" w:cs="Arial" w:eastAsia="Arial" w:hAnsi="Arial"/>
          <w:sz w:val="18"/>
          <w:szCs w:val="18"/>
          <w:color w:val="auto"/>
        </w:rPr>
        <w:t>On December 20, 2002, we acquired the 23% interest in Euroball held by INA/FAG. We paid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13.4 million Euros ($13.8 million) for INA/FAG’s interest in Euroball. On May 2, 2003, we acquired the 23% interest in Euroball held by SKF. We paid approximately 13.8 million Euros ($15.5 million) for SKF’s interest in Euroball. Upon consummation of these transactions, we became the sole owner of Euroball.</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January 24, 2003, we exercised our call right to purchase the remaining 49% interest in NN Mexico, LLC. The transaction was consummated on April 1, 2003. The transaction is not expected to materially impact our financial condition or results of operations.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May 2, 2003, we acquired the tapered roller and metal cage manufacturing operations of SKF in Veenendaal, The Netherlands for approximately 22.2 million Euros ($25.0 million). This acquisition expands our current bearing component product offering, enabling us to further serve and bring additional value to our global bearing customers. In connection with this acquisition, SKF purchased 700,000 shares of our common stock from us for an aggregate purchase price of approximately $6.2 million.</w:t>
      </w:r>
    </w:p>
    <w:p>
      <w:pPr>
        <w:spacing w:after="0" w:line="13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In connection with the purchase of SKF’s Veenendaal component manufacturing operations and SKF’s 23% interest in Euroball, on May 1, 2003, we entered into a new credit facility with AmSouth Bank, under which we borrowed $60.4 million and 26.3 million Euros ($29.6 million) to fund the SKF transactions described above. This new financing arrangement replaces our prior credit facility with AmSouth and Euroball’s credit facility with HypoVereinsbank Luxembourg, S.A.</w:t>
      </w:r>
    </w:p>
    <w:p>
      <w:pPr>
        <w:spacing w:after="0" w:line="130" w:lineRule="exact"/>
        <w:rPr>
          <w:sz w:val="20"/>
          <w:szCs w:val="20"/>
          <w:color w:val="auto"/>
        </w:rPr>
      </w:pPr>
    </w:p>
    <w:p>
      <w:pPr>
        <w:ind w:left="460"/>
        <w:spacing w:after="0"/>
        <w:tabs>
          <w:tab w:leader="none" w:pos="3180" w:val="left"/>
        </w:tabs>
        <w:rPr>
          <w:sz w:val="20"/>
          <w:szCs w:val="20"/>
          <w:color w:val="auto"/>
        </w:rPr>
      </w:pPr>
      <w:r>
        <w:rPr>
          <w:rFonts w:ascii="Arial" w:cs="Arial" w:eastAsia="Arial" w:hAnsi="Arial"/>
          <w:sz w:val="18"/>
          <w:szCs w:val="18"/>
          <w:i w:val="1"/>
          <w:iCs w:val="1"/>
          <w:color w:val="auto"/>
        </w:rPr>
        <w:t>First Quarter Results of Operations.</w:t>
      </w:r>
      <w:r>
        <w:rPr>
          <w:sz w:val="20"/>
          <w:szCs w:val="20"/>
          <w:color w:val="auto"/>
        </w:rPr>
        <w:tab/>
      </w:r>
      <w:r>
        <w:rPr>
          <w:rFonts w:ascii="Arial" w:cs="Arial" w:eastAsia="Arial" w:hAnsi="Arial"/>
          <w:sz w:val="16"/>
          <w:szCs w:val="16"/>
          <w:color w:val="auto"/>
        </w:rPr>
        <w:t>Net sales for the first quarter of 2003 reached $57.6 million, up 22.1% from $47.2 million for the same period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2002. Net income for the first quarter of 2003 totaled $3.6 million or $0.23 per share as compared to $1.8 million or $0.12 per share for the first quarter of 2002.</w:t>
      </w:r>
    </w:p>
    <w:p>
      <w:pPr>
        <w:spacing w:after="0" w:line="174"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The first quarter of 2003 represented the fourth consecutive quarter that we have experienced year-over-year improvement in revenues and earnings. However, it is important to note that approximately 50% of the $10.4 million increase in revenues was attributable to favorable currency fluctuations. The remainder of the increase consists of overall improvements in demand and new program developments.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percentage of net sales, the gross profit margin was 25.8% in the first quarter of 2003 versus 24.7% in the first quarter of 2002 and 24.8% in the fourth quarter of 2002. This improvement over the prior year reflects the continuing benefit of the initiatives to lower our cost structure and the associated benefits of higher volumes and inventory builds. Similarly, selling, general and administrative expenses for the first quarter of 2003 declined to 8.0% as a percentage of net sales compared to 9.5% for the same period in the prior year.</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revenue growth in the first quarter resulted in incremental working capital needs. This was evidenced by significant increases in accounts receivable, inventories and accounts payable balances during the quarter. Correspondingly, our debt increased $0.1 million from $53.1 million at year end to $53.2 million at the end of the first quarter. Net of cash, our debt increased by $2.0 million. We anticipate our operating cash flow results will improve in subsequent quarters and remain committed to a reduction of debt (excluding the impact of the acquisitions described above) of $11.0 million for 2003.</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Our Competitive Strengths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elements provide us with significant competitive strengths in our markets:</w:t>
      </w:r>
    </w:p>
    <w:p>
      <w:pPr>
        <w:spacing w:after="0" w:line="77" w:lineRule="exact"/>
        <w:rPr>
          <w:sz w:val="20"/>
          <w:szCs w:val="20"/>
          <w:color w:val="auto"/>
        </w:rPr>
      </w:pPr>
    </w:p>
    <w:p>
      <w:pPr>
        <w:ind w:left="760" w:right="40" w:hanging="306"/>
        <w:spacing w:after="0" w:line="291"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High Precision, Low-Cost Manufacturing Capabilities. </w:t>
      </w:r>
      <w:r>
        <w:rPr>
          <w:rFonts w:ascii="Arial" w:cs="Arial" w:eastAsia="Arial" w:hAnsi="Arial"/>
          <w:sz w:val="16"/>
          <w:szCs w:val="16"/>
          <w:color w:val="auto"/>
        </w:rPr>
        <w:t>Our focus on lean manufacturing and continuous improvement have earned us a reputation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a supply chain partner that our customers can rely upon to deliver value-added components. We believe that our proprietary machinery, manufacturing processes and attention to quality and service are competitive advantages that allow us to consistently provide high quality precision products that meet exacting tolerances. For example, our grade 3 balls are manufactured to within three-millionths (0.000003) of an inch of roundness and our seal, retainer and plastic products are known for meeting the strict tolerances demanded by our customers. Our efforts to eliminate inefficient processes and improve productivity have enabled us to maintain our status as a low-cost producer.</w:t>
      </w:r>
    </w:p>
    <w:p>
      <w:pPr>
        <w:spacing w:after="0" w:line="25" w:lineRule="exact"/>
        <w:rPr>
          <w:rFonts w:ascii="Arial" w:cs="Arial" w:eastAsia="Arial" w:hAnsi="Arial"/>
          <w:sz w:val="16"/>
          <w:szCs w:val="16"/>
          <w:color w:val="auto"/>
        </w:rPr>
      </w:pPr>
    </w:p>
    <w:p>
      <w:pPr>
        <w:ind w:left="760" w:hanging="306"/>
        <w:spacing w:after="0" w:line="294" w:lineRule="auto"/>
        <w:tabs>
          <w:tab w:leader="none" w:pos="7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Leading Outsourcing Alternative to Captive Manufacturing. </w:t>
      </w:r>
      <w:r>
        <w:rPr>
          <w:rFonts w:ascii="Arial" w:cs="Arial" w:eastAsia="Arial" w:hAnsi="Arial"/>
          <w:sz w:val="16"/>
          <w:szCs w:val="16"/>
          <w:color w:val="auto"/>
        </w:rPr>
        <w:t>Euroball is the bearing industry’s largest component outsourcing initiative and is an</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milestone for the bearing component industry. This innovative model has enhanced the industry’s awareness of the benefits of outsourcing and has established us as a proven, independent alternative to captive manufacturing. Our ability to focus solely on component manufacturing allows us to provide our customers with lower cost, higher quality products and improved customer service levels over captive manufacturing operations. Outsourcing also enables our customers to redirect critical capital investments.</w:t>
      </w:r>
    </w:p>
    <w:p>
      <w:pPr>
        <w:spacing w:after="0" w:line="21" w:lineRule="exact"/>
        <w:rPr>
          <w:rFonts w:ascii="Arial" w:cs="Arial" w:eastAsia="Arial" w:hAnsi="Arial"/>
          <w:sz w:val="16"/>
          <w:szCs w:val="16"/>
          <w:color w:val="auto"/>
        </w:rPr>
      </w:pPr>
    </w:p>
    <w:p>
      <w:pPr>
        <w:ind w:left="760" w:right="100" w:hanging="306"/>
        <w:spacing w:after="0" w:line="256"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Uniquely Positioned as Integrated Supplier of Bearing Components. </w:t>
      </w:r>
      <w:r>
        <w:rPr>
          <w:rFonts w:ascii="Arial" w:cs="Arial" w:eastAsia="Arial" w:hAnsi="Arial"/>
          <w:sz w:val="18"/>
          <w:szCs w:val="18"/>
          <w:color w:val="auto"/>
        </w:rPr>
        <w:t>Through our recent acquisitions, we have become a leading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supplier with the industry’s most complete line of bearing components. Our core ball and roller product offerings, complemented by our more recently acquired tapered roller, bearing retainer and seal products, have allowed us to expand our key customer relationships by offering our customers the value of a single supply chain partner for a wide variety of components.</w:t>
      </w:r>
    </w:p>
    <w:p>
      <w:pPr>
        <w:spacing w:after="0" w:line="129" w:lineRule="exact"/>
        <w:rPr>
          <w:rFonts w:ascii="Arial" w:cs="Arial" w:eastAsia="Arial" w:hAnsi="Arial"/>
          <w:sz w:val="18"/>
          <w:szCs w:val="18"/>
          <w:color w:val="auto"/>
        </w:rPr>
      </w:pPr>
    </w:p>
    <w:p>
      <w:pPr>
        <w:ind w:left="760" w:right="20" w:hanging="306"/>
        <w:spacing w:after="0" w:line="255"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Established Operating Expertise. </w:t>
      </w:r>
      <w:r>
        <w:rPr>
          <w:rFonts w:ascii="Arial" w:cs="Arial" w:eastAsia="Arial" w:hAnsi="Arial"/>
          <w:sz w:val="18"/>
          <w:szCs w:val="18"/>
          <w:color w:val="auto"/>
        </w:rPr>
        <w:t>Our experienced management team continues to be successful in implementing our strategic plan by completing</w:t>
      </w:r>
      <w:r>
        <w:rPr>
          <w:rFonts w:ascii="Arial" w:cs="Arial" w:eastAsia="Arial" w:hAnsi="Arial"/>
          <w:sz w:val="18"/>
          <w:szCs w:val="18"/>
          <w:i w:val="1"/>
          <w:iCs w:val="1"/>
          <w:color w:val="auto"/>
        </w:rPr>
        <w:t xml:space="preserve"> </w:t>
      </w:r>
      <w:r>
        <w:rPr>
          <w:rFonts w:ascii="Arial" w:cs="Arial" w:eastAsia="Arial" w:hAnsi="Arial"/>
          <w:sz w:val="18"/>
          <w:szCs w:val="18"/>
          <w:color w:val="auto"/>
        </w:rPr>
        <w:t>four major acquisitions since 1998 and executing significant cost rationalization programs domestically and in Europe. Our 11 senior managers average over 13 years of experience in the bearing component industry, which has allowed us to establish excellent working relationships with major bearing companies. Our management team has a proven track record of successfully managing our global businesses through international economic cycles, including the most recent economic downturn.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Our Business Strategy</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strategic plan is designed to increase our revenues, income and long-term shareholder value by:</w:t>
      </w:r>
    </w:p>
    <w:p>
      <w:pPr>
        <w:spacing w:after="0" w:line="15" w:lineRule="exact"/>
        <w:rPr>
          <w:sz w:val="20"/>
          <w:szCs w:val="20"/>
          <w:color w:val="auto"/>
        </w:rPr>
      </w:pPr>
    </w:p>
    <w:p>
      <w:pPr>
        <w:ind w:left="760" w:hanging="306"/>
        <w:spacing w:after="0" w:line="25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Global Presence. </w:t>
      </w:r>
      <w:r>
        <w:rPr>
          <w:rFonts w:ascii="Arial" w:cs="Arial" w:eastAsia="Arial" w:hAnsi="Arial"/>
          <w:sz w:val="18"/>
          <w:szCs w:val="18"/>
          <w:color w:val="auto"/>
        </w:rPr>
        <w:t>We believe that maintaining production facilities in proximity to our major customers’ manufacturing operations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essential. We see significant opportunities to increase market share and maintain our competitive cost advantage by expanding our global presence. We established our European presence in 1997 and, through Euroball, have become Europe’s leading provider of precision balls to the bearing industry. We see further opportunities to expand our global manufacturing base to Asia, Eastern Europe and other geographic regions to more effectively serve the customers in these markets.</w:t>
      </w:r>
    </w:p>
    <w:p>
      <w:pPr>
        <w:spacing w:after="0" w:line="50" w:lineRule="exact"/>
        <w:rPr>
          <w:rFonts w:ascii="Arial" w:cs="Arial" w:eastAsia="Arial" w:hAnsi="Arial"/>
          <w:sz w:val="18"/>
          <w:szCs w:val="18"/>
          <w:color w:val="auto"/>
        </w:rPr>
      </w:pPr>
    </w:p>
    <w:p>
      <w:pPr>
        <w:ind w:left="760" w:right="120" w:hanging="306"/>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Expanding Our Bearing Component Product Offerings. </w:t>
      </w:r>
      <w:r>
        <w:rPr>
          <w:rFonts w:ascii="Arial" w:cs="Arial" w:eastAsia="Arial" w:hAnsi="Arial"/>
          <w:sz w:val="18"/>
          <w:szCs w:val="18"/>
          <w:color w:val="auto"/>
        </w:rPr>
        <w:t>We seek to build on existing customer relationships and our core manufacturing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competencies by diversifying into additional bearing component businesses. Our acquisitions have given us full-service design and production capabilities in bearing seals, plastic bearing retainers and tapered rollers. These products serve the same global bearing customers as our core ball and roller products. As a result, we are able to provide, as a single independent company, a more diversified product offering to our global bearing customers.</w:t>
      </w:r>
    </w:p>
    <w:p>
      <w:pPr>
        <w:spacing w:after="0" w:line="48" w:lineRule="exact"/>
        <w:rPr>
          <w:rFonts w:ascii="Arial" w:cs="Arial" w:eastAsia="Arial" w:hAnsi="Arial"/>
          <w:sz w:val="18"/>
          <w:szCs w:val="18"/>
          <w:color w:val="auto"/>
        </w:rPr>
      </w:pPr>
    </w:p>
    <w:p>
      <w:pPr>
        <w:ind w:left="760" w:right="140" w:hanging="306"/>
        <w:spacing w:after="0" w:line="255"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Pursue Strategic Acquisitions and Alliances. </w:t>
      </w:r>
      <w:r>
        <w:rPr>
          <w:rFonts w:ascii="Arial" w:cs="Arial" w:eastAsia="Arial" w:hAnsi="Arial"/>
          <w:sz w:val="18"/>
          <w:szCs w:val="18"/>
          <w:color w:val="auto"/>
        </w:rPr>
        <w:t>Because much of the world’s bearing production capacity is located outside of the U.S.,</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sought to develop an effective way to serve our customers on a global basis and expand these critical customer relationships. We believe that outsourcing transactions and strategic acquisitions represent the most effective way to expand these relationships. The success of our approach, as in the case of Euroball, provides a framework for future strategic alliances and for future acquisitions of our customers’ captive bearing component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Our principal executive offices are located at 2000 Waters Edge Drive, Johnson City, Tennessee 37604 and our telephone number is (423) 743-9151. Our Internet website address is </w:t>
      </w:r>
      <w:r>
        <w:rPr>
          <w:rFonts w:ascii="Arial" w:cs="Arial" w:eastAsia="Arial" w:hAnsi="Arial"/>
          <w:sz w:val="16"/>
          <w:szCs w:val="16"/>
          <w:i w:val="1"/>
          <w:iCs w:val="1"/>
          <w:color w:val="auto"/>
        </w:rPr>
        <w:t>www.nnbr.com</w:t>
      </w:r>
      <w:r>
        <w:rPr>
          <w:rFonts w:ascii="Arial" w:cs="Arial" w:eastAsia="Arial" w:hAnsi="Arial"/>
          <w:sz w:val="16"/>
          <w:szCs w:val="16"/>
          <w:color w:val="auto"/>
        </w:rPr>
        <w:t>. Information contained on our website is not part of this prospectus supplement.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prospectus supplement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S-8 through S-11 of this prospectus supplement.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except as required by applicable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6820" w:type="dxa"/>
            <w:vAlign w:val="bottom"/>
          </w:tcPr>
          <w:p>
            <w:pPr>
              <w:ind w:left="620"/>
              <w:spacing w:after="0"/>
              <w:rPr>
                <w:sz w:val="20"/>
                <w:szCs w:val="20"/>
                <w:color w:val="auto"/>
              </w:rPr>
            </w:pPr>
            <w:r>
              <w:rPr>
                <w:rFonts w:ascii="Arial" w:cs="Arial" w:eastAsia="Arial" w:hAnsi="Arial"/>
                <w:sz w:val="18"/>
                <w:szCs w:val="18"/>
                <w:b w:val="1"/>
                <w:bCs w:val="1"/>
                <w:color w:val="auto"/>
              </w:rPr>
              <w:t>The Offering</w:t>
            </w:r>
          </w:p>
        </w:tc>
      </w:tr>
      <w:tr>
        <w:trPr>
          <w:trHeight w:val="151"/>
        </w:trPr>
        <w:tc>
          <w:tcPr>
            <w:tcW w:w="4600" w:type="dxa"/>
            <w:vAlign w:val="bottom"/>
          </w:tcPr>
          <w:p>
            <w:pPr>
              <w:spacing w:after="0"/>
              <w:rPr>
                <w:sz w:val="13"/>
                <w:szCs w:val="13"/>
                <w:color w:val="auto"/>
              </w:rPr>
            </w:pPr>
          </w:p>
        </w:tc>
        <w:tc>
          <w:tcPr>
            <w:tcW w:w="6820" w:type="dxa"/>
            <w:vAlign w:val="bottom"/>
          </w:tcPr>
          <w:p>
            <w:pPr>
              <w:spacing w:after="0"/>
              <w:rPr>
                <w:sz w:val="13"/>
                <w:szCs w:val="1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being offered by the selling stockholders</w:t>
            </w: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3,556,895 shares</w:t>
            </w:r>
          </w:p>
        </w:tc>
      </w:tr>
      <w:tr>
        <w:trPr>
          <w:trHeight w:val="430"/>
        </w:trPr>
        <w:tc>
          <w:tcPr>
            <w:tcW w:w="4600" w:type="dxa"/>
            <w:vAlign w:val="bottom"/>
          </w:tcPr>
          <w:p>
            <w:pPr>
              <w:ind w:left="20"/>
              <w:spacing w:after="0"/>
              <w:rPr>
                <w:sz w:val="20"/>
                <w:szCs w:val="20"/>
                <w:color w:val="auto"/>
              </w:rPr>
            </w:pPr>
            <w:r>
              <w:rPr>
                <w:rFonts w:ascii="Arial" w:cs="Arial" w:eastAsia="Arial" w:hAnsi="Arial"/>
                <w:sz w:val="18"/>
                <w:szCs w:val="18"/>
                <w:color w:val="auto"/>
              </w:rPr>
              <w:t>Common stock to be outstanding after this offering</w:t>
            </w:r>
          </w:p>
        </w:tc>
        <w:tc>
          <w:tcPr>
            <w:tcW w:w="6820" w:type="dxa"/>
            <w:vAlign w:val="bottom"/>
          </w:tcPr>
          <w:p>
            <w:pPr>
              <w:ind w:left="1680"/>
              <w:spacing w:after="0"/>
              <w:rPr>
                <w:sz w:val="20"/>
                <w:szCs w:val="20"/>
                <w:color w:val="auto"/>
              </w:rPr>
            </w:pPr>
            <w:r>
              <w:rPr>
                <w:rFonts w:ascii="Arial" w:cs="Arial" w:eastAsia="Arial" w:hAnsi="Arial"/>
                <w:sz w:val="18"/>
                <w:szCs w:val="18"/>
                <w:color w:val="auto"/>
              </w:rPr>
              <w:t>16,081,441 shares(1)</w:t>
            </w:r>
          </w:p>
        </w:tc>
      </w:tr>
      <w:tr>
        <w:trPr>
          <w:trHeight w:val="218"/>
        </w:trPr>
        <w:tc>
          <w:tcPr>
            <w:tcW w:w="4600" w:type="dxa"/>
            <w:vAlign w:val="bottom"/>
          </w:tcPr>
          <w:p>
            <w:pPr>
              <w:spacing w:after="0"/>
              <w:rPr>
                <w:sz w:val="18"/>
                <w:szCs w:val="18"/>
                <w:color w:val="auto"/>
              </w:rPr>
            </w:pPr>
          </w:p>
        </w:tc>
        <w:tc>
          <w:tcPr>
            <w:tcW w:w="6820" w:type="dxa"/>
            <w:vAlign w:val="bottom"/>
          </w:tcPr>
          <w:p>
            <w:pPr>
              <w:spacing w:after="0"/>
              <w:rPr>
                <w:sz w:val="18"/>
                <w:szCs w:val="18"/>
                <w:color w:val="auto"/>
              </w:rPr>
            </w:pPr>
          </w:p>
        </w:tc>
      </w:tr>
      <w:tr>
        <w:trPr>
          <w:trHeight w:val="20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of Proceeds</w:t>
            </w: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1"/>
              </w:rPr>
              <w:t>We will not receive any proceeds from the sale of shares by any of the</w:t>
            </w:r>
          </w:p>
        </w:tc>
      </w:tr>
      <w:tr>
        <w:trPr>
          <w:trHeight w:val="216"/>
        </w:trPr>
        <w:tc>
          <w:tcPr>
            <w:tcW w:w="4600" w:type="dxa"/>
            <w:vAlign w:val="bottom"/>
            <w:shd w:val="clear" w:color="auto" w:fill="CCEEFF"/>
          </w:tcPr>
          <w:p>
            <w:pPr>
              <w:spacing w:after="0"/>
              <w:rPr>
                <w:sz w:val="18"/>
                <w:szCs w:val="18"/>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1"/>
              </w:rPr>
              <w:t>selling stockholders. If the over-allotment option is exercised in full, we</w:t>
            </w:r>
          </w:p>
        </w:tc>
      </w:tr>
      <w:tr>
        <w:trPr>
          <w:trHeight w:val="216"/>
        </w:trPr>
        <w:tc>
          <w:tcPr>
            <w:tcW w:w="4600" w:type="dxa"/>
            <w:vAlign w:val="bottom"/>
            <w:shd w:val="clear" w:color="auto" w:fill="CCEEFF"/>
          </w:tcPr>
          <w:p>
            <w:pPr>
              <w:spacing w:after="0"/>
              <w:rPr>
                <w:sz w:val="18"/>
                <w:szCs w:val="18"/>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93"/>
              </w:rPr>
              <w:t>will use the estimated net proceeds of $5.1 million for working capital</w:t>
            </w:r>
          </w:p>
        </w:tc>
      </w:tr>
      <w:tr>
        <w:trPr>
          <w:trHeight w:val="216"/>
        </w:trPr>
        <w:tc>
          <w:tcPr>
            <w:tcW w:w="4600" w:type="dxa"/>
            <w:vAlign w:val="bottom"/>
            <w:shd w:val="clear" w:color="auto" w:fill="CCEEFF"/>
          </w:tcPr>
          <w:p>
            <w:pPr>
              <w:spacing w:after="0"/>
              <w:rPr>
                <w:sz w:val="18"/>
                <w:szCs w:val="18"/>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w w:val="88"/>
              </w:rPr>
              <w:t>and other general corporate purposes and to repay a portion of our bank</w:t>
            </w:r>
          </w:p>
        </w:tc>
      </w:tr>
      <w:tr>
        <w:trPr>
          <w:trHeight w:val="224"/>
        </w:trPr>
        <w:tc>
          <w:tcPr>
            <w:tcW w:w="4600" w:type="dxa"/>
            <w:vAlign w:val="bottom"/>
            <w:shd w:val="clear" w:color="auto" w:fill="CCEEFF"/>
          </w:tcPr>
          <w:p>
            <w:pPr>
              <w:spacing w:after="0"/>
              <w:rPr>
                <w:sz w:val="19"/>
                <w:szCs w:val="19"/>
                <w:color w:val="auto"/>
              </w:rPr>
            </w:pPr>
          </w:p>
        </w:tc>
        <w:tc>
          <w:tcPr>
            <w:tcW w:w="682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indebtedness. See “Use of Proceeds.”</w:t>
            </w:r>
          </w:p>
        </w:tc>
      </w:tr>
      <w:tr>
        <w:trPr>
          <w:trHeight w:val="430"/>
        </w:trPr>
        <w:tc>
          <w:tcPr>
            <w:tcW w:w="4600" w:type="dxa"/>
            <w:vAlign w:val="bottom"/>
          </w:tcPr>
          <w:p>
            <w:pPr>
              <w:ind w:left="20"/>
              <w:spacing w:after="0"/>
              <w:rPr>
                <w:sz w:val="20"/>
                <w:szCs w:val="20"/>
                <w:color w:val="auto"/>
              </w:rPr>
            </w:pPr>
            <w:r>
              <w:rPr>
                <w:rFonts w:ascii="Arial" w:cs="Arial" w:eastAsia="Arial" w:hAnsi="Arial"/>
                <w:sz w:val="18"/>
                <w:szCs w:val="18"/>
                <w:color w:val="auto"/>
              </w:rPr>
              <w:t>Nasdaq National Market symbol</w:t>
            </w:r>
          </w:p>
        </w:tc>
        <w:tc>
          <w:tcPr>
            <w:tcW w:w="6820" w:type="dxa"/>
            <w:vAlign w:val="bottom"/>
          </w:tcPr>
          <w:p>
            <w:pPr>
              <w:ind w:left="1680"/>
              <w:spacing w:after="0"/>
              <w:rPr>
                <w:sz w:val="20"/>
                <w:szCs w:val="20"/>
                <w:color w:val="auto"/>
              </w:rPr>
            </w:pPr>
            <w:r>
              <w:rPr>
                <w:rFonts w:ascii="Arial" w:cs="Arial" w:eastAsia="Arial" w:hAnsi="Arial"/>
                <w:sz w:val="18"/>
                <w:szCs w:val="18"/>
                <w:color w:val="auto"/>
              </w:rPr>
              <w:t>NNBR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5600" w:right="1940" w:hanging="5592"/>
        <w:spacing w:after="0" w:line="440" w:lineRule="auto"/>
        <w:tabs>
          <w:tab w:leader="none" w:pos="462" w:val="left"/>
        </w:tabs>
        <w:numPr>
          <w:ilvl w:val="0"/>
          <w:numId w:val="4"/>
        </w:numPr>
        <w:rPr>
          <w:rFonts w:ascii="Arial" w:cs="Arial" w:eastAsia="Arial" w:hAnsi="Arial"/>
          <w:sz w:val="18"/>
          <w:szCs w:val="18"/>
          <w:color w:val="auto"/>
        </w:rPr>
      </w:pPr>
      <w:r>
        <w:rPr>
          <w:rFonts w:ascii="Arial" w:cs="Arial" w:eastAsia="Arial" w:hAnsi="Arial"/>
          <w:sz w:val="18"/>
          <w:szCs w:val="18"/>
          <w:color w:val="auto"/>
        </w:rPr>
        <w:t>Does not include up to 533,600 shares the underwriters have the option to purchase from the Company to cover over-allotments. S-5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4"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summary consolidated financial data presented below have been derived from our consolidated financial statements. Our consolidated financial statements as of and for the years ended December 31, 2000, 2001 and 2002 have been audited by KPMG LLP. Our consolidated financial statements as of and for the years ended December 31, 1998 and 1999 have been audited by PricewaterhouseCoopers LLP. Data for the three-month periods ended March 31, 2002 and 2003 have been derived from unaudited consolidated financial statements which, in our opinion, reflect all adjustments necessary for a fair presentation. Results for the three-month periods are not necessarily indicative of results for the full year. You should read the summary consolidated financial data presented below in conjunction with our consolidated financial statements and the notes thereto and other financial information included elsewhere in this prospectus supplement or incorporated by reference. For more details on how you can obtain our SEC reports incorporated by reference in this prospectus supplement, you should read the sections of this prospectus supplement and the prospectus entitled “Where You Can Find More Information.”</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gridSpan w:val="9"/>
          </w:tcPr>
          <w:p>
            <w:pPr>
              <w:jc w:val="right"/>
              <w:ind w:right="84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6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1998</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1999</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2000</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2001</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22"/>
                <w:szCs w:val="22"/>
                <w:color w:val="auto"/>
              </w:rPr>
            </w:pPr>
          </w:p>
        </w:tc>
      </w:tr>
      <w:tr>
        <w:trPr>
          <w:trHeight w:val="95"/>
        </w:trPr>
        <w:tc>
          <w:tcPr>
            <w:tcW w:w="6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w w:val="93"/>
              </w:rPr>
              <w:t>(in thousands, except per share data)</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Net sales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73,006</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85,294</w:t>
            </w:r>
          </w:p>
        </w:tc>
        <w:tc>
          <w:tcPr>
            <w:tcW w:w="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132,129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180,151</w:t>
            </w:r>
          </w:p>
        </w:tc>
        <w:tc>
          <w:tcPr>
            <w:tcW w:w="40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192,856</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Cost of products sold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59,967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93,926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137,221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144,274</w:t>
            </w:r>
          </w:p>
        </w:tc>
        <w:tc>
          <w:tcPr>
            <w:tcW w:w="80" w:type="dxa"/>
            <w:vAlign w:val="bottom"/>
            <w:shd w:val="clear" w:color="auto" w:fill="CCEEFF"/>
          </w:tcPr>
          <w:p>
            <w:pPr>
              <w:spacing w:after="0"/>
              <w:rPr>
                <w:sz w:val="12"/>
                <w:szCs w:val="12"/>
                <w:color w:val="auto"/>
              </w:rPr>
            </w:pPr>
          </w:p>
        </w:tc>
      </w:tr>
      <w:tr>
        <w:trPr>
          <w:trHeight w:val="108"/>
        </w:trPr>
        <w:tc>
          <w:tcPr>
            <w:tcW w:w="6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22,653</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25,327</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38,203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42,930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48,582</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5,896</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6,854</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11,571</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16,752</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17,134</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4,557</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6,131</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9,165</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11,212</w:t>
            </w:r>
          </w:p>
        </w:tc>
        <w:tc>
          <w:tcPr>
            <w:tcW w:w="80" w:type="dxa"/>
            <w:vAlign w:val="bottom"/>
            <w:shd w:val="clear" w:color="auto" w:fill="CCEEFF"/>
          </w:tcPr>
          <w:p>
            <w:pPr>
              <w:spacing w:after="0"/>
              <w:rPr>
                <w:sz w:val="12"/>
                <w:szCs w:val="12"/>
                <w:color w:val="auto"/>
              </w:rPr>
            </w:pPr>
          </w:p>
        </w:tc>
      </w:tr>
      <w:tr>
        <w:trPr>
          <w:trHeight w:val="172"/>
        </w:trPr>
        <w:tc>
          <w:tcPr>
            <w:tcW w:w="6840" w:type="dxa"/>
            <w:vAlign w:val="bottom"/>
          </w:tcPr>
          <w:p>
            <w:pPr>
              <w:ind w:left="140"/>
              <w:spacing w:after="0"/>
              <w:rPr>
                <w:sz w:val="20"/>
                <w:szCs w:val="20"/>
                <w:color w:val="auto"/>
              </w:rPr>
            </w:pPr>
            <w:r>
              <w:rPr>
                <w:rFonts w:ascii="Arial" w:cs="Arial" w:eastAsia="Arial" w:hAnsi="Arial"/>
                <w:sz w:val="14"/>
                <w:szCs w:val="14"/>
                <w:color w:val="auto"/>
              </w:rPr>
              <w:t>Restructuring and impairment costs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2,312</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1,277</w:t>
            </w:r>
          </w:p>
        </w:tc>
        <w:tc>
          <w:tcPr>
            <w:tcW w:w="80" w:type="dxa"/>
            <w:vAlign w:val="bottom"/>
          </w:tcPr>
          <w:p>
            <w:pPr>
              <w:spacing w:after="0"/>
              <w:rPr>
                <w:sz w:val="14"/>
                <w:szCs w:val="14"/>
                <w:color w:val="auto"/>
              </w:rPr>
            </w:pPr>
          </w:p>
        </w:tc>
      </w:tr>
      <w:tr>
        <w:trPr>
          <w:trHeight w:val="84"/>
        </w:trPr>
        <w:tc>
          <w:tcPr>
            <w:tcW w:w="6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2"/>
        </w:trPr>
        <w:tc>
          <w:tcPr>
            <w:tcW w:w="6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12,342</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17,467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18,959</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1,773</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4,196</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2,451</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in earnings of unconsolidated affiliate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Net gain on involuntary conversion</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(3,901)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gain on purchase of minority interest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(5,904)</w:t>
            </w:r>
          </w:p>
        </w:tc>
      </w:tr>
      <w:tr>
        <w:trPr>
          <w:trHeight w:val="172"/>
        </w:trPr>
        <w:tc>
          <w:tcPr>
            <w:tcW w:w="6840" w:type="dxa"/>
            <w:vAlign w:val="bottom"/>
          </w:tcPr>
          <w:p>
            <w:pPr>
              <w:ind w:left="140"/>
              <w:spacing w:after="0"/>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(487)</w:t>
            </w:r>
          </w:p>
        </w:tc>
      </w:tr>
      <w:tr>
        <w:trPr>
          <w:trHeight w:val="84"/>
        </w:trPr>
        <w:tc>
          <w:tcPr>
            <w:tcW w:w="68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02"/>
        </w:trPr>
        <w:tc>
          <w:tcPr>
            <w:tcW w:w="6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before provision for income taxes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12,136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16,606</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10,607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22,899</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Provision for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4,480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4,060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5,959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4,094</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6,457</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Minority interest in income of consolidated subsidiary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2,778</w:t>
            </w:r>
          </w:p>
        </w:tc>
        <w:tc>
          <w:tcPr>
            <w:tcW w:w="80" w:type="dxa"/>
            <w:vAlign w:val="bottom"/>
            <w:shd w:val="clear" w:color="auto" w:fill="CCEEFF"/>
          </w:tcPr>
          <w:p>
            <w:pPr>
              <w:spacing w:after="0"/>
              <w:rPr>
                <w:sz w:val="12"/>
                <w:szCs w:val="12"/>
                <w:color w:val="auto"/>
              </w:rPr>
            </w:pPr>
          </w:p>
        </w:tc>
      </w:tr>
      <w:tr>
        <w:trPr>
          <w:trHeight w:val="108"/>
        </w:trPr>
        <w:tc>
          <w:tcPr>
            <w:tcW w:w="6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6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before cumulative effect of change in accounting principle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7,759</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13,664</w:t>
            </w:r>
          </w:p>
        </w:tc>
        <w:tc>
          <w:tcPr>
            <w:tcW w:w="80" w:type="dxa"/>
            <w:vAlign w:val="bottom"/>
            <w:shd w:val="clear" w:color="auto" w:fill="CCEEFF"/>
          </w:tcPr>
          <w:p>
            <w:pPr>
              <w:spacing w:after="0"/>
              <w:rPr>
                <w:sz w:val="12"/>
                <w:szCs w:val="12"/>
                <w:color w:val="auto"/>
              </w:rPr>
            </w:pPr>
          </w:p>
        </w:tc>
      </w:tr>
      <w:tr>
        <w:trPr>
          <w:trHeight w:val="138"/>
        </w:trPr>
        <w:tc>
          <w:tcPr>
            <w:tcW w:w="6840" w:type="dxa"/>
            <w:vAlign w:val="bottom"/>
          </w:tcPr>
          <w:p>
            <w:pPr>
              <w:ind w:left="140"/>
              <w:spacing w:after="0" w:line="138" w:lineRule="exact"/>
              <w:rPr>
                <w:sz w:val="20"/>
                <w:szCs w:val="20"/>
                <w:color w:val="auto"/>
              </w:rPr>
            </w:pPr>
            <w:r>
              <w:rPr>
                <w:rFonts w:ascii="Arial" w:cs="Arial" w:eastAsia="Arial" w:hAnsi="Arial"/>
                <w:sz w:val="14"/>
                <w:szCs w:val="14"/>
                <w:color w:val="auto"/>
                <w:w w:val="94"/>
              </w:rPr>
              <w:t>Cumulative effect of change in accounting principle, net of income tax benefit of $112 and related minority interest</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6840" w:type="dxa"/>
            <w:vAlign w:val="bottom"/>
          </w:tcPr>
          <w:p>
            <w:pPr>
              <w:ind w:left="200"/>
              <w:spacing w:after="0"/>
              <w:rPr>
                <w:sz w:val="20"/>
                <w:szCs w:val="20"/>
                <w:color w:val="auto"/>
              </w:rPr>
            </w:pPr>
            <w:r>
              <w:rPr>
                <w:rFonts w:ascii="Arial" w:cs="Arial" w:eastAsia="Arial" w:hAnsi="Arial"/>
                <w:sz w:val="14"/>
                <w:szCs w:val="14"/>
                <w:color w:val="auto"/>
              </w:rPr>
              <w:t>impact of $84</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98</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95"/>
        </w:trPr>
        <w:tc>
          <w:tcPr>
            <w:tcW w:w="6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6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7,759</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9,987</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4,662</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13,664</w:t>
            </w:r>
          </w:p>
        </w:tc>
        <w:tc>
          <w:tcPr>
            <w:tcW w:w="80" w:type="dxa"/>
            <w:vAlign w:val="bottom"/>
            <w:shd w:val="clear" w:color="auto" w:fill="CCEEFF"/>
          </w:tcPr>
          <w:p>
            <w:pPr>
              <w:spacing w:after="0"/>
              <w:rPr>
                <w:sz w:val="12"/>
                <w:szCs w:val="12"/>
                <w:color w:val="auto"/>
              </w:rPr>
            </w:pPr>
          </w:p>
        </w:tc>
      </w:tr>
      <w:tr>
        <w:trPr>
          <w:trHeight w:val="132"/>
        </w:trPr>
        <w:tc>
          <w:tcPr>
            <w:tcW w:w="6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86"/>
        </w:trPr>
        <w:tc>
          <w:tcPr>
            <w:tcW w:w="6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6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Earnings Per Share:</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0.66</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0.31</w:t>
            </w:r>
          </w:p>
        </w:tc>
        <w:tc>
          <w:tcPr>
            <w:tcW w:w="40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0.89</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0.52</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0.64</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0.30</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0.87</w:t>
            </w:r>
          </w:p>
        </w:tc>
        <w:tc>
          <w:tcPr>
            <w:tcW w:w="80" w:type="dxa"/>
            <w:vAlign w:val="bottom"/>
            <w:shd w:val="clear" w:color="auto" w:fill="CCEEFF"/>
          </w:tcPr>
          <w:p>
            <w:pPr>
              <w:spacing w:after="0"/>
              <w:rPr>
                <w:sz w:val="12"/>
                <w:szCs w:val="12"/>
                <w:color w:val="auto"/>
              </w:rPr>
            </w:pPr>
          </w:p>
        </w:tc>
      </w:tr>
      <w:tr>
        <w:trPr>
          <w:trHeight w:val="149"/>
        </w:trPr>
        <w:tc>
          <w:tcPr>
            <w:tcW w:w="6840" w:type="dxa"/>
            <w:vAlign w:val="bottom"/>
          </w:tcPr>
          <w:p>
            <w:pPr>
              <w:ind w:left="140"/>
              <w:spacing w:after="0" w:line="149" w:lineRule="exact"/>
              <w:rPr>
                <w:sz w:val="20"/>
                <w:szCs w:val="20"/>
                <w:color w:val="auto"/>
              </w:rPr>
            </w:pPr>
            <w:r>
              <w:rPr>
                <w:rFonts w:ascii="Arial" w:cs="Arial" w:eastAsia="Arial" w:hAnsi="Arial"/>
                <w:sz w:val="14"/>
                <w:szCs w:val="14"/>
                <w:color w:val="auto"/>
              </w:rPr>
              <w:t>Weighted average number of shares outstanding—Basic</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14,804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15,021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15,247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15,259</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15,343</w:t>
            </w:r>
          </w:p>
        </w:tc>
        <w:tc>
          <w:tcPr>
            <w:tcW w:w="80" w:type="dxa"/>
            <w:vAlign w:val="bottom"/>
          </w:tcPr>
          <w:p>
            <w:pPr>
              <w:spacing w:after="0"/>
              <w:rPr>
                <w:sz w:val="12"/>
                <w:szCs w:val="12"/>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Weighted average number of shares outstanding—Diluted</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14,804</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15,038</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15,531</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15,540</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15,714</w:t>
            </w:r>
          </w:p>
        </w:tc>
        <w:tc>
          <w:tcPr>
            <w:tcW w:w="80" w:type="dxa"/>
            <w:vAlign w:val="bottom"/>
            <w:shd w:val="clear" w:color="auto" w:fill="CCEEFF"/>
          </w:tcPr>
          <w:p>
            <w:pPr>
              <w:spacing w:after="0"/>
              <w:rPr>
                <w:sz w:val="12"/>
                <w:szCs w:val="12"/>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4"/>
                <w:szCs w:val="14"/>
                <w:b w:val="1"/>
                <w:bCs w:val="1"/>
                <w:color w:val="auto"/>
              </w:rPr>
              <w:t>Other Data:</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49"/>
        </w:trPr>
        <w:tc>
          <w:tcPr>
            <w:tcW w:w="6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Dividends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4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-859155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-859155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-859155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-859155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-859155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-859155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-859155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-859155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-859155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-859155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-859155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-859155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-859155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-859155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-859155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left="9640"/>
        <w:spacing w:after="0"/>
        <w:rPr>
          <w:sz w:val="20"/>
          <w:szCs w:val="20"/>
          <w:color w:val="auto"/>
        </w:rPr>
      </w:pPr>
      <w:r>
        <w:rPr>
          <w:rFonts w:ascii="Arial" w:cs="Arial" w:eastAsia="Arial" w:hAnsi="Arial"/>
          <w:sz w:val="14"/>
          <w:szCs w:val="14"/>
          <w:b w:val="1"/>
          <w:bCs w:val="1"/>
          <w:color w:val="auto"/>
        </w:rPr>
        <w:t>(Unaudited)</w:t>
      </w:r>
    </w:p>
    <w:p>
      <w:pPr>
        <w:jc w:val="center"/>
        <w:ind w:left="9640"/>
        <w:spacing w:after="0" w:line="223" w:lineRule="auto"/>
        <w:rPr>
          <w:sz w:val="20"/>
          <w:szCs w:val="20"/>
          <w:color w:val="auto"/>
        </w:rPr>
      </w:pPr>
      <w:r>
        <w:rPr>
          <w:rFonts w:ascii="Arial" w:cs="Arial" w:eastAsia="Arial" w:hAnsi="Arial"/>
          <w:sz w:val="14"/>
          <w:szCs w:val="14"/>
          <w:b w:val="1"/>
          <w:bCs w:val="1"/>
          <w:color w:val="auto"/>
        </w:rPr>
        <w:t>Three Months Ended</w:t>
      </w:r>
    </w:p>
    <w:p>
      <w:pPr>
        <w:jc w:val="center"/>
        <w:ind w:left="96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6153785</wp:posOffset>
            </wp:positionH>
            <wp:positionV relativeFrom="paragraph">
              <wp:posOffset>60325</wp:posOffset>
            </wp:positionV>
            <wp:extent cx="1063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92"/>
              <w:spacing w:after="0"/>
              <w:rPr>
                <w:sz w:val="20"/>
                <w:szCs w:val="20"/>
                <w:color w:val="auto"/>
              </w:rPr>
            </w:pPr>
            <w:r>
              <w:rPr>
                <w:rFonts w:ascii="Arial" w:cs="Arial" w:eastAsia="Arial" w:hAnsi="Arial"/>
                <w:sz w:val="14"/>
                <w:szCs w:val="14"/>
                <w:b w:val="1"/>
                <w:bCs w:val="1"/>
                <w:color w:val="auto"/>
                <w:w w:val="83"/>
              </w:rPr>
              <w:t>2003</w:t>
            </w:r>
          </w:p>
        </w:tc>
        <w:tc>
          <w:tcPr>
            <w:tcW w:w="60" w:type="dxa"/>
            <w:vAlign w:val="bottom"/>
          </w:tcPr>
          <w:p>
            <w:pPr>
              <w:spacing w:after="0"/>
              <w:rPr>
                <w:sz w:val="15"/>
                <w:szCs w:val="15"/>
                <w:color w:val="auto"/>
              </w:rPr>
            </w:pPr>
          </w:p>
        </w:tc>
      </w:tr>
      <w:tr>
        <w:trPr>
          <w:trHeight w:val="95"/>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7"/>
        </w:trPr>
        <w:tc>
          <w:tcPr>
            <w:tcW w:w="6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6"/>
              </w:rPr>
              <w:t>(in thousands, except per</w:t>
            </w:r>
          </w:p>
        </w:tc>
      </w:tr>
      <w:tr>
        <w:trPr>
          <w:trHeight w:val="161"/>
        </w:trPr>
        <w:tc>
          <w:tcPr>
            <w:tcW w:w="6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share data)</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Net sales</w:t>
            </w:r>
          </w:p>
        </w:tc>
        <w:tc>
          <w:tcPr>
            <w:tcW w:w="34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47,200</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57,609</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Cost of goods sold</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35,532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42,743</w:t>
            </w:r>
          </w:p>
        </w:tc>
        <w:tc>
          <w:tcPr>
            <w:tcW w:w="60" w:type="dxa"/>
            <w:vAlign w:val="bottom"/>
            <w:shd w:val="clear" w:color="auto" w:fill="CCEEFF"/>
          </w:tcPr>
          <w:p>
            <w:pPr>
              <w:spacing w:after="0"/>
              <w:rPr>
                <w:sz w:val="12"/>
                <w:szCs w:val="12"/>
                <w:color w:val="auto"/>
              </w:rPr>
            </w:pPr>
          </w:p>
        </w:tc>
      </w:tr>
      <w:tr>
        <w:trPr>
          <w:trHeight w:val="108"/>
        </w:trPr>
        <w:tc>
          <w:tcPr>
            <w:tcW w:w="6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Gross profit</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14,866</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4,459(1)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4,632</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Depreciation and amortization</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2,796(1)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3,079</w:t>
            </w:r>
          </w:p>
        </w:tc>
        <w:tc>
          <w:tcPr>
            <w:tcW w:w="60" w:type="dxa"/>
            <w:vAlign w:val="bottom"/>
            <w:shd w:val="clear" w:color="auto" w:fill="CCEEFF"/>
          </w:tcPr>
          <w:p>
            <w:pPr>
              <w:spacing w:after="0"/>
              <w:rPr>
                <w:sz w:val="12"/>
                <w:szCs w:val="12"/>
                <w:color w:val="auto"/>
              </w:rPr>
            </w:pPr>
          </w:p>
        </w:tc>
      </w:tr>
      <w:tr>
        <w:trPr>
          <w:trHeight w:val="172"/>
        </w:trPr>
        <w:tc>
          <w:tcPr>
            <w:tcW w:w="6360" w:type="dxa"/>
            <w:vAlign w:val="bottom"/>
          </w:tcPr>
          <w:p>
            <w:pPr>
              <w:ind w:left="200"/>
              <w:spacing w:after="0"/>
              <w:rPr>
                <w:sz w:val="20"/>
                <w:szCs w:val="20"/>
                <w:color w:val="auto"/>
              </w:rPr>
            </w:pPr>
            <w:r>
              <w:rPr>
                <w:rFonts w:ascii="Arial" w:cs="Arial" w:eastAsia="Arial" w:hAnsi="Arial"/>
                <w:sz w:val="14"/>
                <w:szCs w:val="14"/>
                <w:color w:val="auto"/>
              </w:rPr>
              <w:t>Restructuring and impairment costs</w:t>
            </w: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78</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84"/>
        </w:trPr>
        <w:tc>
          <w:tcPr>
            <w:tcW w:w="6360" w:type="dxa"/>
            <w:vAlign w:val="bottom"/>
          </w:tcPr>
          <w:p>
            <w:pPr>
              <w:spacing w:after="0"/>
              <w:rPr>
                <w:sz w:val="7"/>
                <w:szCs w:val="7"/>
                <w:color w:val="auto"/>
              </w:rPr>
            </w:pPr>
          </w:p>
        </w:tc>
        <w:tc>
          <w:tcPr>
            <w:tcW w:w="3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4,335(1)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7,155</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669(1)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income</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r>
      <w:tr>
        <w:trPr>
          <w:trHeight w:val="108"/>
        </w:trPr>
        <w:tc>
          <w:tcPr>
            <w:tcW w:w="6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before provision for income taxes</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4,021</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w:t>
            </w: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200"/>
              <w:spacing w:after="0" w:line="149" w:lineRule="exact"/>
              <w:rPr>
                <w:sz w:val="20"/>
                <w:szCs w:val="20"/>
                <w:color w:val="auto"/>
              </w:rPr>
            </w:pPr>
            <w:r>
              <w:rPr>
                <w:rFonts w:ascii="Arial" w:cs="Arial" w:eastAsia="Arial" w:hAnsi="Arial"/>
                <w:sz w:val="14"/>
                <w:szCs w:val="14"/>
                <w:color w:val="auto"/>
              </w:rPr>
              <w:t>Provision for income taxes</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1,505</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2,472</w:t>
            </w:r>
          </w:p>
        </w:tc>
        <w:tc>
          <w:tcPr>
            <w:tcW w:w="60" w:type="dxa"/>
            <w:vAlign w:val="bottom"/>
          </w:tcPr>
          <w:p>
            <w:pPr>
              <w:spacing w:after="0"/>
              <w:rPr>
                <w:sz w:val="12"/>
                <w:szCs w:val="12"/>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Minority interest in income of consolidated subsidiary</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60" w:type="dxa"/>
            <w:vAlign w:val="bottom"/>
            <w:shd w:val="clear" w:color="auto" w:fill="CCEEFF"/>
          </w:tcPr>
          <w:p>
            <w:pPr>
              <w:spacing w:after="0"/>
              <w:rPr>
                <w:sz w:val="12"/>
                <w:szCs w:val="12"/>
                <w:color w:val="auto"/>
              </w:rPr>
            </w:pPr>
          </w:p>
        </w:tc>
      </w:tr>
      <w:tr>
        <w:trPr>
          <w:trHeight w:val="108"/>
        </w:trPr>
        <w:tc>
          <w:tcPr>
            <w:tcW w:w="6360" w:type="dxa"/>
            <w:vAlign w:val="bottom"/>
          </w:tcPr>
          <w:p>
            <w:pPr>
              <w:spacing w:after="0"/>
              <w:rPr>
                <w:sz w:val="9"/>
                <w:szCs w:val="9"/>
                <w:color w:val="auto"/>
              </w:rPr>
            </w:pPr>
          </w:p>
        </w:tc>
        <w:tc>
          <w:tcPr>
            <w:tcW w:w="3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9"/>
        </w:trPr>
        <w:tc>
          <w:tcPr>
            <w:tcW w:w="63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3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3,643</w:t>
            </w:r>
          </w:p>
        </w:tc>
        <w:tc>
          <w:tcPr>
            <w:tcW w:w="60" w:type="dxa"/>
            <w:vAlign w:val="bottom"/>
            <w:shd w:val="clear" w:color="auto" w:fill="CCEEFF"/>
          </w:tcPr>
          <w:p>
            <w:pPr>
              <w:spacing w:after="0"/>
              <w:rPr>
                <w:sz w:val="12"/>
                <w:szCs w:val="12"/>
                <w:color w:val="auto"/>
              </w:rPr>
            </w:pPr>
          </w:p>
        </w:tc>
      </w:tr>
      <w:tr>
        <w:trPr>
          <w:trHeight w:val="132"/>
        </w:trPr>
        <w:tc>
          <w:tcPr>
            <w:tcW w:w="636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86"/>
        </w:trPr>
        <w:tc>
          <w:tcPr>
            <w:tcW w:w="6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 Earnings Per Share</w:t>
            </w:r>
            <w:r>
              <w:rPr>
                <w:rFonts w:ascii="Arial" w:cs="Arial" w:eastAsia="Arial" w:hAnsi="Arial"/>
                <w:sz w:val="14"/>
                <w:szCs w:val="14"/>
                <w:color w:val="auto"/>
              </w:rPr>
              <w:t>:</w:t>
            </w:r>
          </w:p>
        </w:tc>
        <w:tc>
          <w:tcPr>
            <w:tcW w:w="34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0.23</w:t>
            </w:r>
          </w:p>
        </w:tc>
        <w:tc>
          <w:tcPr>
            <w:tcW w:w="60" w:type="dxa"/>
            <w:vAlign w:val="bottom"/>
            <w:shd w:val="clear" w:color="auto" w:fill="CCEEFF"/>
          </w:tcPr>
          <w:p>
            <w:pPr>
              <w:spacing w:after="0"/>
              <w:rPr>
                <w:sz w:val="12"/>
                <w:szCs w:val="12"/>
                <w:color w:val="auto"/>
              </w:rPr>
            </w:pPr>
          </w:p>
        </w:tc>
      </w:tr>
      <w:tr>
        <w:trPr>
          <w:trHeight w:val="203"/>
        </w:trPr>
        <w:tc>
          <w:tcPr>
            <w:tcW w:w="63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center"/>
              <w:ind w:left="272"/>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4"/>
        </w:trPr>
        <w:tc>
          <w:tcPr>
            <w:tcW w:w="6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As of March 31, 2003</w:t>
            </w:r>
          </w:p>
        </w:tc>
      </w:tr>
      <w:tr>
        <w:trPr>
          <w:trHeight w:val="95"/>
        </w:trPr>
        <w:tc>
          <w:tcPr>
            <w:tcW w:w="636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4"/>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r>
        <w:trPr>
          <w:trHeight w:val="250"/>
        </w:trPr>
        <w:tc>
          <w:tcPr>
            <w:tcW w:w="636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4"/>
          </w:tcPr>
          <w:p>
            <w:pPr>
              <w:jc w:val="center"/>
              <w:ind w:left="272"/>
              <w:spacing w:after="0"/>
              <w:rPr>
                <w:sz w:val="20"/>
                <w:szCs w:val="20"/>
                <w:color w:val="auto"/>
              </w:rPr>
            </w:pPr>
            <w:r>
              <w:rPr>
                <w:rFonts w:ascii="Arial" w:cs="Arial" w:eastAsia="Arial" w:hAnsi="Arial"/>
                <w:sz w:val="14"/>
                <w:szCs w:val="14"/>
                <w:b w:val="1"/>
                <w:bCs w:val="1"/>
                <w:color w:val="auto"/>
                <w:w w:val="84"/>
              </w:rPr>
              <w:t>(in thousands)</w:t>
            </w: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49"/>
        </w:trPr>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6360" w:type="dxa"/>
            <w:vAlign w:val="bottom"/>
          </w:tcPr>
          <w:p>
            <w:pPr>
              <w:ind w:left="380"/>
              <w:spacing w:after="0" w:line="149" w:lineRule="exact"/>
              <w:rPr>
                <w:sz w:val="20"/>
                <w:szCs w:val="20"/>
                <w:color w:val="auto"/>
              </w:rPr>
            </w:pPr>
            <w:r>
              <w:rPr>
                <w:rFonts w:ascii="Arial" w:cs="Arial" w:eastAsia="Arial" w:hAnsi="Arial"/>
                <w:sz w:val="14"/>
                <w:szCs w:val="14"/>
                <w:color w:val="auto"/>
              </w:rPr>
              <w:t>Working capital</w:t>
            </w:r>
          </w:p>
        </w:tc>
        <w:tc>
          <w:tcPr>
            <w:tcW w:w="3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24,893</w:t>
            </w:r>
          </w:p>
        </w:tc>
      </w:tr>
      <w:tr>
        <w:trPr>
          <w:trHeight w:val="149"/>
        </w:trPr>
        <w:tc>
          <w:tcPr>
            <w:tcW w:w="63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assets</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212,096</w:t>
            </w:r>
          </w:p>
        </w:tc>
      </w:tr>
      <w:tr>
        <w:trPr>
          <w:trHeight w:val="149"/>
        </w:trPr>
        <w:tc>
          <w:tcPr>
            <w:tcW w:w="6360" w:type="dxa"/>
            <w:vAlign w:val="bottom"/>
          </w:tcPr>
          <w:p>
            <w:pPr>
              <w:ind w:left="380"/>
              <w:spacing w:after="0" w:line="149" w:lineRule="exact"/>
              <w:rPr>
                <w:sz w:val="20"/>
                <w:szCs w:val="20"/>
                <w:color w:val="auto"/>
              </w:rPr>
            </w:pPr>
            <w:r>
              <w:rPr>
                <w:rFonts w:ascii="Arial" w:cs="Arial" w:eastAsia="Arial" w:hAnsi="Arial"/>
                <w:sz w:val="14"/>
                <w:szCs w:val="14"/>
                <w:color w:val="auto"/>
              </w:rPr>
              <w:t>Total debt</w:t>
            </w: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53,236</w:t>
            </w:r>
          </w:p>
        </w:tc>
      </w:tr>
      <w:tr>
        <w:trPr>
          <w:trHeight w:val="149"/>
        </w:trPr>
        <w:tc>
          <w:tcPr>
            <w:tcW w:w="636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stockholders’ equity</w:t>
            </w:r>
          </w:p>
        </w:tc>
        <w:tc>
          <w:tcPr>
            <w:tcW w:w="3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-1184910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-1184910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-1184910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-1184910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-1184910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-1184910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amounts have been reclassified from amounts reported in the first quarter of 2002 to conform with the 2003 presentation.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i w:val="1"/>
          <w:iCs w:val="1"/>
          <w:color w:val="auto"/>
        </w:rPr>
        <w:t>You should carefully consider the following risks and uncertainties, and all other information contained in this prospectus supplement and accompanying prospectus or incorporated by reference in this prospectus supplement and accompanying prospectus,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37" w:lineRule="exact"/>
        <w:rPr>
          <w:sz w:val="20"/>
          <w:szCs w:val="20"/>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126" w:lineRule="exact"/>
        <w:rPr>
          <w:rFonts w:ascii="Arial" w:cs="Arial" w:eastAsia="Arial" w:hAnsi="Arial"/>
          <w:sz w:val="16"/>
          <w:szCs w:val="16"/>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8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In the first quarter of 2003, approximately 50% of the $10.4 million increase in revenues was attributable to favorable currency fluctuations. Also, a decline in the value of the Euro relative to the U.S. dollar will negatively impact our consolidated financial results, which are denominated in U.S. dollars.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will reflect lower sales as compared to other quarters, as our sales to European customers have increased as a percentage of net sales.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1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of SKF’s tapered roller and metal cage production facility, along with the related long-term supply agreement with SKF, will increase our dependence on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of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businesses could impede our future growth.</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growth strategy.</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During 2002, we purchased INA/FAG’s minority interest in Euroball and on May 2, 2003, we acquired SKF’s minority interest in Euroball, to become the sole owner of Euroball. On May 2, 2003 we acquired SKF’s tapered roller and metal cage manufacturing operations in Veenendaal, The Netherlands.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growth strategy depends on outsourcing, and if the industry trend toward outsourcing does not continue, our business could be adversely affected.</w:t>
      </w:r>
    </w:p>
    <w:p>
      <w:pPr>
        <w:spacing w:after="0" w:line="111"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market is highly competitive and many of our competitors have significant advantages that could adversely affect our business.</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02"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100" w:lineRule="exact"/>
        <w:rPr>
          <w:sz w:val="20"/>
          <w:szCs w:val="20"/>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00"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preferred shares without a stockholder vote. In addition, our restated certificate of incorporation provides that stockholders may not call a special meeting.</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3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the shares of common stock by the selling stockholders.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over-allotment option is exercised in full, we estimate that the net proceeds we will receive from this offering, after deducting underwriting discounts, commissions and our estimated offering expenses will be approximately $5.1 million. We intend to use the net proceeds from this offering for working capital, general corporate purposes and to repay a portion of our borrowings under the U.S. term loan portion of our credit facility, as required under that facility. Our credit facility with AmSouth Bank was used to fund our purchase of SKF’s component manufacturing operations in Veenendaal, The Netherlands and SKF’s 23% interest in Euroball. This facility replaces our prior credit facility with AmSouth and Euroball’s credit facility with HypoVereinsbank Luxembourg, S.A. The U.S. term loan under our credit facility expires on May 1, 2008 and bears interest at a floating rate equal to LIBOR (1.31% on April 30, 2003) plus an applicable margin of 1.25% to 2.0%, based on calculated financial ratios. Approximately $30.4 million was outstanding under the U.S. term loan as of May 2, 2003.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May 1, 2003, and as by the stockholders who are selling 3,556,895 shares of common stock in this offering, and as adjusted to reflect the sale of shares offered in this prospectus supplement. Unless otherwise noted, to our knowledge each selling stockholder has sole voting and investment power over the shares shown.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left="684"/>
              <w:spacing w:after="0"/>
              <w:rPr>
                <w:sz w:val="20"/>
                <w:szCs w:val="20"/>
                <w:color w:val="auto"/>
              </w:rPr>
            </w:pPr>
            <w:r>
              <w:rPr>
                <w:rFonts w:ascii="Arial" w:cs="Arial" w:eastAsia="Arial" w:hAnsi="Arial"/>
                <w:sz w:val="14"/>
                <w:szCs w:val="14"/>
                <w:b w:val="1"/>
                <w:bCs w:val="1"/>
                <w:color w:val="auto"/>
                <w:w w:val="85"/>
              </w:rPr>
              <w:t>Shares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Prior to Offering</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After Offering</w:t>
            </w: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Percent (%)</w:t>
            </w:r>
          </w:p>
        </w:tc>
        <w:tc>
          <w:tcPr>
            <w:tcW w:w="0" w:type="dxa"/>
            <w:vAlign w:val="bottom"/>
          </w:tcPr>
          <w:p>
            <w:pPr>
              <w:spacing w:after="0"/>
              <w:rPr>
                <w:sz w:val="1"/>
                <w:szCs w:val="1"/>
                <w:color w:val="auto"/>
              </w:rPr>
            </w:pPr>
          </w:p>
        </w:tc>
      </w:tr>
      <w:tr>
        <w:trPr>
          <w:trHeight w:val="174"/>
        </w:trPr>
        <w:tc>
          <w:tcPr>
            <w:tcW w:w="3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 (%)(1)</w:t>
            </w:r>
          </w:p>
        </w:tc>
        <w:tc>
          <w:tcPr>
            <w:tcW w:w="1200" w:type="dxa"/>
            <w:vAlign w:val="bottom"/>
          </w:tcPr>
          <w:p>
            <w:pPr>
              <w:jc w:val="right"/>
              <w:ind w:right="119"/>
              <w:spacing w:after="0"/>
              <w:rPr>
                <w:sz w:val="20"/>
                <w:szCs w:val="20"/>
                <w:color w:val="auto"/>
              </w:rPr>
            </w:pPr>
            <w:r>
              <w:rPr>
                <w:rFonts w:ascii="Arial" w:cs="Arial" w:eastAsia="Arial" w:hAnsi="Arial"/>
                <w:sz w:val="14"/>
                <w:szCs w:val="14"/>
                <w:b w:val="1"/>
                <w:bCs w:val="1"/>
                <w:color w:val="auto"/>
              </w:rPr>
              <w:t>Being Offered</w:t>
            </w:r>
          </w:p>
        </w:tc>
        <w:tc>
          <w:tcPr>
            <w:tcW w:w="3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D. Ennen (2)</w:t>
            </w:r>
          </w:p>
        </w:tc>
        <w:tc>
          <w:tcPr>
            <w:tcW w:w="2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2,839,668(3)</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2,839,668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Michael D. Huff (4)</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662,227(5)</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1200" w:type="dxa"/>
            <w:vAlign w:val="bottom"/>
          </w:tcPr>
          <w:p>
            <w:pPr>
              <w:jc w:val="right"/>
              <w:spacing w:after="0"/>
              <w:rPr>
                <w:sz w:val="20"/>
                <w:szCs w:val="20"/>
                <w:color w:val="auto"/>
              </w:rPr>
            </w:pPr>
            <w:r>
              <w:rPr>
                <w:rFonts w:ascii="Arial" w:cs="Arial" w:eastAsia="Arial" w:hAnsi="Arial"/>
                <w:sz w:val="18"/>
                <w:szCs w:val="18"/>
                <w:color w:val="auto"/>
              </w:rPr>
              <w:t>662,227</w:t>
            </w:r>
          </w:p>
        </w:tc>
        <w:tc>
          <w:tcPr>
            <w:tcW w:w="3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Janet M. Huff</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40" w:type="dxa"/>
            <w:vAlign w:val="bottom"/>
          </w:tcPr>
          <w:p>
            <w:pPr>
              <w:ind w:left="20"/>
              <w:spacing w:after="0"/>
              <w:rPr>
                <w:sz w:val="20"/>
                <w:szCs w:val="20"/>
                <w:color w:val="auto"/>
              </w:rPr>
            </w:pPr>
            <w:r>
              <w:rPr>
                <w:rFonts w:ascii="Arial" w:cs="Arial" w:eastAsia="Arial" w:hAnsi="Arial"/>
                <w:sz w:val="18"/>
                <w:szCs w:val="18"/>
                <w:color w:val="auto"/>
              </w:rPr>
              <w:t>Deborah E. Bagierek</w:t>
            </w:r>
          </w:p>
        </w:tc>
        <w:tc>
          <w:tcPr>
            <w:tcW w:w="2840" w:type="dxa"/>
            <w:vAlign w:val="bottom"/>
            <w:gridSpan w:val="3"/>
          </w:tcPr>
          <w:p>
            <w:pPr>
              <w:jc w:val="right"/>
              <w:ind w:right="40"/>
              <w:spacing w:after="0"/>
              <w:rPr>
                <w:sz w:val="20"/>
                <w:szCs w:val="20"/>
                <w:color w:val="auto"/>
              </w:rPr>
            </w:pPr>
            <w:r>
              <w:rPr>
                <w:rFonts w:ascii="Arial" w:cs="Arial" w:eastAsia="Arial" w:hAnsi="Arial"/>
                <w:sz w:val="18"/>
                <w:szCs w:val="18"/>
                <w:color w:val="auto"/>
              </w:rPr>
              <w:t>76,169(6)</w:t>
            </w:r>
          </w:p>
        </w:tc>
        <w:tc>
          <w:tcPr>
            <w:tcW w:w="16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21,169</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are less than one percent.</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16,081,441 shares of NN’s common stock outstanding on May 1, 2003.</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Ennen currently sits on the Company’s Board of Directors and has since the Company’s formation in 1980. He was Chairman of the Board from the formation of the Company until September of 2001. Mr. Ennen has agreed not to stand for re-election to the Board of Directors at NN’s 2003 Annual Meeting of Stockholders.</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1,800,000 shares held by the Richard D. Ennen Charitable Remainder 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Huff currently sits on the Company’s Board of Directors and has since the Company’s formation in 1980.</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(i) 23,000 shares subject to presently exercisable options, and (ii) 225,000 shares held directly by Mr. Huff’s spouse, for which Mr. Huff disclaims beneficial ownership.</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Ms. Bagierek’s shares are held by the Deborah Ennen Bagierek Trust, of which Ms. Bagierek is a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Subject to the terms and conditions set forth in an underwriting agreement by and among the selling stockholders, us and McDonald Investments Inc. and Legg Mason Wood Walker, Incorporated, as representatives for the underwriters named in the agreement, we and the selling stockholders have agreed to sell to each underwriter, and each underwriter has severally agreed to purchase from the selling stockholders, the number of shares of common stock set forth opposite its name in the table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74"/>
        </w:trPr>
        <w:tc>
          <w:tcPr>
            <w:tcW w:w="99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860" w:type="dxa"/>
            <w:vAlign w:val="bottom"/>
            <w:tcBorders>
              <w:bottom w:val="single" w:sz="8" w:color="auto"/>
            </w:tcBorders>
          </w:tcPr>
          <w:p>
            <w:pPr>
              <w:spacing w:after="0"/>
              <w:rPr>
                <w:sz w:val="8"/>
                <w:szCs w:val="8"/>
                <w:color w:val="auto"/>
              </w:rPr>
            </w:pPr>
          </w:p>
        </w:tc>
        <w:tc>
          <w:tcPr>
            <w:tcW w:w="90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McDonald Investments Inc., a KeyCorp Company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Legg Mason Wood Walker, Incorporated</w:t>
            </w:r>
          </w:p>
        </w:tc>
        <w:tc>
          <w:tcPr>
            <w:tcW w:w="1480" w:type="dxa"/>
            <w:vAlign w:val="bottom"/>
          </w:tcPr>
          <w:p>
            <w:pPr>
              <w:jc w:val="right"/>
              <w:spacing w:after="0"/>
              <w:rPr>
                <w:sz w:val="20"/>
                <w:szCs w:val="20"/>
                <w:color w:val="auto"/>
              </w:rPr>
            </w:pPr>
            <w:r>
              <w:rPr>
                <w:rFonts w:ascii="Arial" w:cs="Arial" w:eastAsia="Arial" w:hAnsi="Arial"/>
                <w:sz w:val="18"/>
                <w:szCs w:val="18"/>
                <w:color w:val="auto"/>
              </w:rPr>
              <w:t>1,244,913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6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6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terms of the underwriting agreement, the underwriters are committed to purchase all of the shares of common stock if any are purchased. If an underwriter defaults, the underwriting agreement provides that the purchase commitments of the nondefaulting underwriters may be increased or the underwriting agreement may be terminated.</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and the selling stockholders have agreed to indemnify the underwriters against certain liabilities, including liabilities under the Securities Act of 1933, as amended, or to contribute to payments the underwriters may be required to make in respect thereof.</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underwriting agreement provides that the underwriters’ obligations to purchase the shares of common stock depend on the satisfaction of the conditions contained in the underwriting agreement. The conditions contained in the underwriting agreement include the requirement that the representations and warranties made by the selling stockholders and us to the underwriters are true, that there is no material change in the financial markets and that we deliver to the underwriters customary closing documents.</w:t>
      </w:r>
    </w:p>
    <w:p>
      <w:pPr>
        <w:spacing w:after="0" w:line="13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underwriters propose to offer the selling stockholders’ and our shares of common stock directly to the public at $10.37 per share and to certain dealers at such price less a concession not in excess of $.36 per share. The underwriters may allow, and such dealers may reallow, a concession not in excess of $.10 per share to certain dealers.</w:t>
      </w:r>
    </w:p>
    <w:p>
      <w:pPr>
        <w:spacing w:after="0" w:line="12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 that the selling stockholders and we will pay to the underwriters. Such amounts are shown assuming both no exercise and full exercise of the underwriters’ option to purchase 533,600 additional shares of common stock.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right"/>
              <w:ind w:right="118"/>
              <w:spacing w:after="0"/>
              <w:rPr>
                <w:sz w:val="20"/>
                <w:szCs w:val="20"/>
                <w:color w:val="auto"/>
              </w:rPr>
            </w:pPr>
            <w:r>
              <w:rPr>
                <w:rFonts w:ascii="Arial" w:cs="Arial" w:eastAsia="Arial" w:hAnsi="Arial"/>
                <w:sz w:val="14"/>
                <w:szCs w:val="14"/>
                <w:b w:val="1"/>
                <w:bCs w:val="1"/>
                <w:color w:val="auto"/>
                <w:w w:val="93"/>
              </w:rPr>
              <w:t>Total Without Option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38"/>
              <w:spacing w:after="0"/>
              <w:rPr>
                <w:sz w:val="20"/>
                <w:szCs w:val="20"/>
                <w:color w:val="auto"/>
              </w:rPr>
            </w:pPr>
            <w:r>
              <w:rPr>
                <w:rFonts w:ascii="Arial" w:cs="Arial" w:eastAsia="Arial" w:hAnsi="Arial"/>
                <w:sz w:val="14"/>
                <w:szCs w:val="14"/>
                <w:b w:val="1"/>
                <w:bCs w:val="1"/>
                <w:color w:val="auto"/>
                <w:w w:val="94"/>
              </w:rPr>
              <w:t>Total With Option</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900" w:type="dxa"/>
            <w:vAlign w:val="bottom"/>
            <w:gridSpan w:val="3"/>
          </w:tcPr>
          <w:p>
            <w:pPr>
              <w:ind w:left="1320"/>
              <w:spacing w:after="0"/>
              <w:rPr>
                <w:sz w:val="20"/>
                <w:szCs w:val="20"/>
                <w:color w:val="auto"/>
              </w:rPr>
            </w:pPr>
            <w:r>
              <w:rPr>
                <w:rFonts w:ascii="Arial" w:cs="Arial" w:eastAsia="Arial" w:hAnsi="Arial"/>
                <w:sz w:val="14"/>
                <w:szCs w:val="14"/>
                <w:b w:val="1"/>
                <w:bCs w:val="1"/>
                <w:color w:val="auto"/>
                <w:w w:val="85"/>
              </w:rPr>
              <w:t>Per Share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right"/>
              <w:ind w:right="478"/>
              <w:spacing w:after="0"/>
              <w:rPr>
                <w:sz w:val="20"/>
                <w:szCs w:val="20"/>
                <w:color w:val="auto"/>
              </w:rPr>
            </w:pPr>
            <w:r>
              <w:rPr>
                <w:rFonts w:ascii="Arial" w:cs="Arial" w:eastAsia="Arial" w:hAnsi="Arial"/>
                <w:sz w:val="14"/>
                <w:szCs w:val="14"/>
                <w:b w:val="1"/>
                <w:bCs w:val="1"/>
                <w:color w:val="auto"/>
              </w:rPr>
              <w:t>Exercised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378"/>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36,885,001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42,418,433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Underwriting discount(1)</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Payable by us</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Payable by the selling stockholders</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2,134,137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2,134,137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gridSpan w:val="2"/>
          </w:tcPr>
          <w:p>
            <w:pPr>
              <w:ind w:left="240"/>
              <w:spacing w:after="0"/>
              <w:rPr>
                <w:sz w:val="20"/>
                <w:szCs w:val="20"/>
                <w:color w:val="auto"/>
              </w:rPr>
            </w:pPr>
            <w:r>
              <w:rPr>
                <w:rFonts w:ascii="Arial" w:cs="Arial" w:eastAsia="Arial" w:hAnsi="Arial"/>
                <w:sz w:val="18"/>
                <w:szCs w:val="18"/>
                <w:color w:val="auto"/>
              </w:rPr>
              <w:t>Proceeds to us (before expenses)</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5,213,272</w:t>
            </w:r>
          </w:p>
        </w:tc>
        <w:tc>
          <w:tcPr>
            <w:tcW w:w="0" w:type="dxa"/>
            <w:vAlign w:val="bottom"/>
          </w:tcPr>
          <w:p>
            <w:pPr>
              <w:spacing w:after="0"/>
              <w:rPr>
                <w:sz w:val="1"/>
                <w:szCs w:val="1"/>
                <w:color w:val="auto"/>
              </w:rPr>
            </w:pPr>
          </w:p>
        </w:tc>
      </w:tr>
      <w:tr>
        <w:trPr>
          <w:trHeight w:val="208"/>
        </w:trPr>
        <w:tc>
          <w:tcPr>
            <w:tcW w:w="880" w:type="dxa"/>
            <w:vAlign w:val="bottom"/>
          </w:tcPr>
          <w:p>
            <w:pPr>
              <w:spacing w:after="0"/>
              <w:rPr>
                <w:sz w:val="18"/>
                <w:szCs w:val="18"/>
                <w:color w:val="auto"/>
              </w:rPr>
            </w:pPr>
          </w:p>
        </w:tc>
        <w:tc>
          <w:tcPr>
            <w:tcW w:w="4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to the selling stockholders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(before expenses)</w:t>
            </w:r>
          </w:p>
        </w:tc>
        <w:tc>
          <w:tcPr>
            <w:tcW w:w="146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34,750,864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34,750,864</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underwriting discount is 5.8%, or $.60 per share.</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We expect to incur expenses of approximately $100,000 in connection with this offering.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granted the underwriters an option to purchase up to 533,600 additional shares of common stock at the public offering price less the underwriting discount. The underwriters may exercise the option for 30 days from the date of this prospectus supplement solely to cover any over-allotments. If the underwriters exercise this option, each will be obligated, subject to conditions contained in the underwriting agreement, to purchase a number of additional shares of common stock proportionate to that underwriter’s initial amount reflected in the above table.</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of the selling stockholders has agreed with the underwriters, for a period of 90 days after the date of this prospectus supplement, subject to certain exceptions, not to sell any shares of common stock or any securities convertible into or exchangeable for shares of common stock owned by the holders, without the prior written consent of the underwriters. However, the underwriters may, in their sole discretion and at any time without notice, release all or any portion of the securities subject to these agreements.</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Until the distribution of the shares of common stock is completed, Securities and Exchange Commission rules may limit the underwriters and selling group members from bidding for and purchasing our shares of common stock. However, the underwriters may engage in transactions that stabilize the price of the common stock, such as bids or purchases to peg, fix, or maintain that price.</w:t>
      </w:r>
    </w:p>
    <w:p>
      <w:pPr>
        <w:spacing w:after="0" w:line="127"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If the underwriters create a short position in the shares of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over-allotment option described above. Purchases of the shares of common stock to stabilize its price or to reduce a short position may cause the price of the shares of common stock to be higher than it might be in the absence of such purchases.</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Neither we nor the underwriters makes any representation or prediction as to the effect the transactions described above may have on the price of the shares of common stock. These transactions may occur on the Nasdaq National Market or otherwise. If such transactions are commenced, they may be discontinued without notice at any time.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in connection with this offering, some of the underwriters may engage in passive market making transactions in the common stock on the Nasdaq National Market, prior to the pricing and completion of the offering. Passive market making consists of displaying bids on the Nasdaq National Market no higher than the bid prices of independent market makers and making purchases at prices no higher than those independent bids and effected in response to order flow. Net purchases by a passive market maker on each day are limited to a specified percentage of the passive market maker’s average daily trading volume in the common stock during a specified period and must be discontinued when that limit is reached. Passive market making may cause the price of the common stock to be higher than the price that otherwise would exist in the open market in the absence of those transactions. If the underwriters commence passive market making transactions, they may discontinue them at any time.</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Royce &amp; Associates, LLC, an affiliate of Legg Mason Wood Walker, Incorporated, manages accounts that beneficially own 849,200 shares of our common stock as of April 30, 2003. Additionally, Legg Mason Wood Walker, Incorporated manages accounts that beneficially own 52,550 shares of our common stock as of April 30, 2003, and Legg Mason Trust FSB, an affiliate of Legg Mason Wood Walker, Incorporated, manages accounts that beneficially own 2,000 shares of our common stock as of April 30, 2003. In addition, 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validity of the common stock offered hereby will be passed upon for us by Blackwell Sanders Peper Martin LLP, Two Pershing Square, 2300 Main Street, Suite 1000, Kansas City, Missouri 64108. Certain legal matters will be passed upon for the underwriters by Calfee, Halter &amp; Griswold LLP, 1400 McDonald Investment Center, 800 Superior Avenue, Cleveland, Ohio, 44114.</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13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filed a registration statement on Form S-3 with the SEC to register shares of our common stock. This prospectus supplement and the accompanying prospectus are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9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prospectus supplement and accompanying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18" w:lineRule="exact"/>
        <w:rPr>
          <w:sz w:val="20"/>
          <w:szCs w:val="20"/>
          <w:color w:val="auto"/>
        </w:rPr>
      </w:pPr>
    </w:p>
    <w:p>
      <w:pPr>
        <w:ind w:left="760" w:hanging="30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2002;</w:t>
      </w:r>
    </w:p>
    <w:p>
      <w:pPr>
        <w:spacing w:after="0" w:line="103" w:lineRule="exact"/>
        <w:rPr>
          <w:rFonts w:ascii="Arial" w:cs="Arial" w:eastAsia="Arial" w:hAnsi="Arial"/>
          <w:sz w:val="18"/>
          <w:szCs w:val="18"/>
          <w:color w:val="auto"/>
        </w:rPr>
      </w:pPr>
    </w:p>
    <w:p>
      <w:pPr>
        <w:ind w:left="760" w:right="140" w:hanging="306"/>
        <w:spacing w:after="0" w:line="268"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25, 2003, March 11, 2003, April 24, 2003, as amended on Form 8-K/A on May 1, 2003, May 2, 2003 and May 5, 2003; and</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amended registration statement on Form 8-A/A filed with the SEC on November 22, 2002.</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written or telephone request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NN,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(423) 743-9151</w:t>
      </w:r>
    </w:p>
    <w:p>
      <w:pPr>
        <w:spacing w:after="0" w:line="1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This prospectus supplement may contain information that updates, modifies or is contrary to information in one or more of the documents incorporated by reference in this prospectus supplement. Reports we file with the SEC after the date of this prospectus supplement may also contain information that updates, modifies or is contrary to information in this prospectus supplement or in documents incorporated by reference in this prospectus supplement. Investors should review these reports as they may disclose a change in our business, prospects, financial condition or other affairs after the date of this prospectus supplement.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109220</wp:posOffset>
            </wp:positionV>
            <wp:extent cx="1012190" cy="1020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1219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NN,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$36,000,000 of Company Shares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3,733,664 of Selling Stockholders Shares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By this prospectus from time to time, we may offer and sell shares of our common stock, par value $.01 per share, having an aggregate offering price of up to $36,000,000.</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Up to 3,733,664 shares of common stock may be sold from time to time in one or more offerings by the selling stockholders identified on page 7. We will not receive any proceeds from sales of shares of our common stock by the selling stockholders.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provide you with a prospectus supplement before we or any of the selling stockholders sell any common stock under this prospectus. Any prospectus supplement will inform you about the specific terms of an offering by us or any selling stockholder, will list the names of any underwriters or agents, and may also add, update or change information contained in this prospectus. You should read this prospectus, the documents that are incorporated by reference in this prospectus and any prospectus supplement carefully before investing. This prospectus may not be used to sell any common stock unless it is accompanied by a prospectus supplement.</w:t>
      </w:r>
    </w:p>
    <w:p>
      <w:pPr>
        <w:spacing w:after="0" w:line="12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may offer these securities directly to investors, or through agents, underwriters or dealers. See “Plan of Distribution” on page 8. Each prospectus supplement will provide the terms of the plan of distribution relating to each offering of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National Market under the symbol “NNBR.”</w:t>
      </w:r>
    </w:p>
    <w:p>
      <w:pPr>
        <w:spacing w:after="0" w:line="15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4 to read about the risks you should consider before buying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145415</wp:posOffset>
            </wp:positionV>
            <wp:extent cx="15347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February 11, 2003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left="20"/>
        <w:spacing w:after="0"/>
        <w:rPr>
          <w:rFonts w:ascii="Arial" w:cs="Arial" w:eastAsia="Arial" w:hAnsi="Arial"/>
          <w:sz w:val="18"/>
          <w:szCs w:val="18"/>
          <w:color w:val="0000EE"/>
        </w:rPr>
      </w:pPr>
      <w:hyperlink w:anchor="page22">
        <w:r>
          <w:rPr>
            <w:rFonts w:ascii="Arial" w:cs="Arial" w:eastAsia="Arial" w:hAnsi="Arial"/>
            <w:sz w:val="18"/>
            <w:szCs w:val="18"/>
            <w:u w:val="single" w:color="auto"/>
            <w:color w:val="0000EE"/>
          </w:rPr>
          <w:t>ABOUT THIS PROSPECTUS</w:t>
        </w:r>
        <w:r>
          <w:rPr>
            <w:rFonts w:ascii="Arial" w:cs="Arial" w:eastAsia="Arial" w:hAnsi="Arial"/>
            <w:sz w:val="18"/>
            <w:szCs w:val="18"/>
            <w:color w:val="0000EE"/>
          </w:rPr>
          <w:t xml:space="preserve"> </w:t>
        </w:r>
      </w:hyperlink>
      <w:r>
        <w:rPr>
          <w:rFonts w:ascii="Arial" w:cs="Arial" w:eastAsia="Arial" w:hAnsi="Arial"/>
          <w:sz w:val="18"/>
          <w:szCs w:val="18"/>
          <w:color w:val="000000"/>
        </w:rPr>
        <w:t>1</w:t>
      </w:r>
    </w:p>
    <w:p>
      <w:pPr>
        <w:spacing w:after="0" w:line="15" w:lineRule="exact"/>
        <w:rPr>
          <w:sz w:val="20"/>
          <w:szCs w:val="20"/>
          <w:color w:val="auto"/>
        </w:rPr>
      </w:pPr>
    </w:p>
    <w:p>
      <w:pPr>
        <w:ind w:lef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RECENT DEVELOPMENTS1</w:t>
        </w:r>
      </w:hyperlink>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RISK FACTORS</w:t>
        </w:r>
        <w:r>
          <w:rPr>
            <w:rFonts w:ascii="Arial" w:cs="Arial" w:eastAsia="Arial" w:hAnsi="Arial"/>
            <w:sz w:val="18"/>
            <w:szCs w:val="18"/>
            <w:color w:val="0000EE"/>
          </w:rPr>
          <w:t xml:space="preserve"> </w:t>
        </w:r>
      </w:hyperlink>
      <w:r>
        <w:rPr>
          <w:rFonts w:ascii="Arial" w:cs="Arial" w:eastAsia="Arial" w:hAnsi="Arial"/>
          <w:sz w:val="18"/>
          <w:szCs w:val="18"/>
          <w:color w:val="000000"/>
        </w:rPr>
        <w:t>2</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6">
        <w:r>
          <w:rPr>
            <w:rFonts w:ascii="Arial" w:cs="Arial" w:eastAsia="Arial" w:hAnsi="Arial"/>
            <w:sz w:val="18"/>
            <w:szCs w:val="18"/>
            <w:u w:val="single" w:color="auto"/>
            <w:color w:val="0000EE"/>
          </w:rPr>
          <w:t>NN, INC.</w:t>
        </w:r>
        <w:r>
          <w:rPr>
            <w:rFonts w:ascii="Arial" w:cs="Arial" w:eastAsia="Arial" w:hAnsi="Arial"/>
            <w:sz w:val="18"/>
            <w:szCs w:val="18"/>
            <w:color w:val="0000EE"/>
          </w:rPr>
          <w:t xml:space="preserve"> </w:t>
        </w:r>
      </w:hyperlink>
      <w:r>
        <w:rPr>
          <w:rFonts w:ascii="Arial" w:cs="Arial" w:eastAsia="Arial" w:hAnsi="Arial"/>
          <w:sz w:val="18"/>
          <w:szCs w:val="18"/>
          <w:color w:val="000000"/>
        </w:rPr>
        <w:t>5</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7">
        <w:r>
          <w:rPr>
            <w:rFonts w:ascii="Arial" w:cs="Arial" w:eastAsia="Arial" w:hAnsi="Arial"/>
            <w:sz w:val="18"/>
            <w:szCs w:val="18"/>
            <w:u w:val="single" w:color="auto"/>
            <w:color w:val="0000EE"/>
          </w:rPr>
          <w:t>USE OF PROCEEDS</w:t>
        </w:r>
        <w:r>
          <w:rPr>
            <w:rFonts w:ascii="Arial" w:cs="Arial" w:eastAsia="Arial" w:hAnsi="Arial"/>
            <w:sz w:val="18"/>
            <w:szCs w:val="18"/>
            <w:color w:val="0000EE"/>
          </w:rPr>
          <w:t xml:space="preserve"> </w:t>
        </w:r>
      </w:hyperlink>
      <w:r>
        <w:rPr>
          <w:rFonts w:ascii="Arial" w:cs="Arial" w:eastAsia="Arial" w:hAnsi="Arial"/>
          <w:sz w:val="18"/>
          <w:szCs w:val="18"/>
          <w:color w:val="000000"/>
        </w:rPr>
        <w:t>6</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SELLING STOCKHOLDERS</w:t>
        </w:r>
        <w:r>
          <w:rPr>
            <w:rFonts w:ascii="Arial" w:cs="Arial" w:eastAsia="Arial" w:hAnsi="Arial"/>
            <w:sz w:val="18"/>
            <w:szCs w:val="18"/>
            <w:color w:val="0000EE"/>
          </w:rPr>
          <w:t xml:space="preserve"> </w:t>
        </w:r>
      </w:hyperlink>
      <w:r>
        <w:rPr>
          <w:rFonts w:ascii="Arial" w:cs="Arial" w:eastAsia="Arial" w:hAnsi="Arial"/>
          <w:sz w:val="18"/>
          <w:szCs w:val="18"/>
          <w:color w:val="000000"/>
        </w:rPr>
        <w:t>7</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PLAN OF DISTRIBUTION</w:t>
        </w:r>
        <w:r>
          <w:rPr>
            <w:rFonts w:ascii="Arial" w:cs="Arial" w:eastAsia="Arial" w:hAnsi="Arial"/>
            <w:sz w:val="18"/>
            <w:szCs w:val="18"/>
            <w:color w:val="0000EE"/>
          </w:rPr>
          <w:t xml:space="preserve"> </w:t>
        </w:r>
      </w:hyperlink>
      <w:r>
        <w:rPr>
          <w:rFonts w:ascii="Arial" w:cs="Arial" w:eastAsia="Arial" w:hAnsi="Arial"/>
          <w:sz w:val="18"/>
          <w:szCs w:val="18"/>
          <w:color w:val="000000"/>
        </w:rPr>
        <w:t>8</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LEGAL MATTERS</w:t>
        </w:r>
        <w:r>
          <w:rPr>
            <w:rFonts w:ascii="Arial" w:cs="Arial" w:eastAsia="Arial" w:hAnsi="Arial"/>
            <w:sz w:val="18"/>
            <w:szCs w:val="18"/>
            <w:color w:val="0000EE"/>
          </w:rPr>
          <w:t xml:space="preserve"> </w:t>
        </w:r>
      </w:hyperlink>
      <w:r>
        <w:rPr>
          <w:rFonts w:ascii="Arial" w:cs="Arial" w:eastAsia="Arial" w:hAnsi="Arial"/>
          <w:sz w:val="18"/>
          <w:szCs w:val="18"/>
          <w:color w:val="000000"/>
        </w:rPr>
        <w:t>11</w:t>
      </w:r>
    </w:p>
    <w:p>
      <w:pPr>
        <w:spacing w:after="0" w:line="9" w:lineRule="exact"/>
        <w:rPr>
          <w:sz w:val="20"/>
          <w:szCs w:val="20"/>
          <w:color w:val="auto"/>
        </w:rPr>
      </w:pPr>
    </w:p>
    <w:p>
      <w:pPr>
        <w:ind w:left="20"/>
        <w:spacing w:after="0"/>
        <w:rPr>
          <w:rFonts w:ascii="Arial" w:cs="Arial" w:eastAsia="Arial" w:hAnsi="Arial"/>
          <w:sz w:val="18"/>
          <w:szCs w:val="18"/>
          <w:color w:val="0000EE"/>
        </w:rPr>
      </w:pPr>
      <w:hyperlink w:anchor="page32">
        <w:r>
          <w:rPr>
            <w:rFonts w:ascii="Arial" w:cs="Arial" w:eastAsia="Arial" w:hAnsi="Arial"/>
            <w:sz w:val="18"/>
            <w:szCs w:val="18"/>
            <w:u w:val="single" w:color="auto"/>
            <w:color w:val="0000EE"/>
          </w:rPr>
          <w:t>EXPERTS</w:t>
        </w:r>
        <w:r>
          <w:rPr>
            <w:rFonts w:ascii="Arial" w:cs="Arial" w:eastAsia="Arial" w:hAnsi="Arial"/>
            <w:sz w:val="18"/>
            <w:szCs w:val="18"/>
            <w:color w:val="0000EE"/>
          </w:rPr>
          <w:t xml:space="preserve"> </w:t>
        </w:r>
      </w:hyperlink>
      <w:r>
        <w:rPr>
          <w:rFonts w:ascii="Arial" w:cs="Arial" w:eastAsia="Arial" w:hAnsi="Arial"/>
          <w:sz w:val="18"/>
          <w:szCs w:val="18"/>
          <w:color w:val="000000"/>
        </w:rPr>
        <w:t>11</w:t>
      </w:r>
    </w:p>
    <w:p>
      <w:pPr>
        <w:spacing w:after="0" w:line="9" w:lineRule="exact"/>
        <w:rPr>
          <w:sz w:val="20"/>
          <w:szCs w:val="20"/>
          <w:color w:val="auto"/>
        </w:rPr>
      </w:pPr>
    </w:p>
    <w:p>
      <w:pPr>
        <w:ind w:left="20" w:right="5059"/>
        <w:spacing w:after="0" w:line="323" w:lineRule="auto"/>
        <w:rPr>
          <w:rFonts w:ascii="Arial" w:cs="Arial" w:eastAsia="Arial" w:hAnsi="Arial"/>
          <w:sz w:val="16"/>
          <w:szCs w:val="16"/>
          <w:color w:val="0000EE"/>
        </w:rPr>
      </w:pPr>
      <w:hyperlink w:anchor="page32">
        <w:r>
          <w:rPr>
            <w:rFonts w:ascii="Arial" w:cs="Arial" w:eastAsia="Arial" w:hAnsi="Arial"/>
            <w:sz w:val="16"/>
            <w:szCs w:val="16"/>
            <w:u w:val="single" w:color="auto"/>
            <w:color w:val="0000EE"/>
          </w:rPr>
          <w:t>WHERE YOU CAN FIND MORE INFORMATION</w:t>
        </w:r>
        <w:r>
          <w:rPr>
            <w:rFonts w:ascii="Arial" w:cs="Arial" w:eastAsia="Arial" w:hAnsi="Arial"/>
            <w:sz w:val="16"/>
            <w:szCs w:val="16"/>
            <w:color w:val="0000EE"/>
          </w:rPr>
          <w:t xml:space="preserve"> </w:t>
        </w:r>
      </w:hyperlink>
      <w:r>
        <w:rPr>
          <w:rFonts w:ascii="Arial" w:cs="Arial" w:eastAsia="Arial" w:hAnsi="Arial"/>
          <w:sz w:val="16"/>
          <w:szCs w:val="16"/>
          <w:color w:val="000000"/>
        </w:rPr>
        <w:t>11</w:t>
      </w:r>
      <w:r>
        <w:rPr>
          <w:rFonts w:ascii="Arial" w:cs="Arial" w:eastAsia="Arial" w:hAnsi="Arial"/>
          <w:sz w:val="16"/>
          <w:szCs w:val="16"/>
          <w:color w:val="0000EE"/>
        </w:rPr>
        <w:t xml:space="preserve"> </w:t>
      </w:r>
      <w:hyperlink w:anchor="page32">
        <w:r>
          <w:rPr>
            <w:rFonts w:ascii="Arial" w:cs="Arial" w:eastAsia="Arial" w:hAnsi="Arial"/>
            <w:sz w:val="16"/>
            <w:szCs w:val="16"/>
            <w:u w:val="single" w:color="auto"/>
            <w:color w:val="0000EE"/>
          </w:rPr>
          <w:t>INCORPORATION OF CERTAIN DOCUMENTS BY REFERENCE</w:t>
        </w:r>
        <w:r>
          <w:rPr>
            <w:rFonts w:ascii="Arial" w:cs="Arial" w:eastAsia="Arial" w:hAnsi="Arial"/>
            <w:sz w:val="16"/>
            <w:szCs w:val="16"/>
            <w:color w:val="0000EE"/>
          </w:rPr>
          <w:t xml:space="preserve"> </w:t>
        </w:r>
      </w:hyperlink>
      <w:r>
        <w:rPr>
          <w:rFonts w:ascii="Arial" w:cs="Arial" w:eastAsia="Arial" w:hAnsi="Arial"/>
          <w:sz w:val="16"/>
          <w:szCs w:val="16"/>
          <w:color w:val="000000"/>
        </w:rPr>
        <w:t>11</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This prospectus is part of a registration statement on Form S-3 that we filed with the Securities and Exchange Commission using a “shelf” registration process. Under the shelf registration process, we may, from time to time, offer and sell shares of our common stock described in this prospectus in one or more offerings up to a total dollar amount of $36,000,000. In addition, up to 3,733,664 shares of our common stock may be sold from time to time in one or more offerings by several of our stockholders. We will not receive any proceeds from any sale of the shares by the selling stockholders.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or the selling stockholders sell common stock, we will provide a prospectus supplement that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 applicable prospectus supplement together with additional information described below under the heading “Where You Can Find More Information.”</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When acquiring any securities discussed in this prospectus, you should rely upon the information contained in this prospectus and the prospectus supplement, including the information incorporated by reference.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and the selling stockholders may sell the common stock to or through underwriters, dealers or agents or directly to purchasers. The applicable prospectus supplement will provide the names of any underwriters, dealers or agents involved in the sale of the common stock, and any applicable fee, commission or discount arrangements with them. For a more detailed description of the various means by which we may distribute the common stock, you should read the information under the heading “Plan of Distribution.”</w:t>
      </w:r>
    </w:p>
    <w:p>
      <w:pPr>
        <w:spacing w:after="0" w:line="13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As used in this prospectus and any prospectus supplement, the terms “we,” “us,” “our,” “NN” or the “Company,” refer collectively to NN, Inc. and its subsidiaries.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16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December 20, 2002, we acquired the 23 percent interest in NN Euroball, ApS (“Euroball”) held by INA/FAG. Euroball was formed in 2000 by the Company, FAG Kugelfischer Georg Schaefler AG, which was subsequently acquired by INA – Schaeffler KG (collectively, “INA/FAG”) and AB SKF (“SKF”). INA/FAG is a global bearing manufacturer and one of our largest customers. We paid approximately 13.4 million Euros for INA/FAG’s interest in Euroball. Following the closing of the transaction, we own 77 percent of the outstanding shares of Euroball and SKF owns the remaining 23 percent. SKF consented to our purchase of INA/FAG’s interest pursuant to the terms of the Euroball Shareholder Agreement. SKF has the right, beginning January 1, 2003 to require us to purchase its interest in Euroball, based on a formula price detailed in the Euroball Shareholder Agreement.</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December 9, 2002, we announced that we had signed a letter of intent to acquire certain component manufacturing operations of SKF in Veenendaal, The Netherlands. SKF, a Swedish corporation, is a global bearing manufacturer and one of our major customers. The transaction, which is expected to close in the first quarter of 2003, is subject to a number of conditions, including the execution of a definitive asset acquisition agreement, completion of due diligence, approval of NN and SKF’s boards of directors and any necessary approval of relevant government agencies. The on-going negotations between the parties have included the possibility of offering shares of our common stock under this prospectus as all or part of the purchase price for the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You should carefully consider the following risks and uncertainties and any risks and uncertainties contained in the accompanying prospectus supplement, and all other information contained in or incorporated by reference in this prospectus and the prospectus supplement,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demand for our products is cyclical, which could adversely impact our revenues.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operate in and sell products to customers outside the U.S. and are subject to several related risks.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37" w:lineRule="exact"/>
        <w:rPr>
          <w:sz w:val="20"/>
          <w:szCs w:val="20"/>
          <w:color w:val="auto"/>
        </w:rPr>
      </w:pPr>
    </w:p>
    <w:p>
      <w:pPr>
        <w:ind w:left="760" w:hanging="30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trade, monetary and fiscal policies, laws and regulations, and other activities of governments, agencies and similar organizations;</w:t>
      </w:r>
    </w:p>
    <w:p>
      <w:pPr>
        <w:spacing w:after="0" w:line="126" w:lineRule="exact"/>
        <w:rPr>
          <w:rFonts w:ascii="Arial" w:cs="Arial" w:eastAsia="Arial" w:hAnsi="Arial"/>
          <w:sz w:val="16"/>
          <w:szCs w:val="16"/>
          <w:color w:val="auto"/>
        </w:rPr>
      </w:pPr>
    </w:p>
    <w:p>
      <w:pPr>
        <w:ind w:left="760" w:hanging="30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imposition of trade restrictions or prohibitions;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tax rates that discourage the repatriation of funds to the U.S.;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imposition of import or other duties or taxes;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unstable governments or legal systems in countries in which our suppliers, manufacturing operations, and customers are located.</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118"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b w:val="1"/>
          <w:bCs w:val="1"/>
          <w:i w:val="1"/>
          <w:iCs w:val="1"/>
          <w:color w:val="auto"/>
        </w:rPr>
        <w:t>We depend heavily on a relatively limited number of customers, and the loss of any major customer would have a material adverse effect on our business.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Sales 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cause us to lose a substantial portion of our revenue and would lower our profit margin and cash flows from operations.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costs and difficulties of integrating acquired business could impede our future growth.</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continue to make the acquisitions necessary for us to realize our growth strategy.</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0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Additionally, SKF, the minority shareholder in Euroball, has the right to require us to purchase its interest beginning in January 2003. The Company may need to borrow funds to pay for all or a portion of the purchase of SKF’s interest or may be required to make a purchase at a time that is less favorable to the Company.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growth strategy depends on outsourcing, and if the industry trend toward outsourcing does not continue, our business could be adversely affected.</w:t>
      </w:r>
    </w:p>
    <w:p>
      <w:pPr>
        <w:spacing w:after="0" w:line="11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market is highly competitive and many of our competitors have significant advantages that could adversely affect our business.</w:t>
      </w:r>
    </w:p>
    <w:p>
      <w:pPr>
        <w:spacing w:after="0" w:line="10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global market for bearing components is highly competitive, with a majority of production represented by the captive production operations of certain large bearing manufacturers and the balance represented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99" w:lineRule="exact"/>
        <w:rPr>
          <w:sz w:val="20"/>
          <w:szCs w:val="20"/>
          <w:color w:val="auto"/>
        </w:rPr>
      </w:pPr>
    </w:p>
    <w:p>
      <w:pPr>
        <w:ind w:left="460" w:right="640"/>
        <w:spacing w:after="0" w:line="268" w:lineRule="auto"/>
        <w:rPr>
          <w:sz w:val="20"/>
          <w:szCs w:val="20"/>
          <w:color w:val="auto"/>
        </w:rPr>
      </w:pPr>
      <w:r>
        <w:rPr>
          <w:rFonts w:ascii="Arial" w:cs="Arial" w:eastAsia="Arial" w:hAnsi="Arial"/>
          <w:sz w:val="18"/>
          <w:szCs w:val="18"/>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and the first and second quarters of 2002 were adversely affected by the under-utilization of our production facilities, and we face risks of further under-utilization or inefficient utilization of our production facilities in future years.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market price of our common stock could be subject to significant fluctuations after this offering, and may decline below the public offering price.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Among the factors that could affect our stock price are:</w:t>
      </w:r>
    </w:p>
    <w:p>
      <w:pPr>
        <w:spacing w:after="0" w:line="70" w:lineRule="exact"/>
        <w:rPr>
          <w:sz w:val="20"/>
          <w:szCs w:val="20"/>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earnings per share, net income and revenues;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revenue or earnings estimates or publication of research reports by analysts;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any member of our senior management team;</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by stockholders;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Provisions in our charter documents and Delaware law may inhibit a takeover, which could adversely affect the value of our common stock.</w:t>
      </w:r>
    </w:p>
    <w:p>
      <w:pPr>
        <w:spacing w:after="0" w:line="10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are a Delaware corporation subject to the provisions of Section 203 of the Delaware General Corporation Law, an anti-takeover law. Generally, this statute prohibits a publicly-held Delaware corporation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0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164" w:lineRule="exact"/>
        <w:rPr>
          <w:sz w:val="20"/>
          <w:szCs w:val="20"/>
          <w:color w:val="auto"/>
        </w:rPr>
      </w:pPr>
    </w:p>
    <w:p>
      <w:pPr>
        <w:ind w:right="20" w:firstLine="464"/>
        <w:spacing w:after="0" w:line="290" w:lineRule="auto"/>
        <w:tabs>
          <w:tab w:leader="none" w:pos="754"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bearing component products presently account for approximately 90% of our consolidated revenue and sales of high precision plastic products account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manufacturers segment of the market with a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On December 20, 2002, we purchased all of INA/FAG’s interest in Euroball, increasing our holdings in Euroball to 77 percent. This transaction is described in the Section entitled “Recent Developments” beginning on page 1. Both SKF and INA/FAG independently entered into long-term supply agreements designating Euroball as their primary supplier of ball products in Europe. Through Euroball, we are Europe’s leading provider of precision balls.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Our principal executive offices are located at 2000 Waters Edge Drive, Johnson City, Tennessee 37604 and our telephone number is (423) 743-9151. Our Internet website address is </w:t>
      </w:r>
      <w:r>
        <w:rPr>
          <w:rFonts w:ascii="Arial" w:cs="Arial" w:eastAsia="Arial" w:hAnsi="Arial"/>
          <w:sz w:val="18"/>
          <w:szCs w:val="18"/>
          <w:i w:val="1"/>
          <w:iCs w:val="1"/>
          <w:color w:val="auto"/>
        </w:rPr>
        <w:t>www.nnbr.com</w:t>
      </w:r>
      <w:r>
        <w:rPr>
          <w:rFonts w:ascii="Arial" w:cs="Arial" w:eastAsia="Arial" w:hAnsi="Arial"/>
          <w:sz w:val="18"/>
          <w:szCs w:val="18"/>
          <w:color w:val="auto"/>
        </w:rPr>
        <w:t>. Information contained on our website is not part of this prospectus.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2 through 5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Unless otherwise indicated in a prospectus supplement, we intend to use the net cash proceeds from this offering to repay a portion of the borrowings outstanding under the term loan portion of our existing credit facilities as required under those arrangements. The term loan under our credit facility expires on July 1, 2006 and bears interest at a floating rate equal to LIBOR (1.38% at December 31, 2002) plus an applicable margin of 0.75% to 2.00% based upon calculated financial ratios. Additionally, we may receive certain non-cash manufacturing assets in connection with the potential asset acquisition from SKF in Veenendaal, The Netherlands (as described in “Recent Developments beginning on page 1) as proceeds from this offering, which we intend to use in our business operations.</w:t>
      </w:r>
    </w:p>
    <w:p>
      <w:pPr>
        <w:spacing w:after="0" w:line="13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To the extent that the net cash proceeds of any offering pursuant to this prospectus are not used to repay indebtedness under our credit facilities, we anticipate that the proceeds will be used for general operational purposes, which may include, but are not limited to, working capital, capital expenditures and future acquisitions. In addition, the minority shareholder in Euroball, SKF, has the right to require us to purchase its interest beginning January 2003 based on a formula price. The purchase price would be determined at the time SKF exercises such right based on multiples of the annualized average monthly income and average monthly EBITDA of Euroball, reduced by its short and long term borrowings. Under this formula, which is set forth in detail in the Euroball Shareholder Agreement, the purchase price increases as Euroball’s annualized average monthly income and average monthly EBITDA increase and decreases as its short and long term borrowings increase. If SKF were to exercise that right, we may use a portion of the shares in this offering to raise funds to purchase the interest or we may issue shares of common stock directly as all or a portion of the payment.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sales of common stock by the selling stockholders.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December 31,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852"/>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Prior to Offering</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center"/>
              <w:ind w:left="500"/>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Shares Being</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w w:val="99"/>
              </w:rPr>
              <w:t>Percent (%)(1)</w:t>
            </w:r>
          </w:p>
        </w:tc>
        <w:tc>
          <w:tcPr>
            <w:tcW w:w="3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Offered</w:t>
            </w:r>
          </w:p>
        </w:tc>
        <w:tc>
          <w:tcPr>
            <w:tcW w:w="142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jc w:val="right"/>
              <w:ind w:right="58"/>
              <w:spacing w:after="0"/>
              <w:rPr>
                <w:sz w:val="20"/>
                <w:szCs w:val="20"/>
                <w:color w:val="auto"/>
              </w:rPr>
            </w:pPr>
            <w:r>
              <w:rPr>
                <w:rFonts w:ascii="Arial" w:cs="Arial" w:eastAsia="Arial" w:hAnsi="Arial"/>
                <w:sz w:val="14"/>
                <w:szCs w:val="14"/>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Richard D. Ennen (2)</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2,844,668(3)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2,844,668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Michael D. Huff (4)</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662,227(5)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662,227</w:t>
            </w:r>
          </w:p>
        </w:tc>
        <w:tc>
          <w:tcPr>
            <w:tcW w:w="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Janet M. Huff</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Monica C. Ennen</w:t>
            </w:r>
          </w:p>
        </w:tc>
        <w:tc>
          <w:tcPr>
            <w:tcW w:w="2720" w:type="dxa"/>
            <w:vAlign w:val="bottom"/>
            <w:gridSpan w:val="3"/>
          </w:tcPr>
          <w:p>
            <w:pPr>
              <w:jc w:val="right"/>
              <w:ind w:right="20"/>
              <w:spacing w:after="0"/>
              <w:rPr>
                <w:sz w:val="20"/>
                <w:szCs w:val="20"/>
                <w:color w:val="auto"/>
              </w:rPr>
            </w:pPr>
            <w:r>
              <w:rPr>
                <w:rFonts w:ascii="Arial" w:cs="Arial" w:eastAsia="Arial" w:hAnsi="Arial"/>
                <w:sz w:val="18"/>
                <w:szCs w:val="18"/>
                <w:color w:val="auto"/>
              </w:rPr>
              <w:t>129,900(6)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129,900</w:t>
            </w:r>
          </w:p>
        </w:tc>
        <w:tc>
          <w:tcPr>
            <w:tcW w:w="3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Deborah E. Bagierek</w:t>
            </w:r>
          </w:p>
        </w:tc>
        <w:tc>
          <w:tcPr>
            <w:tcW w:w="2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96,869(7)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96,869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are less than one percent.</w:t>
      </w:r>
    </w:p>
    <w:p>
      <w:pPr>
        <w:spacing w:after="0" w:line="15" w:lineRule="exact"/>
        <w:rPr>
          <w:sz w:val="20"/>
          <w:szCs w:val="20"/>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15,369,807 shares of NN’s common stock outstanding on December 31, 2002. The percentage of shares owned after the offering assumes that NN sells 3,830,000 shares pursuant to this prospectus.</w:t>
      </w:r>
    </w:p>
    <w:p>
      <w:pPr>
        <w:ind w:left="460" w:right="2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Ennen currently sits on the Company’s Board of Directors and has since the Company’s formation in 1980. He was Chairman of the Board from the formation of the Company until September of 2001.</w:t>
      </w:r>
    </w:p>
    <w:p>
      <w:pPr>
        <w:ind w:left="460" w:right="20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1,800,000 shares held by the Richard D. Ennen Charitable Remainder 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Huff currently sits on the Company’s Board of Directors and has since the Company’s formation in 1980.</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23,000 shares subject to presently exercisable options, and (ii) 225,000 shares held directly by Mr. Huff’s spouse, for which Mr. Huff disclaims beneficial ownership.</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Ms. Ennen’s shares are held by the Monica Conway Ennen Trust, of which Ms. Ennen is a trustee.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Ms. Bagierek’s shares are held by the Deborah Ennen Bagierek Trust, of which Ms. Bagierek is a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Offering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offer and sell the shares being offered by this prospectus and any accompanying prospectus supplement:</w:t>
      </w:r>
    </w:p>
    <w:p>
      <w:pPr>
        <w:spacing w:after="0" w:line="77" w:lineRule="exact"/>
        <w:rPr>
          <w:sz w:val="20"/>
          <w:szCs w:val="20"/>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one or more underwriters or dealers;</w:t>
      </w:r>
    </w:p>
    <w:p>
      <w:pPr>
        <w:spacing w:after="0" w:line="103" w:lineRule="exact"/>
        <w:rPr>
          <w:rFonts w:ascii="Arial" w:cs="Arial" w:eastAsia="Arial" w:hAnsi="Arial"/>
          <w:sz w:val="18"/>
          <w:szCs w:val="18"/>
          <w:color w:val="auto"/>
        </w:rPr>
      </w:pPr>
    </w:p>
    <w:p>
      <w:pPr>
        <w:ind w:left="760" w:right="340" w:hanging="306"/>
        <w:spacing w:after="0" w:line="268"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shares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Directly to one or more purchasers in exchange for cash or other assets; or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85" w:lineRule="exact"/>
        <w:rPr>
          <w:sz w:val="20"/>
          <w:szCs w:val="20"/>
          <w:color w:val="auto"/>
        </w:rPr>
      </w:pPr>
    </w:p>
    <w:p>
      <w:pPr>
        <w:ind w:right="1740"/>
        <w:spacing w:after="0" w:line="375" w:lineRule="auto"/>
        <w:rPr>
          <w:sz w:val="20"/>
          <w:szCs w:val="20"/>
          <w:color w:val="auto"/>
        </w:rPr>
      </w:pPr>
      <w:r>
        <w:rPr>
          <w:rFonts w:ascii="Arial" w:cs="Arial" w:eastAsia="Arial" w:hAnsi="Arial"/>
          <w:sz w:val="18"/>
          <w:szCs w:val="18"/>
          <w:color w:val="auto"/>
        </w:rPr>
        <w:t xml:space="preserve">To the extent required, this prospectus may be amended and/or supplemented from time to time to describe a specific plan of distribution. </w:t>
      </w:r>
      <w:r>
        <w:rPr>
          <w:rFonts w:ascii="Arial" w:cs="Arial" w:eastAsia="Arial" w:hAnsi="Arial"/>
          <w:sz w:val="18"/>
          <w:szCs w:val="18"/>
          <w:b w:val="1"/>
          <w:bCs w:val="1"/>
          <w:color w:val="auto"/>
        </w:rPr>
        <w:t>Selling Stockholders Offering</w:t>
      </w:r>
    </w:p>
    <w:p>
      <w:pPr>
        <w:spacing w:after="0" w:line="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selling stockholders, separately or together, may offer and sell their portion of the shares being offered by this prospectus and any accompanying prospectus supplement only on the following terms and conditions:</w:t>
      </w:r>
    </w:p>
    <w:p>
      <w:pPr>
        <w:spacing w:after="0" w:line="37" w:lineRule="exact"/>
        <w:rPr>
          <w:sz w:val="20"/>
          <w:szCs w:val="20"/>
          <w:color w:val="auto"/>
        </w:rPr>
      </w:pPr>
    </w:p>
    <w:p>
      <w:pPr>
        <w:ind w:left="1080" w:hanging="17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shares may be offered or sold by any selling stockholder prior to March 31, 2003 unless the Company agrees otherwise.</w:t>
      </w:r>
    </w:p>
    <w:p>
      <w:pPr>
        <w:spacing w:after="0" w:line="76" w:lineRule="exact"/>
        <w:rPr>
          <w:rFonts w:ascii="Arial" w:cs="Arial" w:eastAsia="Arial" w:hAnsi="Arial"/>
          <w:sz w:val="18"/>
          <w:szCs w:val="18"/>
          <w:color w:val="auto"/>
        </w:rPr>
      </w:pPr>
    </w:p>
    <w:p>
      <w:pPr>
        <w:ind w:left="460" w:right="20" w:firstLine="443"/>
        <w:spacing w:after="0" w:line="268" w:lineRule="auto"/>
        <w:tabs>
          <w:tab w:leader="none" w:pos="10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shares offered or sold by any selling stockholder prior to December 31, 2003 must be offered or sold through McDonald Investments Inc. and Legg Mason Wood Walker Incorporated together or with one or more underwriters or dealers.</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sale by any selling stockholder must include a minimum of 500,000 shares in aggregate unless the Company agrees otherwise.</w:t>
      </w:r>
    </w:p>
    <w:p>
      <w:pPr>
        <w:spacing w:after="0" w:line="99" w:lineRule="exact"/>
        <w:rPr>
          <w:rFonts w:ascii="Arial" w:cs="Arial" w:eastAsia="Arial" w:hAnsi="Arial"/>
          <w:sz w:val="16"/>
          <w:szCs w:val="16"/>
          <w:color w:val="auto"/>
        </w:rPr>
      </w:pPr>
    </w:p>
    <w:p>
      <w:pPr>
        <w:ind w:left="1080" w:hanging="17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must receive at least five business days prior written notice of any proposed sale by any selling stockholder.</w:t>
      </w:r>
    </w:p>
    <w:p>
      <w:pPr>
        <w:spacing w:after="0" w:line="76" w:lineRule="exact"/>
        <w:rPr>
          <w:rFonts w:ascii="Arial" w:cs="Arial" w:eastAsia="Arial" w:hAnsi="Arial"/>
          <w:sz w:val="18"/>
          <w:szCs w:val="18"/>
          <w:color w:val="auto"/>
        </w:rPr>
      </w:pPr>
    </w:p>
    <w:p>
      <w:pPr>
        <w:ind w:left="1080" w:hanging="17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may delay any sale by any selling stockholder for up to 90 days by written notice to the selling stockholder.</w:t>
      </w:r>
    </w:p>
    <w:p>
      <w:pPr>
        <w:spacing w:after="0" w:line="76" w:lineRule="exact"/>
        <w:rPr>
          <w:rFonts w:ascii="Arial" w:cs="Arial" w:eastAsia="Arial" w:hAnsi="Arial"/>
          <w:sz w:val="18"/>
          <w:szCs w:val="18"/>
          <w:color w:val="auto"/>
        </w:rPr>
      </w:pPr>
    </w:p>
    <w:p>
      <w:pPr>
        <w:ind w:left="460" w:firstLine="443"/>
        <w:spacing w:after="0" w:line="268" w:lineRule="auto"/>
        <w:tabs>
          <w:tab w:leader="none" w:pos="10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the Company and any selling stockholder participates together in an offering under this prospectus, the Company will have the right to choose to sell shares from its portion of this offering in priority to sales by the selling stockholders.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selling stockholders and any underwriters, dealers or agents that the selling stockholders use to sell their shares may be deemed to be “underwriters” within the meaning of the Securities Act of 1933, as amended, and any discount, commission or concession received by them and any profit on the resale of shares as principal may be deemed to be underwriting discounts or commissions under the Securities Act. Because the selling stockholders may be deemed to be underwriters, the selling stockholders may be subject to the prospectus delivery requirements of the Securities Act.</w:t>
      </w:r>
    </w:p>
    <w:p>
      <w:pPr>
        <w:spacing w:after="0" w:line="9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selling stockholders may also transfer the common stock held by them by gift or other non-sale related transfer, in which case the donees, transferees or other successors-in-interest will be deemed to be selling stockholders. The number of shares offered by a particular selling stockholder under this prospectus will decrease as and when it takes any of the above actions, although the aggregate number of shares offered by the selling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stockholders will remain unchanged. The plan of distribution for that selling stockholder’s shares will otherwise remain unchanged. In addition, any offered shares by the selling stockholders covered by this prospectus that qualify for sale pursuant to Rule 144 may be sold under Rule 144 under the Securities Act rather than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Matters</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agreed to pay the majority of the costs and expenses incurred in connection with the registration under the Securities Act of the offered shares, including:</w:t>
      </w:r>
    </w:p>
    <w:p>
      <w:pPr>
        <w:spacing w:after="0" w:line="37" w:lineRule="exact"/>
        <w:rPr>
          <w:sz w:val="20"/>
          <w:szCs w:val="20"/>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registration and filing fees related to the company’s portion of the offering;</w:t>
      </w:r>
    </w:p>
    <w:p>
      <w:pPr>
        <w:spacing w:after="0" w:line="103" w:lineRule="exact"/>
        <w:rPr>
          <w:rFonts w:ascii="Arial" w:cs="Arial" w:eastAsia="Arial" w:hAnsi="Arial"/>
          <w:sz w:val="18"/>
          <w:szCs w:val="18"/>
          <w:color w:val="auto"/>
        </w:rPr>
      </w:pPr>
    </w:p>
    <w:p>
      <w:pPr>
        <w:ind w:left="760" w:right="200" w:hanging="306"/>
        <w:spacing w:after="0" w:line="268"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Printing fees and expenses related to the company’s portion of the offering or to an offering including both Company shares and shares owned by the selling stockholders; and</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and disbursements of counsel, accountants and underwriters for us.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selling stockholders will pay:</w:t>
      </w:r>
    </w:p>
    <w:p>
      <w:pPr>
        <w:spacing w:after="0" w:line="77" w:lineRule="exact"/>
        <w:rPr>
          <w:sz w:val="20"/>
          <w:szCs w:val="20"/>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registration and filing fees related to their portion of an offering;</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Printing fees and expenses related to any offering exclusively of their shares;</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underwriting discounts and commissions with respect to the shares of common stock they sell hereunder;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Fees and disbursements of any counsel retained by the selling stockholders; and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taxes, if any.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common stock may be effected from time to time in one or more transactions:</w:t>
      </w:r>
    </w:p>
    <w:p>
      <w:pPr>
        <w:spacing w:after="0" w:line="77" w:lineRule="exact"/>
        <w:rPr>
          <w:sz w:val="20"/>
          <w:szCs w:val="20"/>
          <w:color w:val="auto"/>
        </w:rPr>
      </w:pPr>
    </w:p>
    <w:p>
      <w:pPr>
        <w:ind w:left="760" w:hanging="30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prices related to the market prices prevailing at the time of sale; or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Offers to purchase the common stock may be solicited by agents designated by us from time to time. Any agent involved in the offer or sale of the common stock will be named, and any commissions payable by us to the agent will be described, in the applicable prospectus supplement. Any agent may be deemed to be an underwriter, as such term is defined in the Securities Act of 1933, of the common stock so offered and sold.</w:t>
      </w:r>
    </w:p>
    <w:p>
      <w:pPr>
        <w:spacing w:after="0" w:line="9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If we and/or any selling stockholders offer and sell common stock through an underwriter or underwriters, we and/or the selling stockholders will execute an underwriting agreement with the underwriter or underwriters at the time the common stock is sold to them. The names of the specific managing underwriter or underwriters, as well as any other underwriters, and the terms of the transactions, including compensation of the underwriters and dealers, which may be in the form of discounts, concessions or commissions, if any, will be described in the applicable prospectus supplement, which will be used by the underwriters to make resales of the common stock. That prospectus supplement and this prospectus will be used by the underwriters to make resales of the common stock. If underwriters are used in the sale of any common stock in connection with this prospectus, the common stock will be acquired by the underwriters for their own account and may be resold from time to time in one or more transactions, including negotiated transactions, at fixed public offering prices or at varying prices determined by the underwriters and us at the time of sale. Common stock may be offered to the public either through underwriting syndicates represented by managing underwriters or directly by one or more underwriters. If any underwriter or underwriters are used in the sale of common stock, unless otherwise indicated in a related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prospectus supplement, the underwriting agreement will provide that the obligations of the underwriters are subject to some conditions precedent and that with respect to a sale of the common stock the underwriters will be obligated to purchase all such common stock if any are purchased.</w:t>
      </w:r>
    </w:p>
    <w:p>
      <w:pPr>
        <w:spacing w:after="0" w:line="7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any underwriters are involved in the offer and sale, they will be permitted to engage in transactions that maintain or otherwise affect the price of the common stock. These transactions may include over-allotment transactions, purchases to cover short positions created by the underwriter in connection with the offering and the imposition of penalty bids. If an underwriter creates a short position in the common stock in connection with the offering, i.e., if it sells more common stock than set forth on the cover page of the applicable prospectus supplement, the underwriter may reduce that short position by purchasing the common stock in the open market. In general, purchases of common stock to reduce a short position could cause the price of the common stock to be higher than it might be in the absence of such purchases. As noted above, underwriters may also choose to impose penalty bids on other underwriters and/or selling group members. This means that if underwriters purchase common stock on the open market to reduce their short position or to stabilize the price of the common stock, they may reclaim the amount of the selling concession from those underwriters and/or selling group members who sold such common stock as part of the offering.</w:t>
      </w:r>
    </w:p>
    <w:p>
      <w:pPr>
        <w:spacing w:after="0" w:line="10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Neither we nor any underwriter make any representation or prediction as to the direction or magnitude of any effect that the transactions described above may have on the price of the common stock. In addition, neither we nor any underwriter make any representation that such underwriter will engage in such transactions or that such transactions, once commenced, will not be discontinued without notice.</w:t>
      </w:r>
    </w:p>
    <w:p>
      <w:pPr>
        <w:spacing w:after="0" w:line="9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we and/or the selling stockholders offer and sell common stock through a dealer, we, the selling stockholders or an underwriter will sell the common stock to the dealer, as principal. The dealer may then resell the common stock to the public at varying prices to be determined by the dealer at the time of resale. Any such dealer may be deemed to be an underwriter, as such term is defined in the Securities Act of 1933, of the common stock so offered and sold. The name of the dealer and the terms of the transactions will be set forth in the applicable prospectus supplement.</w:t>
      </w:r>
    </w:p>
    <w:p>
      <w:pPr>
        <w:spacing w:after="0" w:line="9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and/or the selling stockholders may solicit offers to purchase the common stock directly and we and/or the selling stockholders may sell the common stock directly to institutional or other investors, who may be deemed an underwriter within the meaning of the Securities Act of 1933 with respect to any resales of the common stock. The terms of these sales will be described in the applicable prospectus supplement.</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and/or the selling stockholders may enter into agreements with agents, underwriters and dealers under which we and/or the selling stockholders may agree to indemnify the agents, underwriters and dealers against certain liabilities, including liabilities under the Securities Act of 1933, or to contribute to payments they may be required to make with respect to these liabilities. The terms and conditions of this indemnification or contribution will be described in the applicable prospectus supplement. Some of the agents, underwriters or dealers, or their affiliates may be customers of, engage in transactions with or perform services for us and/or the selling stockholders in the ordinary course of business.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and/or the selling stockholders may authorize our respective agents, dealers or underwriters to solicit offers to purchase common stock at the public offering price under delayed delivery contracts. The terms of these delayed delivery contracts, including when payment for and delivery of the common stock sold will be made under the contracts and any conditions to each party’s performance set forth in the contracts, will be described in the applicable prospectus supplement. The compensation received by underwriters or agents soliciting purchases of common stock under delayed delivery contracts will also be described in the applicable prospectus supplement.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validity of the common stock offered hereby will be passed upon for us by Blackwell Sanders Peper Martin LLP, Two Pershing Square, 2300 Main Street, Suite 1000, Kansas City, Missouri 64108.</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consolidated financial statements as of December 31, 2001 and 2000, and for each of the years in the two-year period ended December 31, 2001, have been incorporated by reference in this prospectus and the registration statement on Form S-3 in reliance upon the report of KPMG LLP, independent accountants incorporated by reference herein, and upon the authority of said firm as experts in accounting and auditing. The audit report covering the December 31, 2001 financial statements refers to a change in the Company’s method of accounting for derivative instruments and hedging activities.</w:t>
      </w:r>
    </w:p>
    <w:p>
      <w:pPr>
        <w:spacing w:after="0" w:line="99"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18" w:lineRule="exact"/>
        <w:rPr>
          <w:sz w:val="20"/>
          <w:szCs w:val="20"/>
          <w:color w:val="auto"/>
        </w:rPr>
      </w:pPr>
    </w:p>
    <w:p>
      <w:pPr>
        <w:ind w:left="760" w:hanging="30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2001, as amended by Form 10-K/A;</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2002, June 30, 2002 and September 30, 2002;</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760" w:right="560" w:hanging="306"/>
        <w:spacing w:after="0" w:line="26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June 7, 2002, July 18, 2002, August 6, 2002, September 27, 2002, November 1, 2002, November 5, 2002, December 9, 2002 and December 20, 2002;</w:t>
      </w:r>
    </w:p>
    <w:p>
      <w:pPr>
        <w:spacing w:after="0" w:line="37" w:lineRule="exact"/>
        <w:rPr>
          <w:rFonts w:ascii="Arial" w:cs="Arial" w:eastAsia="Arial" w:hAnsi="Arial"/>
          <w:sz w:val="18"/>
          <w:szCs w:val="18"/>
          <w:color w:val="auto"/>
        </w:rPr>
      </w:pPr>
    </w:p>
    <w:p>
      <w:pPr>
        <w:ind w:left="760" w:hanging="306"/>
        <w:spacing w:after="0"/>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amended registration statement on Form 8-A/A filed with the SEC on November 22, 2002.</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written or telephone request to:</w:t>
      </w:r>
    </w:p>
    <w:p>
      <w:pPr>
        <w:spacing w:after="0" w:line="7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NN, Inc.</w:t>
      </w:r>
    </w:p>
    <w:p>
      <w:pPr>
        <w:spacing w:after="0" w:line="1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Johnson City, Tennessee 37604</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(423) 743-9151</w:t>
      </w:r>
    </w:p>
    <w:p>
      <w:pPr>
        <w:spacing w:after="0" w:line="1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314325</wp:posOffset>
            </wp:positionV>
            <wp:extent cx="1809750" cy="1826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09750" cy="182689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40"/>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upperLetter"/>
      <w:start w:val="40"/>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2019-12-11T23:51:53Z</dcterms:created>
  <dcterms:modified xsi:type="dcterms:W3CDTF">2019-12-11T23:51:53Z</dcterms:modified>
</cp:coreProperties>
</file>