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3119755</wp:posOffset>
            </wp:positionH>
            <wp:positionV relativeFrom="paragraph">
              <wp:posOffset>425450</wp:posOffset>
            </wp:positionV>
            <wp:extent cx="763270"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820"/>
          </w:cols>
          <w:pgMar w:left="440" w:top="362"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62-1096725</w:t>
      </w:r>
    </w:p>
    <w:p>
      <w:pPr>
        <w:spacing w:after="0" w:line="12" w:lineRule="exact"/>
        <w:rPr>
          <w:sz w:val="24"/>
          <w:szCs w:val="24"/>
          <w:color w:val="auto"/>
        </w:rPr>
      </w:pPr>
    </w:p>
    <w:p>
      <w:pPr>
        <w:sectPr>
          <w:pgSz w:w="11900" w:h="16838" w:orient="portrait"/>
          <w:cols w:equalWidth="0" w:num="3">
            <w:col w:w="4520" w:space="720"/>
            <w:col w:w="2860" w:space="720"/>
            <w:col w:w="2000"/>
          </w:cols>
          <w:pgMar w:left="440" w:top="362" w:right="6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120"/>
          </w:cols>
          <w:pgMar w:left="440" w:top="362" w:right="639" w:bottom="1440" w:gutter="0" w:footer="0" w:header="0"/>
          <w:type w:val="continuous"/>
        </w:sectPr>
      </w:pPr>
    </w:p>
    <w:p>
      <w:pPr>
        <w:spacing w:after="0" w:line="2"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6210 Ardrey Kell Road</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28277</w:t>
      </w:r>
    </w:p>
    <w:p>
      <w:pPr>
        <w:spacing w:after="0" w:line="42" w:lineRule="exact"/>
        <w:rPr>
          <w:sz w:val="24"/>
          <w:szCs w:val="24"/>
          <w:color w:val="auto"/>
        </w:rPr>
      </w:pPr>
    </w:p>
    <w:p>
      <w:pPr>
        <w:sectPr>
          <w:pgSz w:w="11900" w:h="16838" w:orient="portrait"/>
          <w:cols w:equalWidth="0" w:num="2">
            <w:col w:w="8320" w:space="720"/>
            <w:col w:w="1780"/>
          </w:cols>
          <w:pgMar w:left="440" w:top="362" w:right="639" w:bottom="1440" w:gutter="0" w:footer="0" w:header="0"/>
          <w:type w:val="continuous"/>
        </w:sectPr>
      </w:pPr>
    </w:p>
    <w:p>
      <w:pPr>
        <w:ind w:left="25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8200" w:space="720"/>
            <w:col w:w="1900"/>
          </w:cols>
          <w:pgMar w:left="440" w:top="362" w:right="63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0820"/>
          </w:cols>
          <w:pgMar w:left="440" w:top="362" w:right="639" w:bottom="1440" w:gutter="0" w:footer="0" w:header="0"/>
          <w:type w:val="continuous"/>
        </w:sectPr>
      </w:pPr>
    </w:p>
    <w:p>
      <w:pPr>
        <w:spacing w:after="0" w:line="18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230505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1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82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20"/>
          </w:cols>
          <w:pgMar w:left="440" w:top="362"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On March 15, 2019, NN, Inc., a Delaware corporation (the “Company”), certain Company subsidiaries named therein, SunTrust Bank, as administrative agent (“SunTrust”), and certain lenders named therein entered into that certain Amendment No. 6 to the Amended and Restated Credit Agreement (the “Amendment”), which amended the Company’s existing amended and restated credit agreement, dated as of September 30, 2016, by and among the Company, SunTrust, as administrative agent, and certain lenders from time to time party thereto (as amended, the “Amended and Restated Credit Agreement”).</w:t>
      </w:r>
    </w:p>
    <w:p>
      <w:pPr>
        <w:spacing w:after="0" w:line="184"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Amendment modifies the definition of “Consolidated Net Earnings” to clarify that impairment charges or write-offs with respect to goodwill and other intangible assets are excluded from Consolidated Net Earnings.</w:t>
      </w:r>
    </w:p>
    <w:p>
      <w:pPr>
        <w:spacing w:after="0" w:line="162"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full text of the Amendment, which is included as Exhibit 10.1 hereto and incorporated herein by reference.</w:t>
      </w:r>
    </w:p>
    <w:p>
      <w:pPr>
        <w:spacing w:after="0" w:line="306" w:lineRule="exact"/>
        <w:rPr>
          <w:sz w:val="20"/>
          <w:szCs w:val="20"/>
          <w:color w:val="auto"/>
        </w:rPr>
      </w:pPr>
    </w:p>
    <w:p>
      <w:pPr>
        <w:ind w:left="980" w:right="640" w:hanging="985"/>
        <w:spacing w:after="0" w:line="286"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above is incorporated herein by reference.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680" w:type="dxa"/>
            <w:vAlign w:val="bottom"/>
            <w:gridSpan w:val="3"/>
          </w:tcPr>
          <w:p>
            <w:pPr>
              <w:spacing w:after="0"/>
              <w:rPr>
                <w:sz w:val="15"/>
                <w:szCs w:val="15"/>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24"/>
                <w:szCs w:val="24"/>
                <w:color w:val="auto"/>
              </w:rPr>
            </w:pPr>
          </w:p>
        </w:tc>
        <w:tc>
          <w:tcPr>
            <w:tcW w:w="9400" w:type="dxa"/>
            <w:vAlign w:val="bottom"/>
            <w:gridSpan w:val="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Amendment No. 6 to Amended and Restated Credit Agreement, dated as of March 15, 2019, by and among NN, Inc., certain NN,</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Inc. subsidiaries named therein, SunTrust Bank, as administrative agent, and certain lenders named therein</w:t>
              </w:r>
            </w:hyperlink>
          </w:p>
        </w:tc>
        <w:tc>
          <w:tcPr>
            <w:tcW w:w="17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0900"/>
          </w:cols>
          <w:pgMar w:left="440" w:top="266" w:right="5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2019</w:t>
      </w:r>
    </w:p>
    <w:p>
      <w:pPr>
        <w:spacing w:after="0" w:line="24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Matthew S. Heiter</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Matthew S. Heiter</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 Counsel</w:t>
            </w:r>
          </w:p>
        </w:tc>
      </w:tr>
    </w:tbl>
    <w:p>
      <w:pPr>
        <w:sectPr>
          <w:pgSz w:w="11900" w:h="16838" w:orient="portrait"/>
          <w:cols w:equalWidth="0" w:num="1">
            <w:col w:w="11040"/>
          </w:cols>
          <w:pgMar w:left="440" w:top="266"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NO. 6 TO AMENDED AND RESTATED CREDIT AGREEMENT</w:t>
      </w:r>
    </w:p>
    <w:p>
      <w:pPr>
        <w:spacing w:after="0" w:line="225" w:lineRule="exact"/>
        <w:rPr>
          <w:sz w:val="20"/>
          <w:szCs w:val="20"/>
          <w:color w:val="auto"/>
        </w:rPr>
      </w:pPr>
    </w:p>
    <w:p>
      <w:pPr>
        <w:jc w:val="both"/>
        <w:ind w:right="320" w:firstLine="441"/>
        <w:spacing w:after="0" w:line="266" w:lineRule="auto"/>
        <w:rPr>
          <w:sz w:val="20"/>
          <w:szCs w:val="20"/>
          <w:color w:val="auto"/>
        </w:rPr>
      </w:pPr>
      <w:r>
        <w:rPr>
          <w:rFonts w:ascii="Times New Roman" w:cs="Times New Roman" w:eastAsia="Times New Roman" w:hAnsi="Times New Roman"/>
          <w:sz w:val="18"/>
          <w:szCs w:val="18"/>
          <w:color w:val="auto"/>
        </w:rPr>
        <w:t>This AMENDMENT NO. 6 TO AMENDED AND RESTATED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March 15, 2019 among NN,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Guarantors, the Lenders signatory hereto that are party to the Credit Agreement referred to below and SunTrust Bank, as the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WHEREAS, reference is hereby made to the Amended and Restated Credit Agreement, dated as of September 30, 2016 (as amended by the Incremental Amendment to Amended and Restated Credit Agreement, dated as of October 31, 2016, Amendment No. 1 to Amended and Restated Credit Agreement, dated as of April 3, 2017, Amendment No. 2 to Amended and Restated Credit Agreement, dated as of August 15, 2017, Amendment No. 3 to Amended and Restated Credit Agreement, dated as of November 24, 2017, Amendment No. 4 to Amended and Restated Credit Agreement, dated as of May 7, 2018, and Amendment No. 5 to Amended and Restated Credit Agreement, dated as of December 26, 2018, and as the same may be further amended, restated, amended and restated, supplemented, extended, refinanced or otherwise modified prior to the date hereof,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Borrower, the Lenders party thereto, the Administrative Agent and the other parties from time to time party thereto. Capitalized terms used in this Amendment but not defined herein shall have the meaning assigned to such terms in the Credit Agreement, as amended by this Amendment (as so amended,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WHEREAS, the Borrower has requested that the Credit Agreement be amended to, among other things, modify the definition of Consolidated Net Earnings set forth therein, pursuant to the terms of the Credit Agreement; and</w:t>
      </w:r>
    </w:p>
    <w:p>
      <w:pPr>
        <w:spacing w:after="0" w:line="162"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of the Credit Agreement, the consent of the Required Lenders is required for the effectiveness of the amendments to the Credit Agreement set forth herein, and each of the Lenders whose consent is required has agreed to the foregoing as evidenced by its signature to this Amendment.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In consideration of the premises and mutual covenants herein and for other valuable consideration, the Borrower, the Administrative Agent and the Lenders party hereto constituting the Required Lenders agree as follows:</w:t>
      </w:r>
    </w:p>
    <w:p>
      <w:pPr>
        <w:spacing w:after="0" w:line="162"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defined herein, each capitalized term used in this Amendment and not defined herein shall be defined in accordance with the Credit Agreement.</w:t>
      </w:r>
    </w:p>
    <w:p>
      <w:pPr>
        <w:sectPr>
          <w:pgSz w:w="11900" w:h="16838" w:orient="portrait"/>
          <w:cols w:equalWidth="0" w:num="1">
            <w:col w:w="11020"/>
          </w:cols>
          <w:pgMar w:left="440" w:top="117" w:right="439" w:bottom="1440" w:gutter="0" w:footer="0" w:header="0"/>
        </w:sectPr>
      </w:pPr>
    </w:p>
    <w:bookmarkStart w:id="4" w:name="page5"/>
    <w:bookmarkEnd w:id="4"/>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w:t>
      </w:r>
      <w:r>
        <w:rPr>
          <w:sz w:val="20"/>
          <w:szCs w:val="20"/>
          <w:color w:val="auto"/>
        </w:rPr>
        <w:tab/>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885"/>
        <w:spacing w:after="0" w:line="282" w:lineRule="auto"/>
        <w:tabs>
          <w:tab w:leader="none" w:pos="1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“Consolidated Net Earnings”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 is hereby amended by adding the following parenthetical between the words “losses” and “for” in subpart (a) thereof:</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“(which includes for the avoidance of doubt, impairment charges or write-offs with respect to goodwill and other intangible assets)”</w:t>
      </w:r>
    </w:p>
    <w:p>
      <w:pPr>
        <w:spacing w:after="0" w:line="225"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3.1 This Amendment shall become effective on the date (such date, the “</w:t>
      </w:r>
      <w:r>
        <w:rPr>
          <w:rFonts w:ascii="Times New Roman" w:cs="Times New Roman" w:eastAsia="Times New Roman" w:hAnsi="Times New Roman"/>
          <w:sz w:val="18"/>
          <w:szCs w:val="18"/>
          <w:u w:val="single" w:color="auto"/>
          <w:color w:val="auto"/>
        </w:rPr>
        <w:t>Sixth Amendment Effective Date</w:t>
      </w:r>
      <w:r>
        <w:rPr>
          <w:rFonts w:ascii="Times New Roman" w:cs="Times New Roman" w:eastAsia="Times New Roman" w:hAnsi="Times New Roman"/>
          <w:sz w:val="18"/>
          <w:szCs w:val="18"/>
          <w:color w:val="auto"/>
        </w:rPr>
        <w:t>”) that the following conditions shall have been satisfied:</w:t>
      </w:r>
    </w:p>
    <w:p>
      <w:pPr>
        <w:spacing w:after="0" w:line="54" w:lineRule="exact"/>
        <w:rPr>
          <w:sz w:val="20"/>
          <w:szCs w:val="20"/>
          <w:color w:val="auto"/>
        </w:rPr>
      </w:pPr>
    </w:p>
    <w:p>
      <w:pPr>
        <w:ind w:right="420" w:firstLine="885"/>
        <w:spacing w:after="0" w:line="282" w:lineRule="auto"/>
        <w:tabs>
          <w:tab w:leader="none" w:pos="12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counterparts of this Amendment that, when taken together, bear the signatures of (A) Lenders constituting the Required Lenders, (B) the Administrative Agent, (C) the Borrower and (D) the Guarantors;</w:t>
      </w:r>
    </w:p>
    <w:p>
      <w:pPr>
        <w:spacing w:after="0" w:line="53" w:lineRule="exact"/>
        <w:rPr>
          <w:rFonts w:ascii="Times New Roman" w:cs="Times New Roman" w:eastAsia="Times New Roman" w:hAnsi="Times New Roman"/>
          <w:sz w:val="18"/>
          <w:szCs w:val="18"/>
          <w:color w:val="auto"/>
        </w:rPr>
      </w:pPr>
    </w:p>
    <w:p>
      <w:pPr>
        <w:ind w:firstLine="885"/>
        <w:spacing w:after="0" w:line="266" w:lineRule="auto"/>
        <w:tabs>
          <w:tab w:leader="none" w:pos="12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from the Borrower all reasonable and documented out-of-pocket expenses (including the reasonable fees and expenses of counsel for the Administrative Agent and the Arrangers) incurred in connection with this Amendment to the extent invoiced one business day prior to the Sixth Amendment Effective Date;</w:t>
      </w:r>
    </w:p>
    <w:p>
      <w:pPr>
        <w:spacing w:after="0" w:line="68" w:lineRule="exact"/>
        <w:rPr>
          <w:rFonts w:ascii="Times New Roman" w:cs="Times New Roman" w:eastAsia="Times New Roman" w:hAnsi="Times New Roman"/>
          <w:sz w:val="18"/>
          <w:szCs w:val="18"/>
          <w:color w:val="auto"/>
        </w:rPr>
      </w:pPr>
    </w:p>
    <w:p>
      <w:pPr>
        <w:ind w:right="540" w:firstLine="885"/>
        <w:spacing w:after="0" w:line="282" w:lineRule="auto"/>
        <w:tabs>
          <w:tab w:leader="none" w:pos="12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the Borrower, dated as of the Sixth Amendment Effective Date, certifying that the conditions set forth in clauses (e) and (f) of this Section 3.1 have been satisfied;</w:t>
      </w:r>
    </w:p>
    <w:p>
      <w:pPr>
        <w:spacing w:after="0" w:line="53" w:lineRule="exact"/>
        <w:rPr>
          <w:rFonts w:ascii="Times New Roman" w:cs="Times New Roman" w:eastAsia="Times New Roman" w:hAnsi="Times New Roman"/>
          <w:sz w:val="18"/>
          <w:szCs w:val="18"/>
          <w:color w:val="auto"/>
        </w:rPr>
      </w:pPr>
    </w:p>
    <w:p>
      <w:pPr>
        <w:ind w:right="520" w:firstLine="885"/>
        <w:spacing w:after="0" w:line="266" w:lineRule="auto"/>
        <w:tabs>
          <w:tab w:leader="none" w:pos="12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opinions of counsel from counsel to the Loan Parties, each of which shall be addressed to the Administrative Agent and the Lenders and dated the Sixth Amendment Effective Date and in form and substance reasonably satisfactory to the Administrative Agent;</w:t>
      </w:r>
    </w:p>
    <w:p>
      <w:pPr>
        <w:spacing w:after="0" w:line="68" w:lineRule="exact"/>
        <w:rPr>
          <w:rFonts w:ascii="Times New Roman" w:cs="Times New Roman" w:eastAsia="Times New Roman" w:hAnsi="Times New Roman"/>
          <w:sz w:val="18"/>
          <w:szCs w:val="18"/>
          <w:color w:val="auto"/>
        </w:rPr>
      </w:pPr>
    </w:p>
    <w:p>
      <w:pPr>
        <w:ind w:right="100" w:firstLine="885"/>
        <w:spacing w:after="0" w:line="256" w:lineRule="auto"/>
        <w:tabs>
          <w:tab w:leader="none" w:pos="12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or any other Loan Document, or which are contained in any document furnished at any time under or in connection herewith or therewith, shall be true and correct in all material respects (or, with respect to representations and warranties modified by a materiality or Material Adverse Effect standard, in all respects) on and as of the Sixth Amendment Effective Date, except to the extent that such representations and warranties specifically refer to an earlier date, in which case they shall be true and correct in all material respects (or, with respect to representations and warranties modified by a materiality or Material Adverse Effect standard, in all respects) as of such earlier date;</w:t>
      </w:r>
    </w:p>
    <w:p>
      <w:pPr>
        <w:spacing w:after="0" w:line="79" w:lineRule="exact"/>
        <w:rPr>
          <w:rFonts w:ascii="Times New Roman" w:cs="Times New Roman" w:eastAsia="Times New Roman" w:hAnsi="Times New Roman"/>
          <w:sz w:val="18"/>
          <w:szCs w:val="18"/>
          <w:color w:val="auto"/>
        </w:rPr>
      </w:pPr>
    </w:p>
    <w:p>
      <w:pPr>
        <w:ind w:left="1240" w:hanging="35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before and immediately after giving effect to this Amendment, there shall exist no Default or Event of Default; and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5" w:name="page6"/>
    <w:bookmarkEnd w:id="5"/>
    <w:p>
      <w:pPr>
        <w:ind w:right="60" w:firstLine="885"/>
        <w:spacing w:after="0" w:line="255" w:lineRule="auto"/>
        <w:tabs>
          <w:tab w:leader="none" w:pos="12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shall have paid to the Administrative Agent, (i) for the account of each Term Lender that has returned an executed counterpart to this Amendment to the Administrative Agent prior to 12:00 p.m., New York City time, on Friday, March 15, 2019, a fee in an amount equal to 0.025% of the aggregate principal amount of such Term Lender’s Term Loans outstanding under the Credit Agreement immediately prior to the Sixth Amendment Effective Date and (ii) for the account of each Revolving Credit Lender that has returned an executed counterpart to this Amendment to the Administrative Agent prior to 12:00 p.m., New York City time, on Friday, March 15, 2019, a fee in an amount equal to 0.025% of the aggregate principal amount of such Revolving Credit Lender’s Revolving Credit Commitments under the Credit Agreement immediately prior to the Sixth Amendment Effective Date.</w:t>
      </w:r>
    </w:p>
    <w:p>
      <w:pPr>
        <w:spacing w:after="0" w:line="18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Acknowledgments and Affirmations of the Loan Parties</w:t>
      </w:r>
      <w:r>
        <w:rPr>
          <w:rFonts w:ascii="Times New Roman" w:cs="Times New Roman" w:eastAsia="Times New Roman" w:hAnsi="Times New Roman"/>
          <w:sz w:val="18"/>
          <w:szCs w:val="18"/>
          <w:color w:val="auto"/>
        </w:rPr>
        <w:t xml:space="preserve">. Each Loan Party hereby expressly acknowledges the terms of this Amendment and confirms and reaffirms, as of the date hereof, (i) the covenants and agreements contained in each Loan Document to which it is a party, including, in each case, such covenants and agreements as in effect immediately after giving effect to this Amendment and the transactions contemplated hereby and thereby, (ii) its guarantee of the Obligations under the Guaranty and (iii) its grant of Liens on the Collateral to secure the Obligations pursuant to the Collateral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and after the effectiveness of this Amendment, each reference in the Guaranty and in each of the other Loan Documents to “the Credit Agreement,” “thereunder”, “thereof” or words of like import shall mean and be a reference to the Amended Credit Agreement. Without limiting the generality of the foregoing, the Collateral Documents to which such Loan Party is a party and all of the Collateral described therein do, and shall continue to secure, payment of all of the Obligations.</w:t>
      </w:r>
    </w:p>
    <w:p>
      <w:pPr>
        <w:spacing w:after="0" w:line="185"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Borrower and each Guarantor, by signing below, hereby represents and warrants to the Administrative Agent and the Lenders that:</w:t>
      </w:r>
    </w:p>
    <w:p>
      <w:pPr>
        <w:spacing w:after="0" w:line="54" w:lineRule="exact"/>
        <w:rPr>
          <w:sz w:val="20"/>
          <w:szCs w:val="20"/>
          <w:color w:val="auto"/>
        </w:rPr>
      </w:pPr>
    </w:p>
    <w:p>
      <w:pPr>
        <w:ind w:left="1220" w:hanging="352"/>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legal power and authority to execute and deliver this Amendment;</w:t>
      </w:r>
    </w:p>
    <w:p>
      <w:pPr>
        <w:spacing w:after="0" w:line="117" w:lineRule="exact"/>
        <w:rPr>
          <w:rFonts w:ascii="Times New Roman" w:cs="Times New Roman" w:eastAsia="Times New Roman" w:hAnsi="Times New Roman"/>
          <w:sz w:val="18"/>
          <w:szCs w:val="18"/>
          <w:color w:val="auto"/>
        </w:rPr>
      </w:pPr>
    </w:p>
    <w:p>
      <w:pPr>
        <w:ind w:left="440" w:right="40" w:firstLine="428"/>
        <w:spacing w:after="0" w:line="282" w:lineRule="auto"/>
        <w:tabs>
          <w:tab w:leader="none" w:pos="126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executing this Amendment on its behalf have been duly authorized to execute and deliver the same and bind it with respect to the provisions hereof;</w:t>
      </w:r>
    </w:p>
    <w:p>
      <w:pPr>
        <w:spacing w:after="0" w:line="53" w:lineRule="exact"/>
        <w:rPr>
          <w:rFonts w:ascii="Times New Roman" w:cs="Times New Roman" w:eastAsia="Times New Roman" w:hAnsi="Times New Roman"/>
          <w:sz w:val="18"/>
          <w:szCs w:val="18"/>
          <w:color w:val="auto"/>
        </w:rPr>
      </w:pPr>
    </w:p>
    <w:p>
      <w:pPr>
        <w:ind w:left="440" w:right="80" w:firstLine="428"/>
        <w:spacing w:after="0" w:line="272" w:lineRule="auto"/>
        <w:tabs>
          <w:tab w:leader="none" w:pos="1313"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execution and delivery hereof by it and the performance and observance by it of the provisions hereof do not conflict with, result in a breach in any of the provisions of, constitute a default under, or result in the creation of a Lien (other than Liens permitted under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of the Credit Agreement) upon any assets or property of any Loan Party under the provisions of, (a) such Loan Party’s Organization Documents,</w:t>
      </w:r>
    </w:p>
    <w:p>
      <w:pPr>
        <w:spacing w:after="0" w:line="1" w:lineRule="exact"/>
        <w:rPr>
          <w:rFonts w:ascii="Times New Roman" w:cs="Times New Roman" w:eastAsia="Times New Roman" w:hAnsi="Times New Roman"/>
          <w:sz w:val="17"/>
          <w:szCs w:val="17"/>
          <w:color w:val="auto"/>
        </w:rPr>
      </w:pPr>
    </w:p>
    <w:p>
      <w:pPr>
        <w:ind w:left="440" w:right="120" w:firstLine="4"/>
        <w:spacing w:after="0" w:line="254"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agreement to which any Loan Party is a party, (c) any order, injunction, writ or decree of any Governmental Authority or (d) any Law, except with respect to any conflict, breach, default or violation referred to in clauses (c) and (d) above, solely to the extent that such conflicts, breaches, defaults or violations, either individually or in the aggregate, would not reasonably be expected to have a Material Adverse Effect;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6" w:name="page7"/>
    <w:bookmarkEnd w:id="6"/>
    <w:p>
      <w:pPr>
        <w:ind w:left="440" w:right="180" w:firstLine="428"/>
        <w:spacing w:after="0" w:line="266" w:lineRule="auto"/>
        <w:tabs>
          <w:tab w:leader="none" w:pos="13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constitutes its valid and binding obligation in every respect, enforceable in accordance with its terms, except as the enforceability thereof may be limited by bankruptcy, insolvency or other similar laws of general application affecting the enforcement of creditors’ rights or by general principles of equity limiting the availability of equitable remedies;</w:t>
      </w:r>
    </w:p>
    <w:p>
      <w:pPr>
        <w:spacing w:after="0" w:line="68" w:lineRule="exact"/>
        <w:rPr>
          <w:rFonts w:ascii="Times New Roman" w:cs="Times New Roman" w:eastAsia="Times New Roman" w:hAnsi="Times New Roman"/>
          <w:sz w:val="18"/>
          <w:szCs w:val="18"/>
          <w:color w:val="auto"/>
        </w:rPr>
      </w:pPr>
    </w:p>
    <w:p>
      <w:pPr>
        <w:ind w:left="440" w:right="140" w:firstLine="428"/>
        <w:spacing w:after="0" w:line="282" w:lineRule="auto"/>
        <w:tabs>
          <w:tab w:leader="none" w:pos="12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 under the Credit Agreement, nor will any occur immediately after the execution and delivery of this Amendment or by the performance or observance of any provision hereof; and</w:t>
      </w:r>
    </w:p>
    <w:p>
      <w:pPr>
        <w:spacing w:after="0" w:line="53" w:lineRule="exact"/>
        <w:rPr>
          <w:rFonts w:ascii="Times New Roman" w:cs="Times New Roman" w:eastAsia="Times New Roman" w:hAnsi="Times New Roman"/>
          <w:sz w:val="18"/>
          <w:szCs w:val="18"/>
          <w:color w:val="auto"/>
        </w:rPr>
      </w:pPr>
    </w:p>
    <w:p>
      <w:pPr>
        <w:ind w:left="440" w:firstLine="428"/>
        <w:spacing w:after="0" w:line="258" w:lineRule="auto"/>
        <w:tabs>
          <w:tab w:leader="none" w:pos="13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is true and correct in all material respects (or, with respect to representations and warranties modified by a materiality or Material Adverse Effect standard, in all respects) as of the date hereof, except to the extent that any thereof expressly relate to an earlier date, in which case such representations and warranties shall have been true and correct in all material respects (or, with respect to representations and warranties modified by a materiality or Material Adverse Effect standard, in all respects) as of the date when made.</w:t>
      </w:r>
    </w:p>
    <w:p>
      <w:pPr>
        <w:spacing w:after="0" w:line="184"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Credit Agreement Unaffected</w:t>
      </w:r>
      <w:r>
        <w:rPr>
          <w:rFonts w:ascii="Times New Roman" w:cs="Times New Roman" w:eastAsia="Times New Roman" w:hAnsi="Times New Roman"/>
          <w:sz w:val="18"/>
          <w:szCs w:val="18"/>
          <w:color w:val="auto"/>
        </w:rPr>
        <w:t>. Each reference to the Credit Agreement or in any other Loan Document shall hereafter be construed as a reference to the Credit Agreement as amended hereby. Except as herein otherwise specifically provided, all provisions of the Credit Agreement shall remain in full force and effect and be unaffected hereby. This Amendment is a Loan Document.</w:t>
      </w:r>
    </w:p>
    <w:p>
      <w:pPr>
        <w:spacing w:after="0" w:line="176"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Guarantor Acknowledgment</w:t>
      </w:r>
      <w:r>
        <w:rPr>
          <w:rFonts w:ascii="Times New Roman" w:cs="Times New Roman" w:eastAsia="Times New Roman" w:hAnsi="Times New Roman"/>
          <w:sz w:val="18"/>
          <w:szCs w:val="18"/>
          <w:color w:val="auto"/>
        </w:rPr>
        <w:t>. Each Guarantor, by signing this Amendment:</w:t>
      </w:r>
    </w:p>
    <w:p>
      <w:pPr>
        <w:spacing w:after="0" w:line="117" w:lineRule="exact"/>
        <w:rPr>
          <w:sz w:val="20"/>
          <w:szCs w:val="20"/>
          <w:color w:val="auto"/>
        </w:rPr>
      </w:pPr>
    </w:p>
    <w:p>
      <w:pPr>
        <w:ind w:left="1220" w:hanging="352"/>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and agrees to and acknowledges the terms of this Amendment;</w:t>
      </w:r>
    </w:p>
    <w:p>
      <w:pPr>
        <w:spacing w:after="0" w:line="117" w:lineRule="exact"/>
        <w:rPr>
          <w:rFonts w:ascii="Times New Roman" w:cs="Times New Roman" w:eastAsia="Times New Roman" w:hAnsi="Times New Roman"/>
          <w:sz w:val="18"/>
          <w:szCs w:val="18"/>
          <w:color w:val="auto"/>
        </w:rPr>
      </w:pPr>
    </w:p>
    <w:p>
      <w:pPr>
        <w:jc w:val="both"/>
        <w:ind w:left="440" w:right="120" w:firstLine="428"/>
        <w:spacing w:after="0" w:line="266" w:lineRule="auto"/>
        <w:tabs>
          <w:tab w:leader="none" w:pos="1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all of the Loan Documents to which such Guarantor is a party or otherwise bound shall continue in full force and effect and that all of such Guarantor’s obligations thereunder shall be valid and enforceable and shall not be impaired or limited by the execution or effectiveness of this Amendment;</w:t>
      </w:r>
    </w:p>
    <w:p>
      <w:pPr>
        <w:spacing w:after="0" w:line="68" w:lineRule="exact"/>
        <w:rPr>
          <w:rFonts w:ascii="Times New Roman" w:cs="Times New Roman" w:eastAsia="Times New Roman" w:hAnsi="Times New Roman"/>
          <w:sz w:val="18"/>
          <w:szCs w:val="18"/>
          <w:color w:val="auto"/>
        </w:rPr>
      </w:pPr>
    </w:p>
    <w:p>
      <w:pPr>
        <w:jc w:val="both"/>
        <w:ind w:left="440" w:right="40" w:firstLine="428"/>
        <w:spacing w:after="0" w:line="261" w:lineRule="auto"/>
        <w:tabs>
          <w:tab w:leader="none" w:pos="13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to the Administrative Agent and the Lenders that all representations and warranties made by such Guarantor and contained in this Amendment or any other Loan Document to which it is a party are true and correct in all material respects on and as of the date hereof to the same extent as though made on and as of the date hereof, except to the extent that any thereof expressly relate to an earlier date; and</w:t>
      </w:r>
    </w:p>
    <w:p>
      <w:pPr>
        <w:spacing w:after="0" w:line="71" w:lineRule="exact"/>
        <w:rPr>
          <w:rFonts w:ascii="Times New Roman" w:cs="Times New Roman" w:eastAsia="Times New Roman" w:hAnsi="Times New Roman"/>
          <w:sz w:val="18"/>
          <w:szCs w:val="18"/>
          <w:color w:val="auto"/>
        </w:rPr>
      </w:pPr>
    </w:p>
    <w:p>
      <w:pPr>
        <w:jc w:val="both"/>
        <w:ind w:left="440" w:right="180" w:firstLine="428"/>
        <w:spacing w:after="0" w:line="261" w:lineRule="auto"/>
        <w:tabs>
          <w:tab w:leader="none" w:pos="11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(A) notwithstanding the conditions to effectiveness set forth in this Amendment, such Guarantor is not required by the terms of the Credit Agreement or any other Loan Document to which such Guarantor is a party to consent to the amendments to the Credit Agreement effected pursuant to this Amendment and (B) nothing in the Credit Agreement, this Amendment or any other Loan Document shall be deemed to require the consent of such Guarantor to any future amendments or modifications to the Credit Agreement.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7" w:name="page8"/>
    <w:bookmarkEnd w:id="7"/>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Borrower and each Guarantor, by signing below, hereby waives and releases the Administrative Agent and each of the Lenders and their respective Related Parties from any and all claims, offsets, defenses and counterclaims of which the Borrower and any Guarantor is aware, such waiver and release being with full knowledge and understanding of the circumstances and effect thereof and after having consulted legal counsel with respect thereto.</w:t>
      </w:r>
    </w:p>
    <w:p>
      <w:pPr>
        <w:spacing w:after="0" w:line="180"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together with the Credit Agreement and the other Loan Documents integrate all the terms and conditions mentioned herein or incidental hereto and supersede all oral representations and negotiations and prior writings with respect to the subject matter hereof.</w:t>
      </w:r>
    </w:p>
    <w:p>
      <w:pPr>
        <w:spacing w:after="0" w:line="176" w:lineRule="exact"/>
        <w:rPr>
          <w:sz w:val="20"/>
          <w:szCs w:val="20"/>
          <w:color w:val="auto"/>
        </w:rPr>
      </w:pPr>
    </w:p>
    <w:p>
      <w:pPr>
        <w:jc w:val="both"/>
        <w:ind w:right="2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e-mail (including in a “.pdf” format) shall be effective as delivery of a manually executed counterpart of this Amendment.</w:t>
      </w:r>
    </w:p>
    <w:p>
      <w:pPr>
        <w:spacing w:after="0" w:line="180" w:lineRule="exact"/>
        <w:rPr>
          <w:sz w:val="20"/>
          <w:szCs w:val="20"/>
          <w:color w:val="auto"/>
        </w:rPr>
      </w:pPr>
    </w:p>
    <w:p>
      <w:pPr>
        <w:ind w:right="1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Governing Law; Submission to Jurisdiction; Venue; Waiver of Jury Trial</w:t>
      </w:r>
      <w:r>
        <w:rPr>
          <w:rFonts w:ascii="Times New Roman" w:cs="Times New Roman" w:eastAsia="Times New Roman" w:hAnsi="Times New Roman"/>
          <w:sz w:val="18"/>
          <w:szCs w:val="18"/>
          <w:color w:val="auto"/>
        </w:rPr>
        <w:t xml:space="preserve">.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 SECTIONS 10.14 AND 10.15 OF THE CREDIT AGREEMENT ARE HEREBY INCORPORATED BY REFERENCE INTO THIS AMENDMENT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HERETO.</w:t>
      </w:r>
    </w:p>
    <w:p>
      <w:pPr>
        <w:spacing w:after="0" w:line="188" w:lineRule="exact"/>
        <w:rPr>
          <w:sz w:val="20"/>
          <w:szCs w:val="20"/>
          <w:color w:val="auto"/>
        </w:rPr>
      </w:pPr>
    </w:p>
    <w:p>
      <w:pPr>
        <w:ind w:firstLine="441"/>
        <w:spacing w:after="0" w:line="313"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Lead Arrangers</w:t>
      </w:r>
      <w:r>
        <w:rPr>
          <w:rFonts w:ascii="Times New Roman" w:cs="Times New Roman" w:eastAsia="Times New Roman" w:hAnsi="Times New Roman"/>
          <w:sz w:val="17"/>
          <w:szCs w:val="17"/>
          <w:color w:val="auto"/>
        </w:rPr>
        <w:t>. Each party hereto agrees that no Arranger (including the Sixth Amendment Arranger) shall have any duties or obligations under any Loan Documents to any Lender or any Loan Party arising from such designation as an Arranger or Sixth Amendment Arranger, as applicable.</w:t>
      </w:r>
    </w:p>
    <w:p>
      <w:pPr>
        <w:spacing w:after="0" w:line="138"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80" w:lineRule="exact"/>
        <w:rPr>
          <w:sz w:val="20"/>
          <w:szCs w:val="20"/>
          <w:color w:val="auto"/>
        </w:rPr>
      </w:pPr>
    </w:p>
    <w:p>
      <w:pPr>
        <w:jc w:val="both"/>
        <w:ind w:right="1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Sixth Amendment Effective Date.</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has been duly executed and delivered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NN, INC.</w:t>
      </w:r>
      <w:r>
        <w:rPr>
          <w:rFonts w:ascii="Times New Roman" w:cs="Times New Roman" w:eastAsia="Times New Roman" w:hAnsi="Times New Roman"/>
          <w:sz w:val="18"/>
          <w:szCs w:val="18"/>
          <w:color w:val="auto"/>
        </w:rPr>
        <w:t>, as the Borrower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Thomas C. Burwell, Jr.</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-130810</wp:posOffset>
            </wp:positionV>
            <wp:extent cx="26244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jc w:val="right"/>
        <w:spacing w:after="0"/>
        <w:tabs>
          <w:tab w:leader="none" w:pos="3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Chief Financial</w:t>
      </w:r>
    </w:p>
    <w:p>
      <w:pPr>
        <w:spacing w:after="0" w:line="9"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Amendment No. 6 to Amended and Restated Credit Agreement</w:t>
      </w:r>
    </w:p>
    <w:p>
      <w:pPr>
        <w:sectPr>
          <w:pgSz w:w="11900" w:h="16838" w:orient="portrait"/>
          <w:cols w:equalWidth="0" w:num="1">
            <w:col w:w="10100"/>
          </w:cols>
          <w:pgMar w:left="880" w:top="270" w:right="9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 to by each of the undersigned Guarantors:</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AUTOCAM CORPORATION</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AUTOCAM-PAX,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INDUSTRIAL MOLDING CORPORATION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WHIRLAWAY CORPORATION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PNC ACQUISITION COMPANY,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PMC USA ACQUISITION COMPANY,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PMC ACQUISITION COMPANY,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NN PRECISION PLASTICS,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CAPROCK MANUFACTURING,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CAPROCK ENCLOSURES,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PRECISION ENGINEERED PRODUCTS HOLDINGS,</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PRECISION ENGINEERED PRODUCTS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BRAININ-ADVANCE INDUSTRIES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WAUCONDA TOOL &amp; ENGINEERING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LACEY MANUFACTURING COMPANY,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GENERAL METAL FINISHING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POLYMETALLURGICAL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MATRIX I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BOSTON ENDO-SURGICAL TECHNOLOGIES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CONNECTICUT PLASTICS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ADVANCED PRECISION PRODUCTS,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HOWESTEMCO,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PREMCO,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PROFILES INCORPORATED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HOLMED,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TRIGON INTERNATIONAL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NN LIFE SCIENCES DESIGN &amp; DEVELOPMENT,</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NN LIFE SCIENCES – VANDALIA,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PMG INTERMEDIATE HOLDING CORPORATION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PMG ACQUISITION CORPORATION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PARAGON MEDICAL,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PARAGON MEDICAL INTERNATIONAL,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PARAGON ACQUISITION CORP.</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PLATINUM SURGICAL INSTRUMENTS,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SOUTHERN CALIFORNIA TECHNICAL ARTS, INC.</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Matthew S. Heiter</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 or Secretary, as applicable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2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i w:val="1"/>
          <w:iCs w:val="1"/>
          <w:color w:val="auto"/>
        </w:rPr>
        <w:t>Amendment No. 6 to Amended and Restated Credit Agreement</w:t>
      </w:r>
    </w:p>
    <w:p>
      <w:pPr>
        <w:sectPr>
          <w:pgSz w:w="11900" w:h="16838" w:orient="portrait"/>
          <w:cols w:equalWidth="0" w:num="1">
            <w:col w:w="10540"/>
          </w:cols>
          <w:pgMar w:left="880" w:top="270" w:right="479" w:bottom="1440" w:gutter="0" w:footer="0" w:header="0"/>
        </w:sectPr>
      </w:pPr>
    </w:p>
    <w:bookmarkStart w:id="10" w:name="page11"/>
    <w:bookmarkEnd w:id="1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w:t>
      </w:r>
      <w:r>
        <w:rPr>
          <w:rFonts w:ascii="Times New Roman" w:cs="Times New Roman" w:eastAsia="Times New Roman" w:hAnsi="Times New Roman"/>
          <w:sz w:val="18"/>
          <w:szCs w:val="18"/>
          <w:color w:val="auto"/>
        </w:rPr>
        <w:t>, as Administrative Agent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Anika Kirs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Amendment No. 6 to Amended and Restated Credit Agreement</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7"/>
    </w:lvl>
  </w:abstractNum>
  <w:abstractNum w:abstractNumId="4">
    <w:nsid w:val="2EB141F2"/>
    <w:multiLevelType w:val="hybridMultilevel"/>
    <w:lvl w:ilvl="0">
      <w:lvlJc w:val="left"/>
      <w:lvlText w:val="%1"/>
      <w:numFmt w:val="lowerLetter"/>
      <w:start w:val="1"/>
    </w:lvl>
    <w:lvl w:ilvl="1">
      <w:lvlJc w:val="left"/>
      <w:lvlText w:val="(%2)"/>
      <w:numFmt w:val="lowerRoman"/>
      <w:start w:val="1"/>
    </w:lvl>
  </w:abstractNum>
  <w:abstractNum w:abstractNumId="5">
    <w:nsid w:val="41B71EFB"/>
    <w:multiLevelType w:val="hybridMultilevel"/>
    <w:lvl w:ilvl="0">
      <w:lvlJc w:val="left"/>
      <w:lvlText w:val="(%1)"/>
      <w:numFmt w:val="lowerLetter"/>
      <w:start w:val="2"/>
    </w:lvl>
    <w:lvl w:ilvl="1">
      <w:lvlJc w:val="left"/>
      <w:lvlText w:val="%2"/>
      <w:numFmt w:val="lowerRoman"/>
      <w:start w:val="1"/>
    </w:lvl>
  </w:abstractNum>
  <w:abstractNum w:abstractNumId="6">
    <w:nsid w:val="79E2A9E3"/>
    <w:multiLevelType w:val="hybridMultilevel"/>
    <w:lvl w:ilvl="0">
      <w:lvlJc w:val="left"/>
      <w:lvlText w:val="(%1)"/>
      <w:numFmt w:val="lowerRoman"/>
      <w:start w:val="4"/>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2019-12-28T14:20:55Z</dcterms:created>
  <dcterms:modified xsi:type="dcterms:W3CDTF">2019-12-28T14:20:55Z</dcterms:modified>
</cp:coreProperties>
</file>