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424815</wp:posOffset>
            </wp:positionV>
            <wp:extent cx="75438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6210 Ardrey Kell Road, Suite 120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28277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July 2, 2024, NN, Inc., a Delaware corporation (the “Company”), announced it has entered into a definitive agreement to sell its lone plastics products plant know as Industrial Molding Corporation. The Company issued a press release announcing the definitive agreement, as well as revising its full-year 2024 outlook, a copy of which is furnished as Exhibit 99.1 to this Current Report on Form 8-K (the “Current Report”).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4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3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NN, Inc., dated July 2, 2024</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H. Bohnert</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8867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Strengthens Balance Sheet Through Sale of Non-Core Plastics Plant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Executing on Key Elements of Transformation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CHARLOTTE, N.C., July 2, 2024 – NN, Inc. (NASDAQ: NNBR), a global diversified industrial company that engineers and manufactures high-precision components and assemblies, today announced it has entered into a definitive agreement to sell its lone plastics products plant known as Industrial Molding Corporation (IMC), to Davalor Mold Company, a wholly owned portfolio company of Blackford Capital. Total net cash proceeds will be approximately $16 million.</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“NN is underway with a strategic transformation that includes leveraging our core competencies and implementing a supportive balance sheet” said Harold Bevis, President and CEO of NN, Inc. “IMC is a good, stand-alone plastics injection-molding plant and is not core to our strategic direction. Our core competencies are centered upon delivering globally competitive, mission critical manufacturing solutions to discriminating buyers of high-value, high-precision components and sub-assemblies. This plant is not consistent with this direction and is more general-purpose in nature. Furthermore, the products and customers in this plant are unique to it and there will be no impact to NN’s remaining business. The plant’s business is centered in generic vehicle parts and ball bearing components.”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key element of NN’s transformation and leadership plan is to progressively correct our balance sheet back to market norms. We will pay down debt with the net proceeds from this transaction and continue to advance our balance sheet initiatives. We have a tremendous amount of opportunities in front of us and are excited to implement them. We will continue to focus and refine our business plans in our chosen markets of auto, electrical, industrial and medical,” said Bevis.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2024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this portfolio divestiture and debt reduction and deleveraging transaction, NN is revising its full-year 2024 outlook modestly as follows:</w:t>
      </w:r>
    </w:p>
    <w:p>
      <w:pPr>
        <w:spacing w:after="0" w:line="131" w:lineRule="exact"/>
        <w:rPr>
          <w:sz w:val="20"/>
          <w:szCs w:val="20"/>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will be in the range of $465 million to $485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will be in the range of $47 million to $51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will be in the range of $8 million to $12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wins will be in the range of $55 million to $70 million.</w:t>
      </w:r>
    </w:p>
    <w:p>
      <w:pPr>
        <w:spacing w:after="0" w:line="225" w:lineRule="exact"/>
        <w:rPr>
          <w:rFonts w:ascii="Times New Roman" w:cs="Times New Roman" w:eastAsia="Times New Roman" w:hAnsi="Times New Roman"/>
          <w:sz w:val="18"/>
          <w:szCs w:val="18"/>
          <w:color w:val="auto"/>
        </w:rPr>
      </w:pPr>
    </w:p>
    <w:p>
      <w:pPr>
        <w:ind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is committed to creating a sustainable and profitable growth business model by participating in large growing markets; partnering with innovative customers on innovative programs; and providing unique value through a global footprint of plants delivering high quality and on-time performance. NN is also strengthening its core values around climate leadership, diversity, and inclusion.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Blaige &amp; Company served as the exclusive financial advisor on the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NN, Inc.</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t>
      </w:r>
      <w:r>
        <w:rPr>
          <w:rFonts w:ascii="Times New Roman" w:cs="Times New Roman" w:eastAsia="Times New Roman" w:hAnsi="Times New Roman"/>
          <w:sz w:val="18"/>
          <w:szCs w:val="18"/>
          <w:u w:val="single" w:color="auto"/>
          <w:color w:val="auto"/>
        </w:rPr>
        <w:t>www.nninc.com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Securities Act of 1933, as amended, and Section 21E of the Securities Exchange Act of 1934, as amended, which are intended to be covered by the safe harbor provisions of the Private Securities Litigation Reform Act of 1995 and include this statement for purposes of complying with these safe harbor provisions. 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Caminiti or Stephen Poe,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Peters or Emma Brandeis,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NNBR@alpha-ir.com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312-445-2870</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2024-07-03T05:17:17Z</dcterms:created>
  <dcterms:modified xsi:type="dcterms:W3CDTF">2024-07-03T05:17:17Z</dcterms:modified>
</cp:coreProperties>
</file>