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971550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217170</wp:posOffset>
            </wp:positionV>
            <wp:extent cx="68580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May 6, 2015, NN, Inc. (the “Company”) issued a press release announcing the Company’s results of operations and financial condition for the three months ended March 31, 2015. The full text of the press release is furnished as Exhibit 99.1 and is incorporated herein by reference.</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6, 2015.</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6, 2015</w:t>
      </w:r>
      <w:r>
        <w:rPr>
          <w:sz w:val="20"/>
          <w:szCs w:val="20"/>
          <w:color w:val="auto"/>
        </w:rPr>
        <w:tab/>
      </w:r>
      <w:r>
        <w:rPr>
          <w:rFonts w:ascii="Arial" w:cs="Arial" w:eastAsia="Arial" w:hAnsi="Arial"/>
          <w:sz w:val="17"/>
          <w:szCs w:val="17"/>
          <w:b w:val="1"/>
          <w:bCs w:val="1"/>
          <w:color w:val="auto"/>
        </w:rPr>
        <w:t>NN,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Chief Administrative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6, 2015.</w:t>
      </w:r>
    </w:p>
    <w:p>
      <w:pPr>
        <w:sectPr>
          <w:pgSz w:w="11900" w:h="16838" w:orient="portrait"/>
          <w:cols w:equalWidth="0" w:num="1">
            <w:col w:w="10199"/>
          </w:cols>
          <w:pgMar w:left="26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172085</wp:posOffset>
            </wp:positionV>
            <wp:extent cx="184404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04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132905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160" w:space="720"/>
            <w:col w:w="554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6, 2015</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FIRST QUARTER 2015 RESULTS</w:t>
      </w:r>
    </w:p>
    <w:p>
      <w:pPr>
        <w:spacing w:after="0" w:line="25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Net sales of $163.7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income from operations of $13.9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net income of $6.9 million or $0.36 per diluted share</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Johnson City, Tenn, May 6, 2015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for the first quarter of 2015 increased $61.2 million, or 60%, to $163.7 million, compared to $102.5 million for the first quarter of 2014. Excluding acquisitions that occurred after the first quarter of 2014 and currency effects, the Company had sales volume growth of $7.8 million or 7.6%, compared with the prior year. Acquisitions made subsequent to March 31, 2014 added $62.0 million in revenue. Negative currency impacts reduced reported revenue by $8.3 million versus the first quarter of last year.</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Adjusted income from operations for the first quarter of 2015 was $13.9 million, an increase of 58%, compared to $8.8 million for the same period in 2014. Adjusted net income, which excludes the after-tax impact of foreign exchange on inter-company loans, increased to $6.9 million or $0.36 per diluted share, compared to $5.6 million or $0.31 per diluted share for the same period in 2014.</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a GAAP basis, income from operations for the first quarter of 2015 was $13.9 million, compared to $8.3 million for the same period in 2014. Net income on a GAAP basis for the first quarter of 2015 was $6.0 million or $0.31 per diluted share. This compares to $5.2 million or $0.29 per diluted share in the first quarter of 2014.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Richard Holder, President and Chief Executive Officer, commented, “Our first quarter results are in line with our expectations and provide a solid start to the year. The four acquisitions made in 2014 remain ahead of our stated integration and synergy targets for 2015.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 Bearing Components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sales for the group increased $2.3 million to $73.2 million during the first quarter of 2015, compared to $70.9 million for first quarter 2014. Excluding acquisitions, volume increases, organic and adjacent market growth of $8.0 million was offset by a currency translation impact of $8.3 million. Income from operations for the first quarter was $9.1 million, compared to $8.8 million in the first quarter of 2014.</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opportunities in the Metal Bearing Components Group continue to expand beyond the historical scope of the business,” said Holder. “Volume and new growth opportunities continue to look strong as we head into the second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sales for the first quarter of 2015 were $82.6 million, compared to $23.7 million in the first quarter of 2014, an increase of $58.9 million. Acquisitions accounted for $59.3 million of the increase. Income from operations for the quarter increased $5.2 million to $7.7 million, compared to $2.6 million in the first quarter of 2014.</w:t>
      </w:r>
    </w:p>
    <w:p>
      <w:pPr>
        <w:spacing w:after="0" w:line="18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Holder commented, “The integration of the Autocam acquisition continues to exceed our expectations and we expect this trend to continue as several programs are projected to reach expected operating performance levels during the second and third quarters of this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Plastic and Rubber Components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sales for the first quarter were $7.9 million, which was equal to the same period in 2014. Income from operations for the quarter was $0.2 million compared to $0.2 million in 2014.</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Holder concluded, “The first quarter was in line with our expectations and we anticipate continued improvement in our businesses operating performance throughout the year.”</w:t>
      </w:r>
    </w:p>
    <w:p>
      <w:pPr>
        <w:spacing w:after="0" w:line="170" w:lineRule="exact"/>
        <w:rPr>
          <w:sz w:val="20"/>
          <w:szCs w:val="20"/>
          <w:color w:val="auto"/>
        </w:rPr>
      </w:pPr>
    </w:p>
    <w:p>
      <w:pPr>
        <w:ind w:firstLine="8"/>
        <w:spacing w:after="0" w:line="264"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discuss its results during its quarterly investor conference call tomorrow morning starting at 9:00 a.m. ET. The call and an accompanying slide presentation may be accessed via NN’s website or www.earnings.com. For those who are unavailable to listen to the live broadcast, a replay will be available shortly after the call for 90 days.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attached financial tables include a reconciliation of adjusted income from operations and adjusted net income to the U.S. GAAP financial measures of income from operations and net income.</w:t>
      </w:r>
    </w:p>
    <w:p>
      <w:pPr>
        <w:sectPr>
          <w:pgSz w:w="11900" w:h="16838" w:orient="portrait"/>
          <w:cols w:equalWidth="0" w:num="1">
            <w:col w:w="11320"/>
          </w:cols>
          <w:pgMar w:left="240" w:top="274" w:right="339" w:bottom="1440" w:gutter="0" w:footer="0" w:header="0"/>
        </w:sectPr>
      </w:pPr>
    </w:p>
    <w:bookmarkStart w:id="6" w:name="page7"/>
    <w:bookmarkEnd w:id="6"/>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 diversified industrial company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6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163,746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 and share of net income from joint venture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Diluted income per common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117,249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238,008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264,805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278,442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51,419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694,386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61,801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23,248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obligations under capital lease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127,139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334,995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533,098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161,288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173,699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694,386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March, 31, 2015</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March, 31, 2014</w:t>
            </w: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5"/>
          </w:tcPr>
          <w:p>
            <w:pPr>
              <w:ind w:left="520"/>
              <w:spacing w:after="0" w:line="149" w:lineRule="exact"/>
              <w:rPr>
                <w:sz w:val="20"/>
                <w:szCs w:val="20"/>
                <w:color w:val="auto"/>
              </w:rPr>
            </w:pPr>
            <w:r>
              <w:rPr>
                <w:rFonts w:ascii="Arial" w:cs="Arial" w:eastAsia="Arial" w:hAnsi="Arial"/>
                <w:sz w:val="14"/>
                <w:szCs w:val="14"/>
                <w:b w:val="1"/>
                <w:bCs w:val="1"/>
                <w:color w:val="auto"/>
                <w:w w:val="94"/>
              </w:rPr>
              <w:t>March 31, 2015</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March 31, 2014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Diluted Earnings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Diluted</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r>
      <w:tr>
        <w:trPr>
          <w:trHeight w:val="178"/>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7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Share</w:t>
            </w:r>
          </w:p>
        </w:tc>
      </w:tr>
      <w:tr>
        <w:trPr>
          <w:trHeight w:val="203"/>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6,001</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w w:val="85"/>
              </w:rPr>
              <w:t>0.31</w:t>
            </w:r>
          </w:p>
        </w:tc>
        <w:tc>
          <w:tcPr>
            <w:tcW w:w="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5,238</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After tax acquisition and integration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85"/>
              </w:rPr>
              <w:t>0.00</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5"/>
              </w:rPr>
              <w:t>0.05</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w w:val="85"/>
              </w:rPr>
              <w:t>0.36</w:t>
            </w: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2019-12-06T10:01:36Z</dcterms:created>
  <dcterms:modified xsi:type="dcterms:W3CDTF">2019-12-06T10:01:36Z</dcterms:modified>
</cp:coreProperties>
</file>