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3" w:lineRule="exact"/>
        <w:rPr>
          <w:sz w:val="24"/>
          <w:szCs w:val="24"/>
          <w:color w:val="auto"/>
        </w:rPr>
      </w:pPr>
    </w:p>
    <w:p>
      <w:pPr>
        <w:spacing w:after="0"/>
        <w:rPr>
          <w:sz w:val="20"/>
          <w:szCs w:val="20"/>
          <w:color w:val="auto"/>
        </w:rPr>
      </w:pPr>
      <w:r>
        <w:rPr>
          <w:rFonts w:ascii="Arial" w:cs="Arial" w:eastAsia="Arial" w:hAnsi="Arial"/>
          <w:sz w:val="22"/>
          <w:szCs w:val="22"/>
          <w:color w:val="auto"/>
        </w:rPr>
        <w:t>Date of Report (Date of earliest event reported): February 28, 2006</w:t>
      </w:r>
    </w:p>
    <w:p>
      <w:pPr>
        <w:spacing w:after="0" w:line="200" w:lineRule="exact"/>
        <w:rPr>
          <w:sz w:val="24"/>
          <w:szCs w:val="24"/>
          <w:color w:val="auto"/>
        </w:rPr>
      </w:pPr>
    </w:p>
    <w:p>
      <w:pPr>
        <w:spacing w:after="0" w:line="345"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60" w:type="dxa"/>
        <w:tblCellMar>
          <w:top w:w="0" w:type="dxa"/>
          <w:left w:w="0" w:type="dxa"/>
          <w:bottom w:w="0" w:type="dxa"/>
          <w:right w:w="0" w:type="dxa"/>
        </w:tblCellMar>
      </w:tblPr>
      <w:tr>
        <w:trPr>
          <w:trHeight w:val="256"/>
        </w:trPr>
        <w:tc>
          <w:tcPr>
            <w:tcW w:w="3760" w:type="dxa"/>
            <w:vAlign w:val="bottom"/>
          </w:tcPr>
          <w:p>
            <w:pPr>
              <w:spacing w:after="0"/>
              <w:rPr>
                <w:sz w:val="20"/>
                <w:szCs w:val="20"/>
                <w:color w:val="auto"/>
              </w:rPr>
            </w:pPr>
            <w:r>
              <w:rPr>
                <w:rFonts w:ascii="Arial" w:cs="Arial" w:eastAsia="Arial" w:hAnsi="Arial"/>
                <w:sz w:val="22"/>
                <w:szCs w:val="22"/>
                <w:b w:val="1"/>
                <w:bCs w:val="1"/>
                <w:color w:val="auto"/>
              </w:rPr>
              <w:t>Delaware</w:t>
            </w:r>
          </w:p>
        </w:tc>
        <w:tc>
          <w:tcPr>
            <w:tcW w:w="3520" w:type="dxa"/>
            <w:vAlign w:val="bottom"/>
          </w:tcPr>
          <w:p>
            <w:pPr>
              <w:ind w:left="1880"/>
              <w:spacing w:after="0"/>
              <w:rPr>
                <w:sz w:val="20"/>
                <w:szCs w:val="20"/>
                <w:color w:val="auto"/>
              </w:rPr>
            </w:pPr>
            <w:r>
              <w:rPr>
                <w:rFonts w:ascii="Arial" w:cs="Arial" w:eastAsia="Arial" w:hAnsi="Arial"/>
                <w:sz w:val="22"/>
                <w:szCs w:val="22"/>
                <w:b w:val="1"/>
                <w:bCs w:val="1"/>
                <w:color w:val="auto"/>
              </w:rPr>
              <w:t>0-23486</w:t>
            </w:r>
          </w:p>
        </w:tc>
        <w:tc>
          <w:tcPr>
            <w:tcW w:w="1700" w:type="dxa"/>
            <w:vAlign w:val="bottom"/>
          </w:tcPr>
          <w:p>
            <w:pPr>
              <w:jc w:val="right"/>
              <w:ind w:right="144"/>
              <w:spacing w:after="0"/>
              <w:rPr>
                <w:sz w:val="20"/>
                <w:szCs w:val="20"/>
                <w:color w:val="auto"/>
              </w:rPr>
            </w:pPr>
            <w:r>
              <w:rPr>
                <w:rFonts w:ascii="Arial" w:cs="Arial" w:eastAsia="Arial" w:hAnsi="Arial"/>
                <w:sz w:val="22"/>
                <w:szCs w:val="22"/>
                <w:b w:val="1"/>
                <w:bCs w:val="1"/>
                <w:color w:val="auto"/>
              </w:rPr>
              <w:t>62-1096725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(State or other jurisdiction</w:t>
            </w:r>
          </w:p>
        </w:tc>
        <w:tc>
          <w:tcPr>
            <w:tcW w:w="3520" w:type="dxa"/>
            <w:vAlign w:val="bottom"/>
          </w:tcPr>
          <w:p>
            <w:pPr>
              <w:ind w:left="1860"/>
              <w:spacing w:after="0"/>
              <w:rPr>
                <w:sz w:val="20"/>
                <w:szCs w:val="20"/>
                <w:color w:val="auto"/>
              </w:rPr>
            </w:pPr>
            <w:r>
              <w:rPr>
                <w:rFonts w:ascii="Arial" w:cs="Arial" w:eastAsia="Arial" w:hAnsi="Arial"/>
                <w:sz w:val="18"/>
                <w:szCs w:val="18"/>
                <w:color w:val="auto"/>
              </w:rPr>
              <w:t>(Commission File</w:t>
            </w:r>
          </w:p>
        </w:tc>
        <w:tc>
          <w:tcPr>
            <w:tcW w:w="1700" w:type="dxa"/>
            <w:vAlign w:val="bottom"/>
          </w:tcPr>
          <w:p>
            <w:pPr>
              <w:ind w:left="360"/>
              <w:spacing w:after="0"/>
              <w:rPr>
                <w:sz w:val="20"/>
                <w:szCs w:val="20"/>
                <w:color w:val="auto"/>
              </w:rPr>
            </w:pPr>
            <w:r>
              <w:rPr>
                <w:rFonts w:ascii="Arial" w:cs="Arial" w:eastAsia="Arial" w:hAnsi="Arial"/>
                <w:sz w:val="18"/>
                <w:szCs w:val="18"/>
                <w:color w:val="auto"/>
              </w:rPr>
              <w:t>(IRS Employer</w:t>
            </w: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of incorporation</w:t>
            </w:r>
          </w:p>
        </w:tc>
        <w:tc>
          <w:tcPr>
            <w:tcW w:w="3520" w:type="dxa"/>
            <w:vAlign w:val="bottom"/>
          </w:tcPr>
          <w:p>
            <w:pPr>
              <w:ind w:left="1900"/>
              <w:spacing w:after="0"/>
              <w:rPr>
                <w:sz w:val="20"/>
                <w:szCs w:val="20"/>
                <w:color w:val="auto"/>
              </w:rPr>
            </w:pPr>
            <w:r>
              <w:rPr>
                <w:rFonts w:ascii="Arial" w:cs="Arial" w:eastAsia="Arial" w:hAnsi="Arial"/>
                <w:sz w:val="18"/>
                <w:szCs w:val="18"/>
                <w:color w:val="auto"/>
              </w:rPr>
              <w:t>Number)</w:t>
            </w:r>
          </w:p>
        </w:tc>
        <w:tc>
          <w:tcPr>
            <w:tcW w:w="1700" w:type="dxa"/>
            <w:vAlign w:val="bottom"/>
          </w:tcPr>
          <w:p>
            <w:pPr>
              <w:ind w:left="360"/>
              <w:spacing w:after="0"/>
              <w:rPr>
                <w:sz w:val="20"/>
                <w:szCs w:val="20"/>
                <w:color w:val="auto"/>
              </w:rPr>
            </w:pPr>
            <w:r>
              <w:rPr>
                <w:rFonts w:ascii="Arial" w:cs="Arial" w:eastAsia="Arial" w:hAnsi="Arial"/>
                <w:sz w:val="18"/>
                <w:szCs w:val="18"/>
                <w:color w:val="auto"/>
                <w:w w:val="94"/>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ind w:left="60"/>
              <w:spacing w:after="0"/>
              <w:rPr>
                <w:sz w:val="20"/>
                <w:szCs w:val="20"/>
                <w:color w:val="auto"/>
              </w:rPr>
            </w:pPr>
            <w:r>
              <w:rPr>
                <w:rFonts w:ascii="Arial" w:cs="Arial" w:eastAsia="Arial" w:hAnsi="Arial"/>
                <w:sz w:val="22"/>
                <w:szCs w:val="22"/>
                <w:b w:val="1"/>
                <w:bCs w:val="1"/>
                <w:color w:val="auto"/>
              </w:rPr>
              <w:t>2000 Waters Edge Drive</w:t>
            </w:r>
          </w:p>
        </w:tc>
        <w:tc>
          <w:tcPr>
            <w:tcW w:w="1680" w:type="dxa"/>
            <w:vAlign w:val="bottom"/>
            <w:vMerge w:val="restart"/>
          </w:tcPr>
          <w:p>
            <w:pPr>
              <w:ind w:left="900"/>
              <w:spacing w:after="0"/>
              <w:rPr>
                <w:sz w:val="20"/>
                <w:szCs w:val="20"/>
                <w:color w:val="auto"/>
              </w:rPr>
            </w:pPr>
            <w:r>
              <w:rPr>
                <w:rFonts w:ascii="Arial" w:cs="Arial" w:eastAsia="Arial" w:hAnsi="Arial"/>
                <w:sz w:val="22"/>
                <w:szCs w:val="22"/>
                <w:b w:val="1"/>
                <w:bCs w:val="1"/>
                <w:color w:val="auto"/>
              </w:rPr>
              <w:t>37604</w:t>
            </w:r>
          </w:p>
        </w:tc>
        <w:tc>
          <w:tcPr>
            <w:tcW w:w="0" w:type="dxa"/>
            <w:vAlign w:val="bottom"/>
          </w:tcPr>
          <w:p>
            <w:pPr>
              <w:spacing w:after="0"/>
              <w:rPr>
                <w:sz w:val="1"/>
                <w:szCs w:val="1"/>
                <w:color w:val="auto"/>
              </w:rPr>
            </w:pPr>
          </w:p>
        </w:tc>
      </w:tr>
      <w:tr>
        <w:trPr>
          <w:trHeight w:val="159"/>
        </w:trPr>
        <w:tc>
          <w:tcPr>
            <w:tcW w:w="3780" w:type="dxa"/>
            <w:vAlign w:val="bottom"/>
            <w:vMerge w:val="restart"/>
          </w:tcPr>
          <w:p>
            <w:pPr>
              <w:spacing w:after="0"/>
              <w:rPr>
                <w:sz w:val="20"/>
                <w:szCs w:val="20"/>
                <w:color w:val="auto"/>
              </w:rPr>
            </w:pPr>
            <w:r>
              <w:rPr>
                <w:rFonts w:ascii="Arial" w:cs="Arial" w:eastAsia="Arial" w:hAnsi="Arial"/>
                <w:sz w:val="22"/>
                <w:szCs w:val="22"/>
                <w:b w:val="1"/>
                <w:bCs w:val="1"/>
                <w:color w:val="auto"/>
              </w:rPr>
              <w:t>Johnson City, Tennessee</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0"/>
              <w:spacing w:after="0"/>
              <w:rPr>
                <w:sz w:val="20"/>
                <w:szCs w:val="20"/>
                <w:color w:val="auto"/>
              </w:rPr>
            </w:pPr>
            <w:r>
              <w:rPr>
                <w:rFonts w:ascii="Arial" w:cs="Arial" w:eastAsia="Arial" w:hAnsi="Arial"/>
                <w:sz w:val="18"/>
                <w:szCs w:val="18"/>
                <w:color w:val="auto"/>
              </w:rPr>
              <w:t>(Address of principal executive offices)</w:t>
            </w:r>
          </w:p>
        </w:tc>
        <w:tc>
          <w:tcPr>
            <w:tcW w:w="1680" w:type="dxa"/>
            <w:vAlign w:val="bottom"/>
          </w:tcPr>
          <w:p>
            <w:pPr>
              <w:ind w:lef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(423)743-9151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line="276"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ectPr>
          <w:pgSz w:w="11900" w:h="16838" w:orient="portrait"/>
          <w:cols w:equalWidth="0" w:num="1">
            <w:col w:w="11400"/>
          </w:cols>
          <w:pgMar w:left="240" w:top="1440" w:right="259" w:bottom="966" w:gutter="0" w:footer="0" w:header="0"/>
        </w:sectPr>
      </w:pPr>
    </w:p>
    <w:bookmarkStart w:id="1" w:name="page2"/>
    <w:bookmarkEnd w:id="1"/>
    <w:p>
      <w:pPr>
        <w:spacing w:after="0"/>
        <w:tabs>
          <w:tab w:leader="none" w:pos="1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8.01 Other Events</w:t>
      </w:r>
    </w:p>
    <w:p>
      <w:pPr>
        <w:spacing w:after="0" w:line="293"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On February 28, 2006, NN, Inc. (the “Company”) announced in its previously filed press release that its board of directors had authorized a new stock repurchase plan. Under this plan the Company is authorized to repurchase from time to time during the next 18 months in open market or private transactions, in accordance with applicable laws and regulations, up to $10 million in common stock of the Company. The amount of stock subject to the repurchase plan represents approximately 5% of the Company's outstanding stock based on the current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NN, INC.</w:t>
      </w:r>
    </w:p>
    <w:p>
      <w:pPr>
        <w:spacing w:after="0" w:line="200" w:lineRule="exact"/>
        <w:rPr>
          <w:sz w:val="20"/>
          <w:szCs w:val="20"/>
          <w:color w:val="auto"/>
        </w:rPr>
      </w:pPr>
    </w:p>
    <w:p>
      <w:pPr>
        <w:spacing w:after="0" w:line="222" w:lineRule="exact"/>
        <w:rPr>
          <w:sz w:val="20"/>
          <w:szCs w:val="20"/>
          <w:color w:val="auto"/>
        </w:rPr>
      </w:pPr>
    </w:p>
    <w:p>
      <w:pPr>
        <w:spacing w:after="0"/>
        <w:tabs>
          <w:tab w:leader="none" w:pos="5520" w:val="left"/>
        </w:tabs>
        <w:rPr>
          <w:sz w:val="20"/>
          <w:szCs w:val="20"/>
          <w:color w:val="auto"/>
        </w:rPr>
      </w:pPr>
      <w:r>
        <w:rPr>
          <w:rFonts w:ascii="Arial" w:cs="Arial" w:eastAsia="Arial" w:hAnsi="Arial"/>
          <w:sz w:val="22"/>
          <w:szCs w:val="22"/>
          <w:b w:val="1"/>
          <w:bCs w:val="1"/>
          <w:color w:val="auto"/>
        </w:rPr>
        <w:t>Date: March 6, 2006</w:t>
      </w:r>
      <w:r>
        <w:rPr>
          <w:sz w:val="20"/>
          <w:szCs w:val="20"/>
          <w:color w:val="auto"/>
        </w:rPr>
        <w:tab/>
      </w:r>
      <w:r>
        <w:rPr>
          <w:rFonts w:ascii="Arial" w:cs="Arial" w:eastAsia="Arial" w:hAnsi="Arial"/>
          <w:sz w:val="19"/>
          <w:szCs w:val="19"/>
          <w:b w:val="1"/>
          <w:bCs w:val="1"/>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77470</wp:posOffset>
            </wp:positionV>
            <wp:extent cx="27825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2570" cy="215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Vice President and</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66" w:right="25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2019-12-14T03:08:40Z</dcterms:created>
  <dcterms:modified xsi:type="dcterms:W3CDTF">2019-12-14T03:08:40Z</dcterms:modified>
</cp:coreProperties>
</file>