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x  QUARTERLY REPORT PURSUANT TO SECTION 13 OR 15(d) OF THE SECURITIES EXCHANGE ACT OF 1934</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2009</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jc w:val="center"/>
        <w:ind w:left="3700" w:right="1260" w:hanging="2422"/>
        <w:spacing w:after="0" w:line="532" w:lineRule="auto"/>
        <w:tabs>
          <w:tab w:leader="none" w:pos="1458"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w:t>
      </w:r>
    </w:p>
    <w:p>
      <w:pPr>
        <w:ind w:left="44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26" w:right="239" w:bottom="1440" w:gutter="0" w:footer="0" w:header="0"/>
        </w:sectPr>
      </w:pPr>
    </w:p>
    <w:p>
      <w:pPr>
        <w:spacing w:after="0" w:line="205"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50" w:lineRule="exact"/>
        <w:rPr>
          <w:sz w:val="24"/>
          <w:szCs w:val="24"/>
          <w:color w:val="auto"/>
        </w:rPr>
      </w:pPr>
    </w:p>
    <w:p>
      <w:pPr>
        <w:sectPr>
          <w:pgSz w:w="11900" w:h="16838" w:orient="portrait"/>
          <w:cols w:equalWidth="0" w:num="2">
            <w:col w:w="8880" w:space="720"/>
            <w:col w:w="1820"/>
          </w:cols>
          <w:pgMar w:left="240" w:top="1026" w:right="239" w:bottom="1440" w:gutter="0" w:footer="0" w:header="0"/>
          <w:type w:val="continuous"/>
        </w:sectPr>
      </w:pPr>
    </w:p>
    <w:p>
      <w:pPr>
        <w:ind w:left="2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5780" w:space="720"/>
            <w:col w:w="4920"/>
          </w:cols>
          <w:pgMar w:left="240" w:top="1026"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1026" w:right="239" w:bottom="1440" w:gutter="0" w:footer="0" w:header="0"/>
          <w:type w:val="continuous"/>
        </w:sectPr>
      </w:pPr>
    </w:p>
    <w:p>
      <w:pPr>
        <w:ind w:firstLine="648"/>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160" w:space="100"/>
            <w:col w:w="4160"/>
          </w:cols>
          <w:pgMar w:left="240" w:top="1026" w:right="23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2009, there were 16,267,924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type w:val="continuous"/>
        </w:sectPr>
      </w:pPr>
    </w:p>
    <w:bookmarkStart w:id="1" w:name="page2"/>
    <w:bookmarkEnd w:id="1"/>
    <w:p>
      <w:pPr>
        <w:ind w:left="5400"/>
        <w:spacing w:after="0"/>
        <w:rPr>
          <w:sz w:val="20"/>
          <w:szCs w:val="20"/>
          <w:color w:val="auto"/>
        </w:rPr>
      </w:pPr>
      <w:r>
        <w:rPr>
          <w:rFonts w:ascii="Arial" w:cs="Arial" w:eastAsia="Arial" w:hAnsi="Arial"/>
          <w:sz w:val="17"/>
          <w:szCs w:val="17"/>
          <w:b w:val="1"/>
          <w:bCs w:val="1"/>
          <w:color w:val="auto"/>
        </w:rPr>
        <w:t>NN, Inc.</w:t>
      </w:r>
    </w:p>
    <w:p>
      <w:pPr>
        <w:spacing w:after="0" w:line="39"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100"/>
          </w:cols>
          <w:pgMar w:left="240" w:top="12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4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93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rPr>
              <w:t>Consolidated Statements of Operations and Comprehensive Income (Loss) for the three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w w:val="89"/>
              </w:rPr>
              <w:t>and nine months ended September 30, 2009 and 2008 (unaudited) . . . . . . . . . . . . . . . . . . . . . . . . . . . . . . . . . . . . . . . . . . . . .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340" w:type="dxa"/>
            <w:vAlign w:val="bottom"/>
          </w:tcPr>
          <w:p>
            <w:pPr>
              <w:ind w:left="26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rPr>
              <w:t>Condensed Consolidated Balance Sheets at September 30, 2009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w w:val="90"/>
              </w:rPr>
              <w:t>and December 31, 2008 (unaudited) . . . . . . . . . . . . . . . . . . . . . . . . . . . . . . . . . . . . . . . . . . . . . . . . . . . . . . . . . . . . . . . . . . . . .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340" w:type="dxa"/>
            <w:vAlign w:val="bottom"/>
          </w:tcPr>
          <w:p>
            <w:pPr>
              <w:ind w:left="260"/>
              <w:spacing w:after="0"/>
              <w:rPr>
                <w:sz w:val="20"/>
                <w:szCs w:val="20"/>
                <w:color w:val="auto"/>
              </w:rPr>
            </w:pPr>
            <w:r>
              <w:rPr>
                <w:rFonts w:ascii="Arial" w:cs="Arial" w:eastAsia="Arial" w:hAnsi="Arial"/>
                <w:sz w:val="18"/>
                <w:szCs w:val="18"/>
                <w:color w:val="auto"/>
              </w:rPr>
              <w:t>. . . . . . . . . . . . . . . . . . . . . . . . . .</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rPr>
              <w:t>Consolidated Statements of Changes in Stockholders’ Equity for the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w w:val="89"/>
              </w:rPr>
              <w:t>nine months ended September 30, 2009 (unaudited). . . . . . . . . . . . . . . . . . . . . . . . . . . . . . . . . . . . . . . . . . . . . . . . . . . . . . . . .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340" w:type="dxa"/>
            <w:vAlign w:val="bottom"/>
          </w:tcPr>
          <w:p>
            <w:pPr>
              <w:ind w:left="260"/>
              <w:spacing w:after="0"/>
              <w:rPr>
                <w:sz w:val="20"/>
                <w:szCs w:val="20"/>
                <w:color w:val="auto"/>
              </w:rPr>
            </w:pPr>
            <w:r>
              <w:rPr>
                <w:rFonts w:ascii="Arial" w:cs="Arial" w:eastAsia="Arial" w:hAnsi="Arial"/>
                <w:sz w:val="18"/>
                <w:szCs w:val="18"/>
                <w:color w:val="auto"/>
              </w:rPr>
              <w:t>. . . . . . . . . . . . . . . . . . . . . . . . ..</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nine months ended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w w:val="89"/>
              </w:rPr>
              <w:t>September 30, 2009 and 2008 (unaudited). . . . . . . . . . . . . . . . . . . . . . . . . . . . . . . . . . . . . . . . . . . . . . . . . . . . . . . . . . . . . . . . .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340" w:type="dxa"/>
            <w:vAlign w:val="bottom"/>
          </w:tcPr>
          <w:p>
            <w:pPr>
              <w:ind w:left="260"/>
              <w:spacing w:after="0"/>
              <w:rPr>
                <w:sz w:val="20"/>
                <w:szCs w:val="20"/>
                <w:color w:val="auto"/>
              </w:rPr>
            </w:pPr>
            <w:r>
              <w:rPr>
                <w:rFonts w:ascii="Arial" w:cs="Arial" w:eastAsia="Arial" w:hAnsi="Arial"/>
                <w:sz w:val="18"/>
                <w:szCs w:val="18"/>
                <w:color w:val="auto"/>
              </w:rPr>
              <w:t>. . . . . . . . . . . . . . . . . . . . . . . . . .</w:t>
            </w: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9340" w:type="dxa"/>
            <w:vAlign w:val="bottom"/>
          </w:tcPr>
          <w:p>
            <w:pPr>
              <w:ind w:left="140"/>
              <w:spacing w:after="0"/>
              <w:rPr>
                <w:sz w:val="20"/>
                <w:szCs w:val="20"/>
                <w:color w:val="auto"/>
              </w:rPr>
            </w:pPr>
            <w:r>
              <w:rPr>
                <w:rFonts w:ascii="Arial" w:cs="Arial" w:eastAsia="Arial" w:hAnsi="Arial"/>
                <w:sz w:val="18"/>
                <w:szCs w:val="18"/>
                <w:color w:val="auto"/>
                <w:w w:val="90"/>
              </w:rPr>
              <w:t>Notes to Consolidated Financial Statements (unaudited). . . . . . . . . . . . . . . . . . . . . . . . . . . . . . . . . . . . . . . . . . . . . . . . . . . . . . . .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9340" w:type="dxa"/>
            <w:vAlign w:val="bottom"/>
          </w:tcPr>
          <w:p>
            <w:pPr>
              <w:ind w:left="140"/>
              <w:spacing w:after="0"/>
              <w:rPr>
                <w:sz w:val="20"/>
                <w:szCs w:val="20"/>
                <w:color w:val="auto"/>
              </w:rPr>
            </w:pPr>
            <w:r>
              <w:rPr>
                <w:rFonts w:ascii="Arial" w:cs="Arial" w:eastAsia="Arial" w:hAnsi="Arial"/>
                <w:sz w:val="18"/>
                <w:szCs w:val="18"/>
                <w:color w:val="auto"/>
                <w:w w:val="90"/>
              </w:rPr>
              <w:t>Management's Discussion and Analysis of Financial Condition and Results of Operations.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9340" w:type="dxa"/>
            <w:vAlign w:val="bottom"/>
          </w:tcPr>
          <w:p>
            <w:pPr>
              <w:ind w:left="140"/>
              <w:spacing w:after="0"/>
              <w:rPr>
                <w:sz w:val="20"/>
                <w:szCs w:val="20"/>
                <w:color w:val="auto"/>
              </w:rPr>
            </w:pPr>
            <w:r>
              <w:rPr>
                <w:rFonts w:ascii="Arial" w:cs="Arial" w:eastAsia="Arial" w:hAnsi="Arial"/>
                <w:sz w:val="18"/>
                <w:szCs w:val="18"/>
                <w:color w:val="auto"/>
                <w:w w:val="90"/>
              </w:rPr>
              <w:t>Quantitative and Qualitative Disclosures about Market Risk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9340" w:type="dxa"/>
            <w:vAlign w:val="bottom"/>
          </w:tcPr>
          <w:p>
            <w:pPr>
              <w:ind w:left="140"/>
              <w:spacing w:after="0"/>
              <w:rPr>
                <w:sz w:val="20"/>
                <w:szCs w:val="20"/>
                <w:color w:val="auto"/>
              </w:rPr>
            </w:pPr>
            <w:r>
              <w:rPr>
                <w:rFonts w:ascii="Arial" w:cs="Arial" w:eastAsia="Arial" w:hAnsi="Arial"/>
                <w:sz w:val="18"/>
                <w:szCs w:val="18"/>
                <w:color w:val="auto"/>
                <w:w w:val="90"/>
              </w:rPr>
              <w:t>Controls and Procedures . . . . .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 . . . .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4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18"/>
        </w:trPr>
        <w:tc>
          <w:tcPr>
            <w:tcW w:w="66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9340" w:type="dxa"/>
            <w:vAlign w:val="bottom"/>
          </w:tcPr>
          <w:p>
            <w:pPr>
              <w:ind w:left="140"/>
              <w:spacing w:after="0"/>
              <w:rPr>
                <w:sz w:val="20"/>
                <w:szCs w:val="20"/>
                <w:color w:val="auto"/>
              </w:rPr>
            </w:pPr>
            <w:r>
              <w:rPr>
                <w:rFonts w:ascii="Arial" w:cs="Arial" w:eastAsia="Arial" w:hAnsi="Arial"/>
                <w:sz w:val="18"/>
                <w:szCs w:val="18"/>
                <w:color w:val="auto"/>
                <w:w w:val="90"/>
              </w:rPr>
              <w:t>Legal Proceedings . . . . . . . . . . .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60" w:type="dxa"/>
            <w:vAlign w:val="bottom"/>
            <w:vMerge w:val="continue"/>
          </w:tcPr>
          <w:p>
            <w:pPr>
              <w:spacing w:after="0"/>
              <w:rPr>
                <w:sz w:val="10"/>
                <w:szCs w:val="10"/>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 . . . . . . . . . . . . . . . . . . . . . . . . . .</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9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36"/>
          <w:szCs w:val="36"/>
          <w:color w:val="auto"/>
          <w:vertAlign w:val="subscript"/>
        </w:rPr>
        <w:t>Item 1A.</w:t>
      </w:r>
      <w:r>
        <w:rPr>
          <w:sz w:val="20"/>
          <w:szCs w:val="20"/>
          <w:color w:val="auto"/>
        </w:rPr>
        <w:tab/>
      </w:r>
      <w:r>
        <w:rPr>
          <w:rFonts w:ascii="Arial" w:cs="Arial" w:eastAsia="Arial" w:hAnsi="Arial"/>
          <w:sz w:val="16"/>
          <w:szCs w:val="16"/>
          <w:color w:val="auto"/>
        </w:rPr>
        <w:t>Risk Factors. . . . . . . . . . . . . . . . . . . . . . . . . . . . . . . . . . . . . . . . . . . . . . . . . . . . . . . . . . . . . . . . . . . . . . . . . . . . . . . . . . . . . . . . . . . .</w:t>
      </w:r>
    </w:p>
    <w:p>
      <w:pPr>
        <w:ind w:left="820"/>
        <w:spacing w:after="0"/>
        <w:rPr>
          <w:sz w:val="20"/>
          <w:szCs w:val="20"/>
          <w:color w:val="auto"/>
        </w:rPr>
      </w:pPr>
      <w:r>
        <w:rPr>
          <w:rFonts w:ascii="Arial" w:cs="Arial" w:eastAsia="Arial" w:hAnsi="Arial"/>
          <w:sz w:val="18"/>
          <w:szCs w:val="18"/>
          <w:color w:val="auto"/>
        </w:rPr>
        <w:t>. . . . . . . . . . . . . . . . . . . . . . . . . . . .</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9360" w:type="dxa"/>
            <w:vAlign w:val="bottom"/>
          </w:tcPr>
          <w:p>
            <w:pPr>
              <w:ind w:left="160"/>
              <w:spacing w:after="0"/>
              <w:rPr>
                <w:sz w:val="20"/>
                <w:szCs w:val="20"/>
                <w:color w:val="auto"/>
              </w:rPr>
            </w:pPr>
            <w:r>
              <w:rPr>
                <w:rFonts w:ascii="Arial" w:cs="Arial" w:eastAsia="Arial" w:hAnsi="Arial"/>
                <w:sz w:val="18"/>
                <w:szCs w:val="18"/>
                <w:color w:val="auto"/>
                <w:w w:val="90"/>
              </w:rPr>
              <w:t>Unregistered Sales of Equity Securities and Use of Proceeds . . . . . . . . . . . . . . . . . . . . . . . . . . . . . . . . . . . . . . . . . . . . . . . . . . . . .</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40" w:type="dxa"/>
            <w:vAlign w:val="bottom"/>
            <w:vMerge w:val="restart"/>
          </w:tcPr>
          <w:p>
            <w:pPr>
              <w:spacing w:after="0"/>
              <w:rPr>
                <w:sz w:val="20"/>
                <w:szCs w:val="20"/>
                <w:color w:val="auto"/>
              </w:rPr>
            </w:pPr>
            <w:r>
              <w:rPr>
                <w:rFonts w:ascii="Arial" w:cs="Arial" w:eastAsia="Arial" w:hAnsi="Arial"/>
                <w:sz w:val="18"/>
                <w:szCs w:val="18"/>
                <w:color w:val="auto"/>
              </w:rPr>
              <w:t>Item 3.</w:t>
            </w:r>
          </w:p>
        </w:tc>
        <w:tc>
          <w:tcPr>
            <w:tcW w:w="9360" w:type="dxa"/>
            <w:vAlign w:val="bottom"/>
          </w:tcPr>
          <w:p>
            <w:pPr>
              <w:ind w:left="160"/>
              <w:spacing w:after="0"/>
              <w:rPr>
                <w:sz w:val="20"/>
                <w:szCs w:val="20"/>
                <w:color w:val="auto"/>
              </w:rPr>
            </w:pPr>
            <w:r>
              <w:rPr>
                <w:rFonts w:ascii="Arial" w:cs="Arial" w:eastAsia="Arial" w:hAnsi="Arial"/>
                <w:sz w:val="18"/>
                <w:szCs w:val="18"/>
                <w:color w:val="auto"/>
                <w:w w:val="90"/>
              </w:rPr>
              <w:t>Defaults Upon Senior Securities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 . .</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4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9360" w:type="dxa"/>
            <w:vAlign w:val="bottom"/>
          </w:tcPr>
          <w:p>
            <w:pPr>
              <w:ind w:left="160"/>
              <w:spacing w:after="0"/>
              <w:rPr>
                <w:sz w:val="20"/>
                <w:szCs w:val="20"/>
                <w:color w:val="auto"/>
              </w:rPr>
            </w:pPr>
            <w:r>
              <w:rPr>
                <w:rFonts w:ascii="Arial" w:cs="Arial" w:eastAsia="Arial" w:hAnsi="Arial"/>
                <w:sz w:val="18"/>
                <w:szCs w:val="18"/>
                <w:color w:val="auto"/>
                <w:w w:val="90"/>
              </w:rPr>
              <w:t>Submission of Matters to a Vote of Security Holders . . . . . . . . . . . . . . . . . . . . . . . . . . . . . . . . . . . . . . . . . . . . . . . . . . . . . . . . . . . .</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4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9360" w:type="dxa"/>
            <w:vAlign w:val="bottom"/>
          </w:tcPr>
          <w:p>
            <w:pPr>
              <w:ind w:left="160"/>
              <w:spacing w:after="0"/>
              <w:rPr>
                <w:sz w:val="20"/>
                <w:szCs w:val="20"/>
                <w:color w:val="auto"/>
              </w:rPr>
            </w:pPr>
            <w:r>
              <w:rPr>
                <w:rFonts w:ascii="Arial" w:cs="Arial" w:eastAsia="Arial" w:hAnsi="Arial"/>
                <w:sz w:val="18"/>
                <w:szCs w:val="18"/>
                <w:color w:val="auto"/>
                <w:w w:val="90"/>
              </w:rPr>
              <w:t>Other Information. . . . . . . . . . . .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 . . .</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640" w:type="dxa"/>
            <w:vAlign w:val="bottom"/>
            <w:vMerge w:val="restart"/>
          </w:tcPr>
          <w:p>
            <w:pPr>
              <w:spacing w:after="0"/>
              <w:rPr>
                <w:sz w:val="20"/>
                <w:szCs w:val="20"/>
                <w:color w:val="auto"/>
              </w:rPr>
            </w:pPr>
            <w:r>
              <w:rPr>
                <w:rFonts w:ascii="Arial" w:cs="Arial" w:eastAsia="Arial" w:hAnsi="Arial"/>
                <w:sz w:val="18"/>
                <w:szCs w:val="18"/>
                <w:color w:val="auto"/>
              </w:rPr>
              <w:t>Item 6.</w:t>
            </w:r>
          </w:p>
        </w:tc>
        <w:tc>
          <w:tcPr>
            <w:tcW w:w="9360" w:type="dxa"/>
            <w:vAlign w:val="bottom"/>
          </w:tcPr>
          <w:p>
            <w:pPr>
              <w:ind w:left="160"/>
              <w:spacing w:after="0"/>
              <w:rPr>
                <w:sz w:val="20"/>
                <w:szCs w:val="20"/>
                <w:color w:val="auto"/>
              </w:rPr>
            </w:pPr>
            <w:r>
              <w:rPr>
                <w:rFonts w:ascii="Arial" w:cs="Arial" w:eastAsia="Arial" w:hAnsi="Arial"/>
                <w:sz w:val="18"/>
                <w:szCs w:val="18"/>
                <w:color w:val="auto"/>
                <w:w w:val="90"/>
              </w:rPr>
              <w:t>Exhibits . . . . . . . . . . . . . . . . . . . . . . . . . . . . . . . . . . . . . . . . . . . . . . . . . . . . . . . . . . . . . . . . . . . . . . . . . . . . . . . . . . . . . . . . . . . . . . .</w:t>
            </w:r>
          </w:p>
        </w:tc>
        <w:tc>
          <w:tcPr>
            <w:tcW w:w="0" w:type="dxa"/>
            <w:vAlign w:val="bottom"/>
          </w:tcPr>
          <w:p>
            <w:pPr>
              <w:spacing w:after="0"/>
              <w:rPr>
                <w:sz w:val="1"/>
                <w:szCs w:val="1"/>
                <w:color w:val="auto"/>
              </w:rPr>
            </w:pPr>
          </w:p>
        </w:tc>
      </w:tr>
      <w:tr>
        <w:trPr>
          <w:trHeight w:val="122"/>
        </w:trPr>
        <w:tc>
          <w:tcPr>
            <w:tcW w:w="640" w:type="dxa"/>
            <w:vAlign w:val="bottom"/>
            <w:vMerge w:val="continue"/>
          </w:tcPr>
          <w:p>
            <w:pPr>
              <w:spacing w:after="0"/>
              <w:rPr>
                <w:sz w:val="10"/>
                <w:szCs w:val="10"/>
                <w:color w:val="auto"/>
              </w:rPr>
            </w:pPr>
          </w:p>
        </w:tc>
        <w:tc>
          <w:tcPr>
            <w:tcW w:w="9360" w:type="dxa"/>
            <w:vAlign w:val="bottom"/>
            <w:vMerge w:val="restart"/>
          </w:tcPr>
          <w:p>
            <w:pPr>
              <w:ind w:left="120"/>
              <w:spacing w:after="0"/>
              <w:rPr>
                <w:sz w:val="20"/>
                <w:szCs w:val="20"/>
                <w:color w:val="auto"/>
              </w:rPr>
            </w:pPr>
            <w:r>
              <w:rPr>
                <w:rFonts w:ascii="Arial" w:cs="Arial" w:eastAsia="Arial" w:hAnsi="Arial"/>
                <w:sz w:val="18"/>
                <w:szCs w:val="18"/>
                <w:color w:val="auto"/>
              </w:rPr>
              <w:t>. . . . . . . . . . . . . . . . . . . . . . . . . . . .</w:t>
            </w: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9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28"/>
          <w:szCs w:val="28"/>
          <w:color w:val="auto"/>
          <w:vertAlign w:val="subscript"/>
        </w:rPr>
        <w:t>Signatures</w:t>
      </w:r>
      <w:r>
        <w:rPr>
          <w:rFonts w:ascii="Arial" w:cs="Arial" w:eastAsia="Arial" w:hAnsi="Arial"/>
          <w:sz w:val="15"/>
          <w:szCs w:val="15"/>
          <w:color w:val="auto"/>
        </w:rPr>
        <w:t xml:space="preserve"> . . . . . . . . . . . . . . . . . . . . . . . . . . . . . . . . . . . . . . . . . . . . . . . . . . . . . . . . . . . . . . . . . . . . . . . . . . . . . . . . . . . . . . . . . . . . . . . . . . . . . . .</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 . . . . . . . . . . . . . . . . . . . . . . . . . .</w:t>
      </w:r>
    </w:p>
    <w:p>
      <w:pPr>
        <w:spacing w:after="0" w:line="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28</w:t>
      </w:r>
    </w:p>
    <w:p>
      <w:pPr>
        <w:spacing w:after="0" w:line="754" w:lineRule="exact"/>
        <w:rPr>
          <w:sz w:val="20"/>
          <w:szCs w:val="20"/>
          <w:color w:val="auto"/>
        </w:rPr>
      </w:pPr>
    </w:p>
    <w:p>
      <w:pPr>
        <w:sectPr>
          <w:pgSz w:w="11900" w:h="16838" w:orient="portrait"/>
          <w:cols w:equalWidth="0" w:num="2">
            <w:col w:w="10060" w:space="380"/>
            <w:col w:w="660"/>
          </w:cols>
          <w:pgMar w:left="240" w:top="121" w:right="559" w:bottom="1440" w:gutter="0" w:footer="0" w:header="0"/>
          <w:type w:val="continuous"/>
        </w:sectPr>
      </w:pPr>
    </w:p>
    <w:p>
      <w:pPr>
        <w:spacing w:after="0" w:line="15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type w:val="continuous"/>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59"/>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83,784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169,184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277,526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Restructuring and impairment costs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(10,470)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(33,506)</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(8,983)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(31,974)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Comprehensive income (loss)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(10,710)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income (loss)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Diluted income (loss)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270"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$556 and $635,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46,804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137,728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87"/>
              <w:spacing w:after="0"/>
              <w:rPr>
                <w:sz w:val="20"/>
                <w:szCs w:val="20"/>
                <w:color w:val="auto"/>
              </w:rPr>
            </w:pPr>
            <w:r>
              <w:rPr>
                <w:rFonts w:ascii="Arial" w:cs="Arial" w:eastAsia="Arial" w:hAnsi="Arial"/>
                <w:sz w:val="22"/>
                <w:szCs w:val="22"/>
                <w:color w:val="auto"/>
              </w:rPr>
              <w:t>60;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4"/>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(In Thousands of Dollars and</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Par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Paid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Retained</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760" w:type="dxa"/>
            <w:vAlign w:val="bottom"/>
            <w:gridSpan w:val="3"/>
          </w:tcPr>
          <w:p>
            <w:pPr>
              <w:spacing w:after="0"/>
              <w:rPr>
                <w:sz w:val="20"/>
                <w:szCs w:val="20"/>
                <w:color w:val="auto"/>
              </w:rPr>
            </w:pPr>
            <w:r>
              <w:rPr>
                <w:rFonts w:ascii="Arial" w:cs="Arial" w:eastAsia="Arial" w:hAnsi="Arial"/>
                <w:sz w:val="18"/>
                <w:szCs w:val="18"/>
                <w:color w:val="auto"/>
              </w:rPr>
              <w:t>Shares)</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49,524</w:t>
            </w:r>
          </w:p>
        </w:tc>
        <w:tc>
          <w:tcPr>
            <w:tcW w:w="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24,479</w:t>
            </w:r>
          </w:p>
        </w:tc>
        <w:tc>
          <w:tcPr>
            <w:tcW w:w="2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260"/>
              <w:spacing w:after="0"/>
              <w:rPr>
                <w:sz w:val="20"/>
                <w:szCs w:val="20"/>
                <w:color w:val="auto"/>
              </w:rPr>
            </w:pPr>
            <w:r>
              <w:rPr>
                <w:rFonts w:ascii="Arial" w:cs="Arial" w:eastAsia="Arial" w:hAnsi="Arial"/>
                <w:sz w:val="18"/>
                <w:szCs w:val="18"/>
                <w:color w:val="auto"/>
              </w:rPr>
              <w:t>Net loss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(31,974)</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Stock option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w w:val="96"/>
              </w:rPr>
              <w:t>Foreign currency translation gain</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 of unamortized debt issue cost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Deferred income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Non-cash interest and other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(7,686)</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12,012</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(3,439)</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short-term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(2,693)</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(6,024)</w:t>
            </w: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11,540</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Reduced note payable to customer with offsetting reduction to accounts receivable ($411 in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and $1,149 in 2008) and an increase to interest expense ($50 in 2009 and $147 in 2008)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consolidated financial statements of NN, Inc. have not been audited, except that the balance sheet at December 31, 2008 is derived from the Company’s consolidated audited financial statements. In the opinion of the Company’s management, the financial statements reflect all adjustments necessary to fairly state the results of operations for the three and nine month periods ended September 30, 2009 and 2008, the Company’s financial position at September 30, 2009 and December 31, 2008, and the cash flows for the nine month periods ended September 30, 2009 and 2008.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2008 which we filed with the Securities and Exchange Commission on March 31, 2009.</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 of income during the global economic recession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(although at the date of this report we are in compliance with all such covenants). Furthermore, our lenders have not yet set covenant levels for quarters ending after March 31,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results for the three and nine month periods ended September 30, 2009 are not necessarily indicative of results for the year ending December 31, 2009 or any other future periods.</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Charges and Other</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26, 2008, we announced the closure of our precision steel ball manufacturing facility located in Kilkenny, Ireland. The closure affected 68 employees and was completed in 2009. During the three and nine month period ended September 30, 2009, we recorded restructuring charges of $119 and $662 related to site closure costs and relocation of equipment and inventory from this location to other facilities within the Metal Bearing Components Segment. Included within the severance and other employee cost accrual is a receivable from the Irish government of approximately $180 to reimburse the Company for a portion of the severance cost paid to date.</w:t>
      </w:r>
    </w:p>
    <w:p>
      <w:pPr>
        <w:spacing w:after="0" w:line="21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first quarter of 2009, the Hamilton, Ohio plant was closed. This closure affected 11 employees and $130 in severance and other associated closure costs were incurred during the first quarter of 2009. Of this amount, $108 was for employee severance cost which was paid in the second quarter of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2009, we informed our employees of the Veenendaal plant of our intention to begin a reorganization of the plant’s labor force due to the economic downturn. As of September 30, 2009, we accrued for severance cost of $3,924 ($2,924 after tax) which covers the elimination of 56 permanent positions or 18% of the workforce. It is expected the majority of the severance cost will be paid out during the fourth quarter of 2009 and first quarter of 2010.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2009 activity related to the three restructuring programs discussed above: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Reserve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Reserve</w:t>
            </w:r>
          </w:p>
        </w:tc>
      </w:tr>
      <w:tr>
        <w:trPr>
          <w:trHeight w:val="216"/>
        </w:trPr>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Paid in</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8"/>
              </w:rPr>
              <w:t>Currency</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Balance at</w:t>
            </w:r>
          </w:p>
        </w:tc>
      </w:tr>
      <w:tr>
        <w:trPr>
          <w:trHeight w:val="241"/>
        </w:trPr>
        <w:tc>
          <w:tcPr>
            <w:tcW w:w="3100" w:type="dxa"/>
            <w:vAlign w:val="bottom"/>
          </w:tcPr>
          <w:p>
            <w:pPr>
              <w:spacing w:after="0"/>
              <w:rPr>
                <w:sz w:val="20"/>
                <w:szCs w:val="20"/>
                <w:color w:val="auto"/>
              </w:rPr>
            </w:pPr>
            <w:r>
              <w:rPr>
                <w:rFonts w:ascii="Arial" w:cs="Arial" w:eastAsia="Arial" w:hAnsi="Arial"/>
                <w:sz w:val="18"/>
                <w:szCs w:val="18"/>
                <w:b w:val="1"/>
                <w:bCs w:val="1"/>
                <w:color w:val="auto"/>
              </w:rPr>
              <w:t>(In Thousands of Dollars)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1/01/09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Charges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Impacts</w:t>
            </w:r>
          </w:p>
        </w:tc>
        <w:tc>
          <w:tcPr>
            <w:tcW w:w="160" w:type="dxa"/>
            <w:vAlign w:val="bottom"/>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09/30/2009</w:t>
            </w:r>
          </w:p>
        </w:tc>
        <w:tc>
          <w:tcPr>
            <w:tcW w:w="80" w:type="dxa"/>
            <w:vAlign w:val="bottom"/>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Severance and other employee costs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Site closure and other associated cost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3,841</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Severance and other employee cost are reported within the Accrued salaries, wages and benefits line of the Condensed Consolidated Balance Sheets.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color w:val="auto"/>
                <w:w w:val="93"/>
              </w:rPr>
              <w:t>Inventories are stated at the lower of cost or market. Cost is determined using the first-in, first-out method.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788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4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1"/>
              </w:rPr>
              <w:t>December</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2009</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15,599</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8,074</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10,186</w:t>
            </w:r>
          </w:p>
        </w:tc>
      </w:tr>
      <w:tr>
        <w:trPr>
          <w:trHeight w:val="216"/>
        </w:trPr>
        <w:tc>
          <w:tcPr>
            <w:tcW w:w="14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29,729</w:t>
            </w:r>
          </w:p>
        </w:tc>
      </w:tr>
      <w:tr>
        <w:trPr>
          <w:trHeight w:val="216"/>
        </w:trPr>
        <w:tc>
          <w:tcPr>
            <w:tcW w:w="14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(2,341)</w:t>
            </w:r>
          </w:p>
        </w:tc>
      </w:tr>
      <w:tr>
        <w:trPr>
          <w:trHeight w:val="27"/>
        </w:trPr>
        <w:tc>
          <w:tcPr>
            <w:tcW w:w="14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44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53,173</w:t>
            </w:r>
          </w:p>
        </w:tc>
      </w:tr>
      <w:tr>
        <w:trPr>
          <w:trHeight w:val="20"/>
        </w:trPr>
        <w:tc>
          <w:tcPr>
            <w:tcW w:w="144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Inventories on consignment at customer locations as of September 30, 2009 and December 31, 2008 totaled $3,355 and $5,878, respectively.</w:t>
      </w:r>
    </w:p>
    <w:p>
      <w:pPr>
        <w:spacing w:after="0" w:line="26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inventory valuations above were developed using normalized production capacities for each of our manufacturing locations. Any costs from excess capacity or under-utilization of fixed production overheads are expensed in the period incurred and are not included as a component of inventory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Note 4.  Net Income (Loss) 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vMerge w:val="restart"/>
          </w:tcPr>
          <w:p>
            <w:pPr>
              <w:jc w:val="right"/>
              <w:ind w:right="240"/>
              <w:spacing w:after="0"/>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5"/>
            <w:vMerge w:val="restart"/>
          </w:tcPr>
          <w:p>
            <w:pPr>
              <w:jc w:val="right"/>
              <w:ind w:right="280"/>
              <w:spacing w:after="0"/>
              <w:rPr>
                <w:sz w:val="20"/>
                <w:szCs w:val="20"/>
                <w:color w:val="auto"/>
              </w:rPr>
            </w:pPr>
            <w:r>
              <w:rPr>
                <w:rFonts w:ascii="Arial" w:cs="Arial" w:eastAsia="Arial" w:hAnsi="Arial"/>
                <w:sz w:val="18"/>
                <w:szCs w:val="18"/>
                <w:b w:val="1"/>
                <w:bCs w:val="1"/>
                <w:color w:val="auto"/>
                <w:w w:val="89"/>
              </w:rPr>
              <w:t>Nine months ended</w:t>
            </w: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 Except Per Share Data)</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17,220</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440" w:type="dxa"/>
            <w:vAlign w:val="bottom"/>
          </w:tcPr>
          <w:p>
            <w:pPr>
              <w:spacing w:after="0"/>
              <w:rPr>
                <w:sz w:val="22"/>
                <w:szCs w:val="2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16,268</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16,391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16,268</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15,996</w:t>
            </w: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Excluded from the dilutive shares outstanding for the three and nine month periods ended September 30, 2009 were 1,399 anti-dilutive options which had exercise prices ranging from $1.30 to $12.62. Excluded from the dilutive shares outstanding for the three and nine month periods ended September 30, 2008 were 0 and 394 anti-dilutive options which had exercise prices ranging from $11.69 to $12.62.</w:t>
      </w:r>
    </w:p>
    <w:p>
      <w:pPr>
        <w:spacing w:after="0" w:line="2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segment information and the accounting policies of each segment are the same as those described in the “Segment Information” note and the “Summary of Significant Accounting Policies and Practices” note, respectively, in our annual report on Form 10-K for the fiscal year ended December 31, 2008. We evaluate segment performance based on segment net income or loss after income taxes. We account for inter-segment sales and transfers at current market prices. We did not have any significant inter-segment transactions during the three and nine month periods ended September 30, 2009 and 2008.</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Metal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Precision</w:t>
            </w:r>
          </w:p>
        </w:tc>
        <w:tc>
          <w:tcPr>
            <w:tcW w:w="4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Plastic and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Bearing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Metal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Rubber</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0"/>
              </w:rPr>
              <w:t>Components</w:t>
            </w: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Components</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Components</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7"/>
              </w:rPr>
              <w:t>Reconciling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9"/>
        </w:trPr>
        <w:tc>
          <w:tcPr>
            <w:tcW w:w="1440" w:type="dxa"/>
            <w:vAlign w:val="bottom"/>
          </w:tcPr>
          <w:p>
            <w:pPr>
              <w:spacing w:after="0"/>
              <w:rPr>
                <w:sz w:val="24"/>
                <w:szCs w:val="24"/>
                <w:color w:val="auto"/>
              </w:rPr>
            </w:pPr>
          </w:p>
        </w:tc>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Three Months ended September 30, 2009</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11,014</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66,110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3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Nine Months ended September 30, 2009</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125,637</w:t>
            </w:r>
          </w:p>
        </w:tc>
        <w:tc>
          <w:tcPr>
            <w:tcW w:w="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33,811</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181,119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Segment net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(16,657)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(3,464)</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(9,486)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(31,974)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199,057</w:t>
            </w:r>
          </w:p>
        </w:tc>
        <w:tc>
          <w:tcPr>
            <w:tcW w:w="6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30,490</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4,742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252,700</w:t>
            </w:r>
          </w:p>
        </w:tc>
        <w:tc>
          <w:tcPr>
            <w:tcW w:w="1440" w:type="dxa"/>
            <w:vAlign w:val="bottom"/>
          </w:tcPr>
          <w:p>
            <w:pPr>
              <w:spacing w:after="0"/>
              <w:rPr>
                <w:sz w:val="20"/>
                <w:szCs w:val="20"/>
                <w:color w:val="auto"/>
              </w:rPr>
            </w:pPr>
          </w:p>
        </w:tc>
      </w:tr>
      <w:tr>
        <w:trPr>
          <w:trHeight w:val="688"/>
        </w:trPr>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Metal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Precision</w:t>
            </w:r>
          </w:p>
        </w:tc>
        <w:tc>
          <w:tcPr>
            <w:tcW w:w="4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Plastic and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Bearing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Metal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Rubber</w:t>
            </w:r>
          </w:p>
        </w:tc>
        <w:tc>
          <w:tcPr>
            <w:tcW w:w="16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2"/>
              </w:rPr>
              <w:t>Components</w:t>
            </w:r>
          </w:p>
        </w:tc>
        <w:tc>
          <w:tcPr>
            <w:tcW w:w="11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Components</w:t>
            </w:r>
          </w:p>
        </w:tc>
        <w:tc>
          <w:tcPr>
            <w:tcW w:w="1160" w:type="dxa"/>
            <w:vAlign w:val="bottom"/>
            <w:gridSpan w:val="4"/>
          </w:tcPr>
          <w:p>
            <w:pPr>
              <w:ind w:left="40"/>
              <w:spacing w:after="0"/>
              <w:rPr>
                <w:sz w:val="20"/>
                <w:szCs w:val="20"/>
                <w:color w:val="auto"/>
              </w:rPr>
            </w:pPr>
            <w:r>
              <w:rPr>
                <w:rFonts w:ascii="Arial" w:cs="Arial" w:eastAsia="Arial" w:hAnsi="Arial"/>
                <w:sz w:val="18"/>
                <w:szCs w:val="18"/>
                <w:b w:val="1"/>
                <w:bCs w:val="1"/>
                <w:color w:val="auto"/>
                <w:w w:val="99"/>
              </w:rPr>
              <w:t>Components</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7"/>
              </w:rPr>
              <w:t>Reconciling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 of Dollars)</w:t>
            </w:r>
          </w:p>
        </w:tc>
        <w:tc>
          <w:tcPr>
            <w:tcW w:w="8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Items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392"/>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w w:val="91"/>
              </w:rPr>
              <w:t>Three Months ended September 30, 2008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
        </w:trPr>
        <w:tc>
          <w:tcPr>
            <w:tcW w:w="30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80,707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104,866</w:t>
            </w:r>
          </w:p>
        </w:tc>
      </w:tr>
      <w:tr>
        <w:trPr>
          <w:trHeight w:val="216"/>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2,947</w:t>
            </w:r>
          </w:p>
        </w:tc>
      </w:tr>
      <w:tr>
        <w:trPr>
          <w:trHeight w:val="216"/>
        </w:trPr>
        <w:tc>
          <w:tcPr>
            <w:tcW w:w="3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3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Nine Months ended September 30, 2008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265,457</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51,453</w:t>
            </w:r>
          </w:p>
        </w:tc>
        <w:tc>
          <w:tcPr>
            <w:tcW w:w="16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31,737</w:t>
            </w:r>
          </w:p>
        </w:tc>
        <w:tc>
          <w:tcPr>
            <w:tcW w:w="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348,647</w:t>
            </w:r>
          </w:p>
        </w:tc>
      </w:tr>
      <w:tr>
        <w:trPr>
          <w:trHeight w:val="216"/>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Segment 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21,647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(5,379)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17,220</w:t>
            </w:r>
          </w:p>
        </w:tc>
      </w:tr>
      <w:tr>
        <w:trPr>
          <w:trHeight w:val="216"/>
        </w:trPr>
        <w:tc>
          <w:tcPr>
            <w:tcW w:w="3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20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244,972</w:t>
            </w:r>
          </w:p>
        </w:tc>
        <w:tc>
          <w:tcPr>
            <w:tcW w:w="8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51,859</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50,592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6,951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354,374</w:t>
            </w:r>
          </w:p>
        </w:tc>
      </w:tr>
    </w:tbl>
    <w:p>
      <w:pPr>
        <w:spacing w:after="0" w:line="23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 defined benefit pension plan covering the employees at our Eltmann, Germany facility. The plan is unfunded. There were no prior service costs recognized in the three and nine months ended September 30, 2009 and 2008. We incurred $71 and $203 of interest cost during the three and nine months ended September 30, 2009 and expect to contribute approximately $280 to the Eltmann, Germany pension plan in 2009. As of September 30, 2009, approximately $206 of contributions had been 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nine months ended September 30, 2009 and 2008: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17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Nine months ended</w:t>
            </w:r>
          </w:p>
        </w:tc>
      </w:tr>
      <w:tr>
        <w:trPr>
          <w:trHeight w:val="241"/>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Amounts accrued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Payments to government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managed plan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8,298</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8,290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8,298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8,290</w:t>
            </w:r>
          </w:p>
        </w:tc>
      </w:tr>
      <w:tr>
        <w:trPr>
          <w:trHeight w:val="21"/>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plans that cover our Veenendaal, The Netherlands employees. One provides an award for employees who achieve 25 or 40 years of service and the other is an award for employees upon retirement. These plans are both unfunded and the benefits are based on years of service and rate of compensation at the time the award is paid. The table below summarizes the changes in the two plans combined during the three and nine month periods ended September 30, 2009 and 2008.</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8"/>
                <w:szCs w:val="18"/>
                <w:color w:val="auto"/>
              </w:rPr>
            </w:pPr>
          </w:p>
        </w:tc>
        <w:tc>
          <w:tcPr>
            <w:tcW w:w="18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Nine months ended</w:t>
            </w:r>
          </w:p>
        </w:tc>
      </w:tr>
      <w:tr>
        <w:trPr>
          <w:trHeight w:val="241"/>
        </w:trPr>
        <w:tc>
          <w:tcPr>
            <w:tcW w:w="4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841</w:t>
            </w:r>
          </w:p>
        </w:tc>
      </w:tr>
      <w:tr>
        <w:trPr>
          <w:trHeight w:val="21"/>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In September 2006, the Financial Accounting Standards Board (FASB) issued authoritative guidance (Topic 820 within the Accounting Standards Codification) on how to measure assets and liabilities that are measured at fair value. The authoritative guidance applies whenever another U.S. GAAP standard requires (or permits) assets or liabilities to be measured at fair value but does not expand the use of fair value to any new circumstances. The adoption for non-financial assets and liabilities was deferred until January 1, 2009. We prospectively implemented the provisions of this authoritative guidance that pertain to non-financial assets and liabilities on January 1, 2009 and this has had no effect on our income from operations, cash flows, and financial condition.</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2007, the FASB revised the authoritative guidance for business combinations (Topic 805 within the Accounting Standards Codification). The revised guidance retains the fundamental requirement that the acquisition method of accounting be used for all business combinations. However, the following changes are included in the revised guidance: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The revised guidance applies prospectively to business combinations for which the acquisition date is on or after January 1, 2009. The revised guidance did not have an impact on our consolidated financial statements as of January 1, 2009, but the nature and magnitude of the specific effects will depend upon the nature, terms, and size of the acquisitions, if any, consummated after January 1, 2009.</w:t>
      </w:r>
    </w:p>
    <w:p>
      <w:pPr>
        <w:spacing w:after="0" w:line="20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In April 2009, the FASB issued revised authoritative guidance for interim disclosures of financial instruments under fair value (Topic 820 within the Accounting Standards Codification) to require disclosures about fair value of financial instruments for interim reporting periods of publicly traded companies, as well as in annual financial statements, including summarized financial information at interim reporting periods. This revised guidance was effective for interim reporting periods ending after June 15, 2009. We have adopted the additional required disclosures within this quarterly report.</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2008, the FASB issued revised authoritative guidance regarding employers’ disclosures about postretirement benefit plan assets, (Topic 715 within the Accounting Standards Codification) which is effective for fiscal years ending after December 15, 2009. The new standard expands disclosures for assets held by employer pension and other postretirement benefit plans. This revised guidance will not affect the Company’s financial position or results of operations.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May 28, 2009, the FASB issued authoritative guidance that requires companies, if applicable, to recognize in their financial statements the effects of all subsequent events that provide additional evidence about conditions that existed at the balance sheet date (Topic 855 within the Accounting Standards Codification). Furthermore, subsequent events related to conditions that did not exist at the balance sheet date may need to be disclosed. Finally, the entity is required to disclose the date through which subsequent events have been evaluated. The authoritative guidance was effective on a prospective basis for interim or annual financial periods ending after June 15, 2009. The Company adopted the provisions during the quarter ended June 30, 2009. The Company’s evaluation of subsequent events is disclosed within Footnote 13 “Commitments and Contingencies”.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Note 8.  Long-Term Debt and Short-Term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7460" w:type="dxa"/>
            <w:vAlign w:val="bottom"/>
            <w:gridSpan w:val="2"/>
          </w:tcPr>
          <w:p>
            <w:pPr>
              <w:spacing w:after="0"/>
              <w:rPr>
                <w:sz w:val="20"/>
                <w:szCs w:val="20"/>
                <w:color w:val="auto"/>
              </w:rPr>
            </w:pPr>
            <w:r>
              <w:rPr>
                <w:rFonts w:ascii="Arial" w:cs="Arial" w:eastAsia="Arial" w:hAnsi="Arial"/>
                <w:sz w:val="18"/>
                <w:szCs w:val="18"/>
                <w:color w:val="auto"/>
              </w:rPr>
              <w:t>Long-term debt at September 30, 2009 and December 31, 2008 consisted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4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4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$90,000 revolving credit facility bearing interest at a</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floating rate equal to LIBOR (0.29% at September 30, 2009) plus an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applicable margin of 4.00%, expiring September 20, 2011.</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62,441</w:t>
            </w:r>
          </w:p>
        </w:tc>
      </w:tr>
      <w:tr>
        <w:trPr>
          <w:trHeight w:val="216"/>
        </w:trPr>
        <w:tc>
          <w:tcPr>
            <w:tcW w:w="14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interest at a fixed rate of 8.50% maturing on April 26, 2014. Annual principal</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payments of $5,714 began on April 26, 2008 and extend through the date of</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maturity.</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28,571</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34,286</w:t>
            </w:r>
          </w:p>
        </w:tc>
      </w:tr>
      <w:tr>
        <w:trPr>
          <w:trHeight w:val="216"/>
        </w:trPr>
        <w:tc>
          <w:tcPr>
            <w:tcW w:w="14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Long term note payable with customer</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r>
      <w:tr>
        <w:trPr>
          <w:trHeight w:val="216"/>
        </w:trPr>
        <w:tc>
          <w:tcPr>
            <w:tcW w:w="144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debt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97,088</w:t>
            </w:r>
          </w:p>
        </w:tc>
      </w:tr>
      <w:tr>
        <w:trPr>
          <w:trHeight w:val="216"/>
        </w:trPr>
        <w:tc>
          <w:tcPr>
            <w:tcW w:w="14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94,034</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6,916</w:t>
            </w:r>
          </w:p>
        </w:tc>
      </w:tr>
      <w:tr>
        <w:trPr>
          <w:trHeight w:val="216"/>
        </w:trPr>
        <w:tc>
          <w:tcPr>
            <w:tcW w:w="1440" w:type="dxa"/>
            <w:vAlign w:val="bottom"/>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6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90,172</w:t>
            </w:r>
          </w:p>
        </w:tc>
      </w:tr>
      <w:tr>
        <w:trPr>
          <w:trHeight w:val="20"/>
        </w:trPr>
        <w:tc>
          <w:tcPr>
            <w:tcW w:w="144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reclassified its long-term debt as a current liability as of June 30, 2009 primarily because certain of the financial covenants with the lenders are not yet defined for the period ending June 30, 2010 and thereafter. The credit agreements were amended in the first quarter of 2009 with a revised set of financial covenants as described below. At that time, due to the uncertainty in the economy and the global recession, the lenders defined certain of the covenants (i.e., the Capitalization Ratio, the Interest Coverage Ratio, and the Minimum EBITDA) for periods ending June 30, 2010 and after, to be determined in the sole discretion of the lenders, after consultation with the Company. Since the covenant levels are not yet known, the Company cannot be assured that it will be in compliance as of June 30, 2010. Additionally, the existing covenant levels provide limited leeway for unfavorable financial performance. Therefore, the debt will be shown as a current liability until such time as the definitive covenant levels are determined at a level consistent with our forecasts. We expect covenants covering the remainder of 2010 through March 2011 to be set during the first quarter of 2010 prior to the filing of our annual report on Form 10-K.</w:t>
      </w:r>
    </w:p>
    <w:p>
      <w:pPr>
        <w:spacing w:after="0" w:line="22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During the first quarter of 2009, we entered into an amended and restated $90,000 revolving credit facility maturing September, 2011, with Key Bank as administrative agent. The amended agreement was entered into to conform the covenants to our current outlook for the next twelve months in this difficult economic cycle. In addition to the reduction in availability (from $135,000 to $90,000), the interest rate will be LIBOR plus an applicable margin of</w:t>
      </w:r>
    </w:p>
    <w:p>
      <w:pPr>
        <w:ind w:right="20"/>
        <w:spacing w:after="0" w:line="252" w:lineRule="auto"/>
        <w:rPr>
          <w:sz w:val="20"/>
          <w:szCs w:val="20"/>
          <w:color w:val="auto"/>
        </w:rPr>
      </w:pPr>
      <w:r>
        <w:rPr>
          <w:rFonts w:ascii="Arial" w:cs="Arial" w:eastAsia="Arial" w:hAnsi="Arial"/>
          <w:sz w:val="18"/>
          <w:szCs w:val="18"/>
          <w:color w:val="auto"/>
        </w:rPr>
        <w:t>4.00%. The financial and non-financial covenants have been amended to relax certain financial covenants and the facility is now secured by assets of the Company in addition to pledges of stock of certain foreign and domestic subsidiaries and guarantees of certain subsidiaries. Finally, the new agreement places greater restrictions on our usage of cash flows including prohibiting share repurchases, dividends and investments and/or acquisitions without the approval of lenders and until such time as we meet certain earnings and financial covenant levels. We incurred $2,718 in debt issue cost during the nine months ended September 30, 2009 related to the amended and restated facility. In addition, $143 in unamortized debt issuance costs from the original facility were eliminated during the first quarter of 2009.</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We incurred $575 in debt issue cost during the first quarter of 2009 related to the amended facility. In addition, $461 in unamortized debt issuance costs from the original facility were eliminated during the first quarter of 2009.</w:t>
      </w:r>
    </w:p>
    <w:p>
      <w:pPr>
        <w:spacing w:after="0" w:line="200" w:lineRule="exact"/>
        <w:rPr>
          <w:sz w:val="20"/>
          <w:szCs w:val="20"/>
          <w:color w:val="auto"/>
        </w:rPr>
      </w:pPr>
    </w:p>
    <w:p>
      <w:pPr>
        <w:spacing w:after="0" w:line="22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Effective June 30, 2009, an amendment was added to both the revolving credit facility and the senior note agreement to adjust the capital expenditure limit by excluding $934 of capital projects funded by customer advances and to waive a technicality related to a weekly reporting requirement.</w:t>
      </w:r>
    </w:p>
    <w:p>
      <w:pPr>
        <w:spacing w:after="0" w:line="1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relation to entering into the amended and restated credit agreements mentioned above, we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through March 31, 2010. However, further deterioration of market conditions and sales levels in excess of our forecasts for revenue and cash flow could result in the Company failing to meet these covenants, which could cause a material adverse impact on our liquidity and financial position. After the credit agreements were amended as discussed above, we were in compliance with all covenants related to the amended and restated $90,000 credit facility and the amended and restated $40,000 senior notes as of September 30, 2009. We can provide no assurances we will be in compliance with the existing covenants for the remainder of 2009 and the first quarter of 2010. The specific covenants to which we are subject, and the actual results achieved for the periods ended September 30, 2009 are stated below.</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338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3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30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Financial Covenants</w:t>
            </w:r>
          </w:p>
        </w:tc>
        <w:tc>
          <w:tcPr>
            <w:tcW w:w="31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Required Covenant Level</w:t>
            </w:r>
          </w:p>
        </w:tc>
        <w:tc>
          <w:tcPr>
            <w:tcW w:w="29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Actual Covenant Level</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Funded indebtedness to capitalization</w:t>
            </w:r>
          </w:p>
        </w:tc>
        <w:tc>
          <w:tcPr>
            <w:tcW w:w="3120" w:type="dxa"/>
            <w:vAlign w:val="bottom"/>
            <w:vMerge w:val="restart"/>
          </w:tcPr>
          <w:p>
            <w:pPr>
              <w:jc w:val="center"/>
              <w:ind w:right="50"/>
              <w:spacing w:after="0"/>
              <w:rPr>
                <w:sz w:val="20"/>
                <w:szCs w:val="20"/>
                <w:color w:val="auto"/>
              </w:rPr>
            </w:pPr>
            <w:r>
              <w:rPr>
                <w:rFonts w:ascii="Arial" w:cs="Arial" w:eastAsia="Arial" w:hAnsi="Arial"/>
                <w:sz w:val="18"/>
                <w:szCs w:val="18"/>
                <w:color w:val="auto"/>
                <w:w w:val="89"/>
              </w:rPr>
              <w:t>Not to exceed 0.60 to 1.00</w:t>
            </w:r>
          </w:p>
        </w:tc>
        <w:tc>
          <w:tcPr>
            <w:tcW w:w="2920" w:type="dxa"/>
            <w:vAlign w:val="bottom"/>
            <w:vMerge w:val="restart"/>
          </w:tcPr>
          <w:p>
            <w:pPr>
              <w:jc w:val="right"/>
              <w:ind w:right="990"/>
              <w:spacing w:after="0"/>
              <w:rPr>
                <w:sz w:val="20"/>
                <w:szCs w:val="20"/>
                <w:color w:val="auto"/>
              </w:rPr>
            </w:pPr>
            <w:r>
              <w:rPr>
                <w:rFonts w:ascii="Arial" w:cs="Arial" w:eastAsia="Arial" w:hAnsi="Arial"/>
                <w:sz w:val="18"/>
                <w:szCs w:val="18"/>
                <w:color w:val="auto"/>
              </w:rPr>
              <w:t>0.54 to 1.00</w:t>
            </w: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280"/>
              <w:spacing w:after="0"/>
              <w:rPr>
                <w:sz w:val="20"/>
                <w:szCs w:val="20"/>
                <w:color w:val="auto"/>
              </w:rPr>
            </w:pPr>
            <w:r>
              <w:rPr>
                <w:rFonts w:ascii="Arial" w:cs="Arial" w:eastAsia="Arial" w:hAnsi="Arial"/>
                <w:sz w:val="18"/>
                <w:szCs w:val="18"/>
                <w:color w:val="auto"/>
              </w:rPr>
              <w:t>ratio</w:t>
            </w:r>
          </w:p>
        </w:tc>
        <w:tc>
          <w:tcPr>
            <w:tcW w:w="3120" w:type="dxa"/>
            <w:vAlign w:val="bottom"/>
            <w:vMerge w:val="continue"/>
          </w:tcPr>
          <w:p>
            <w:pPr>
              <w:spacing w:after="0"/>
              <w:rPr>
                <w:sz w:val="10"/>
                <w:szCs w:val="10"/>
                <w:color w:val="auto"/>
              </w:rPr>
            </w:pP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380" w:type="dxa"/>
            <w:vAlign w:val="bottom"/>
            <w:gridSpan w:val="2"/>
            <w:vMerge w:val="continue"/>
          </w:tcPr>
          <w:p>
            <w:pPr>
              <w:spacing w:after="0"/>
              <w:rPr>
                <w:sz w:val="10"/>
                <w:szCs w:val="10"/>
                <w:color w:val="auto"/>
              </w:rPr>
            </w:pPr>
          </w:p>
        </w:tc>
        <w:tc>
          <w:tcPr>
            <w:tcW w:w="3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EBITDA shall not be less than</w:t>
            </w:r>
          </w:p>
        </w:tc>
        <w:tc>
          <w:tcPr>
            <w:tcW w:w="2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280"/>
              <w:spacing w:after="0"/>
              <w:rPr>
                <w:sz w:val="20"/>
                <w:szCs w:val="20"/>
                <w:color w:val="auto"/>
              </w:rPr>
            </w:pPr>
            <w:r>
              <w:rPr>
                <w:rFonts w:ascii="Arial" w:cs="Arial" w:eastAsia="Arial" w:hAnsi="Arial"/>
                <w:sz w:val="18"/>
                <w:szCs w:val="18"/>
                <w:color w:val="auto"/>
              </w:rPr>
              <w:t>Minimum EBITDA</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0"/>
              </w:rPr>
              <w:t>$(5,614) for the most recent</w:t>
            </w:r>
          </w:p>
        </w:tc>
        <w:tc>
          <w:tcPr>
            <w:tcW w:w="2920" w:type="dxa"/>
            <w:vAlign w:val="bottom"/>
          </w:tcPr>
          <w:p>
            <w:pPr>
              <w:jc w:val="right"/>
              <w:ind w:right="111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four fiscal quarters</w:t>
            </w:r>
          </w:p>
        </w:tc>
        <w:tc>
          <w:tcPr>
            <w:tcW w:w="2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1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Not to exceed $3,500</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restart"/>
          </w:tcPr>
          <w:p>
            <w:pPr>
              <w:ind w:left="280"/>
              <w:spacing w:after="0"/>
              <w:rPr>
                <w:sz w:val="20"/>
                <w:szCs w:val="20"/>
                <w:color w:val="auto"/>
              </w:rPr>
            </w:pPr>
            <w:r>
              <w:rPr>
                <w:rFonts w:ascii="Arial" w:cs="Arial" w:eastAsia="Arial" w:hAnsi="Arial"/>
                <w:sz w:val="18"/>
                <w:szCs w:val="18"/>
                <w:color w:val="auto"/>
              </w:rPr>
              <w:t>Capital expenditures</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3"/>
              </w:rPr>
              <w:t>(excluding $935 of capital</w:t>
            </w:r>
          </w:p>
        </w:tc>
        <w:tc>
          <w:tcPr>
            <w:tcW w:w="2920" w:type="dxa"/>
            <w:vAlign w:val="bottom"/>
            <w:vMerge w:val="restart"/>
          </w:tcPr>
          <w:p>
            <w:pPr>
              <w:jc w:val="right"/>
              <w:ind w:right="117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12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projects funded by customer</w:t>
            </w:r>
          </w:p>
        </w:tc>
        <w:tc>
          <w:tcPr>
            <w:tcW w:w="2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8"/>
          <w:szCs w:val="18"/>
          <w:color w:val="auto"/>
        </w:rPr>
        <w:t>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nine month period ended September 30, 2009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Goodwill</w:t>
      </w:r>
    </w:p>
    <w:p>
      <w:pPr>
        <w:spacing w:after="0" w:line="200" w:lineRule="exact"/>
        <w:rPr>
          <w:sz w:val="20"/>
          <w:szCs w:val="20"/>
          <w:color w:val="auto"/>
        </w:rPr>
      </w:pPr>
    </w:p>
    <w:p>
      <w:pPr>
        <w:spacing w:after="0" w:line="268"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2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w w:val="93"/>
              </w:rPr>
              <w:t>Metal Bearing</w:t>
            </w:r>
          </w:p>
        </w:tc>
      </w:tr>
      <w:tr>
        <w:trPr>
          <w:trHeight w:val="216"/>
        </w:trPr>
        <w:tc>
          <w:tcPr>
            <w:tcW w:w="4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Components</w:t>
            </w:r>
          </w:p>
        </w:tc>
      </w:tr>
      <w:tr>
        <w:trPr>
          <w:trHeight w:val="241"/>
        </w:trPr>
        <w:tc>
          <w:tcPr>
            <w:tcW w:w="494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2500" w:type="dxa"/>
            <w:vAlign w:val="bottom"/>
          </w:tcPr>
          <w:p>
            <w:pPr>
              <w:spacing w:after="0"/>
              <w:rPr>
                <w:sz w:val="20"/>
                <w:szCs w:val="20"/>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Segment</w:t>
            </w: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31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0" w:type="dxa"/>
            <w:vAlign w:val="bottom"/>
          </w:tcPr>
          <w:p>
            <w:pPr>
              <w:spacing w:after="0"/>
              <w:rPr>
                <w:sz w:val="18"/>
                <w:szCs w:val="18"/>
                <w:color w:val="auto"/>
              </w:rPr>
            </w:pPr>
          </w:p>
        </w:tc>
      </w:tr>
      <w:tr>
        <w:trPr>
          <w:trHeight w:val="223"/>
        </w:trPr>
        <w:tc>
          <w:tcPr>
            <w:tcW w:w="4940" w:type="dxa"/>
            <w:vAlign w:val="bottom"/>
          </w:tcPr>
          <w:p>
            <w:pPr>
              <w:ind w:left="160"/>
              <w:spacing w:after="0"/>
              <w:rPr>
                <w:sz w:val="20"/>
                <w:szCs w:val="20"/>
                <w:color w:val="auto"/>
              </w:rPr>
            </w:pPr>
            <w:r>
              <w:rPr>
                <w:rFonts w:ascii="Arial" w:cs="Arial" w:eastAsia="Arial" w:hAnsi="Arial"/>
                <w:sz w:val="18"/>
                <w:szCs w:val="18"/>
                <w:color w:val="auto"/>
              </w:rPr>
              <w:t>Currency impacts</w:t>
            </w:r>
          </w:p>
        </w:tc>
        <w:tc>
          <w:tcPr>
            <w:tcW w:w="25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9"/>
                <w:szCs w:val="19"/>
                <w:color w:val="auto"/>
              </w:rPr>
            </w:pPr>
          </w:p>
        </w:tc>
      </w:tr>
      <w:tr>
        <w:trPr>
          <w:trHeight w:val="257"/>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2009</w:t>
            </w:r>
          </w:p>
        </w:tc>
        <w:tc>
          <w:tcPr>
            <w:tcW w:w="25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20" w:type="dxa"/>
            <w:vAlign w:val="bottom"/>
          </w:tcPr>
          <w:p>
            <w:pPr>
              <w:spacing w:after="0"/>
              <w:rPr>
                <w:sz w:val="22"/>
                <w:szCs w:val="22"/>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During the three and nine month periods ended September 30, 2009, the financial impact from the global economic recession on the remaining reporting unit with a goodwill balance was consistent with the forecasted results used in testing for impairment at December 31, 2008. Thus, as of September 30, 2009, there are no further indications of impairment. However, depending on the severity and the longevity of the future impacts of the global economic recession, we could have an impairment in goodwill at this reporting unit in the future.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Note 10.</w:t>
            </w:r>
          </w:p>
        </w:tc>
        <w:tc>
          <w:tcPr>
            <w:tcW w:w="54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Intangible assets subject to amortization, net of amortization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Precision</w:t>
            </w:r>
          </w:p>
        </w:tc>
        <w:tc>
          <w:tcPr>
            <w:tcW w:w="12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Metal</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Metal</w:t>
            </w: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Bearing</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Components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of Dollars)</w:t>
            </w: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7"/>
        </w:trPr>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as of September 30, 2009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r>
      <w:tr>
        <w:trPr>
          <w:trHeight w:val="21"/>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 included in the Precision Metal Components Segment above is an intangible asset not subject to amortization of $900 related to the value of the trade names of Whirlaway.</w:t>
      </w:r>
    </w:p>
    <w:p>
      <w:pPr>
        <w:spacing w:after="0" w:line="19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Within the Metal Bearing Components Segment, the intangible asset is a contract intangible. This intangible asset was subject to amortization over approximately 5 years starting in 2006 and amortization expense was to approximate $500 for each of the five years. For the three and nine months ended September 30, 2009, the amortization expense totaled $151 and $431, and accumulated amortization totaled $2,016 at September 30, 2009.</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three and nine month periods ended September 30, 2009 and 2008, approximately $72 and $270 in 2009 and $246 and $891 in 2008, respectively, of compensation expense was recognized in selling, general and administrative expense for all share-based awards. On March 25, 2009, the Company granted 232,000 options to non-executive directors, officers and certain other key employees.</w:t>
      </w:r>
    </w:p>
    <w:p>
      <w:pPr>
        <w:spacing w:after="0" w:line="20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nine month period ended September 30, 2009:</w:t>
      </w:r>
    </w:p>
    <w:p>
      <w:pPr>
        <w:spacing w:after="0" w:line="200" w:lineRule="exact"/>
        <w:rPr>
          <w:sz w:val="20"/>
          <w:szCs w:val="20"/>
          <w:color w:val="auto"/>
        </w:rPr>
      </w:pP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41"/>
        </w:trPr>
        <w:tc>
          <w:tcPr>
            <w:tcW w:w="426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2"/>
              </w:rPr>
              <w:t>($000)</w:t>
            </w:r>
          </w:p>
        </w:tc>
        <w:tc>
          <w:tcPr>
            <w:tcW w:w="24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Forfeited or expired</w:t>
            </w: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5.94</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2009</w:t>
            </w:r>
          </w:p>
        </w:tc>
        <w:tc>
          <w:tcPr>
            <w:tcW w:w="8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rPr>
              <w:t xml:space="preserve">(6,442) </w:t>
            </w:r>
            <w:r>
              <w:rPr>
                <w:rFonts w:ascii="Arial" w:cs="Arial" w:eastAsia="Arial" w:hAnsi="Arial"/>
                <w:sz w:val="25"/>
                <w:szCs w:val="25"/>
                <w:color w:val="auto"/>
                <w:vertAlign w:val="superscript"/>
              </w:rPr>
              <w:t>(1)</w:t>
            </w: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Exercisable at September 30, 2009</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10" w:lineRule="exact"/>
              <w:rPr>
                <w:sz w:val="20"/>
                <w:szCs w:val="20"/>
                <w:color w:val="auto"/>
              </w:rPr>
            </w:pPr>
            <w:r>
              <w:rPr>
                <w:rFonts w:ascii="Arial" w:cs="Arial" w:eastAsia="Arial" w:hAnsi="Arial"/>
                <w:sz w:val="17"/>
                <w:szCs w:val="17"/>
                <w:color w:val="auto"/>
              </w:rPr>
              <w:t xml:space="preserve">(6,483) </w:t>
            </w:r>
            <w:r>
              <w:rPr>
                <w:rFonts w:ascii="Arial" w:cs="Arial" w:eastAsia="Arial" w:hAnsi="Arial"/>
                <w:sz w:val="24"/>
                <w:szCs w:val="24"/>
                <w:color w:val="auto"/>
                <w:vertAlign w:val="superscript"/>
              </w:rPr>
              <w:t>(1)</w:t>
            </w:r>
          </w:p>
        </w:tc>
      </w:tr>
      <w:tr>
        <w:trPr>
          <w:trHeight w:val="21"/>
        </w:trPr>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8"/>
        <w:spacing w:after="0" w:line="252" w:lineRule="auto"/>
        <w:tabs>
          <w:tab w:leader="none" w:pos="192"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The negative intrinsic value is the amount by which the exercise price of each individual option grant was greater than the market price of the stock at September 30, 2009.</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Provision for Income Taxes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second quarter of 2009, based on the recent negative financial performance of our U.S. operations during the global economic recession, we determined that there is a likelihood the U.S. locations would be unable to generate sufficient profits in the near future to allow realization of existing deferred tax assets. Consequently, during the second quarter, a valuation reserve was placed on the deferred tax assets related to the U.S. operations in the amount of $5,478 that increased to $6,215 as of September 30, 2009. The determination to place a valuation allowance on the tax benefits incurred by our U.S. based operations was made based upon the fact that second quarter and cumulative 2009 results of these entities were much more unfavorable than originally forecasted. Given the magnitude of the incurred and expected losses from these entities for the remainder of 2009, we determined that it was prudent not to recognize any deferred tax benefits and fully reserve the existing deferred tax assets at June 30, 2009. If U.S. operations return to a level of profitability sufficient to utilize these deferred tax assets, they will used to offset future U.S. based taxable income. Once we determine that this is more likely than not, a deferred tax benefit will be recognized.</w:t>
      </w:r>
    </w:p>
    <w:p>
      <w:pPr>
        <w:spacing w:after="0" w:line="2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three and nine months ended September 30, 2009, the difference between the U.S. federal statutory tax rate of 34% and our effective tax rate of 14% and 5%, respectively, was mainly due to the valuation allowance placed on deferred taxes at our U.S. locations as discussed above. In addition, we did not recognize tax benefits at four international locations in which we operate. As, prior to 2009, valuation allowances were placed on the net deferred tax assets at these foreign locations. Finally, the effective rate was impacted by non-U.S. based earnings taxed at lower rates. The statutory and effective income tax rates in many of the foreign countries in which we operate are lower than the U.S. federal rate. The table below summarizes the impacts on the effective tax rate for the three and nine month periods ended September 30, 2009.</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Nine</w:t>
            </w: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Months</w:t>
            </w: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10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September</w:t>
            </w:r>
          </w:p>
        </w:tc>
        <w:tc>
          <w:tcPr>
            <w:tcW w:w="9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September</w:t>
            </w:r>
          </w:p>
        </w:tc>
      </w:tr>
      <w:tr>
        <w:trPr>
          <w:trHeight w:val="241"/>
        </w:trPr>
        <w:tc>
          <w:tcPr>
            <w:tcW w:w="650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(In Thousands of Dollars)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30, 2009</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30, 2009</w:t>
            </w:r>
          </w:p>
        </w:tc>
        <w:tc>
          <w:tcPr>
            <w:tcW w:w="80" w:type="dxa"/>
            <w:vAlign w:val="bottom"/>
          </w:tcPr>
          <w:p>
            <w:pPr>
              <w:spacing w:after="0"/>
              <w:rPr>
                <w:sz w:val="20"/>
                <w:szCs w:val="20"/>
                <w:color w:val="auto"/>
              </w:rPr>
            </w:pPr>
          </w:p>
        </w:tc>
      </w:t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the federal statutory rate of 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Applied U.S. valuation 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6,215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Increase in foreign valuation allowance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1,277</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Non-U.S. earnings taxed at lower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2,260</w:t>
            </w:r>
          </w:p>
        </w:tc>
      </w:tr>
      <w:tr>
        <w:trPr>
          <w:trHeight w:val="223"/>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r>
      <w:tr>
        <w:trPr>
          <w:trHeight w:val="216"/>
        </w:trPr>
        <w:tc>
          <w:tcPr>
            <w:tcW w:w="6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w:t>
            </w:r>
          </w:p>
        </w:tc>
      </w:tr>
      <w:tr>
        <w:trPr>
          <w:trHeight w:val="20"/>
        </w:trPr>
        <w:tc>
          <w:tcPr>
            <w:tcW w:w="6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As of September 30, 2009 and for the remainder of 2009, we will only recognize taxable benefits from expected losses at two European locations due to valuation allowances placed on expected tax benefits at all other foreign and U.S. operating units. We do not foresee any significant changes to our unrecognized tax benefits within the next twelve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14"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Eltmann, Germany Plant may reach a point of technical insolvency or illiquidity during the fourth quarter of 2009 or the first quarter of 2010. If this occurs, local laws could require the subsidiary to file for bankruptcy unless the Company provides additional support in the form of financial guarantees or additional funding of operations. If the Eltmann Plant files for bankruptcy, the Company could potentially lose the value of the net assets of Eltmann of approximately $700 at September 30, 2009. The Company believes that in the event of bankruptcy, there could be a temporary disruption of normal product flow to customers, but that it is unlikely that such an event would have a long-term significant impact given the current level of excess capacity within the Company’s European plants.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evaluated the existence of both recognized and unrecognized subsequent events through the date of issuance of this report, November 5, 2009, and have deemed no adjustments or additional disclosures are necessary.</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first quarter of 2009, the land and building of the former Hamilton, Ohio Plant of the Precision Metal Components Segment was sold for proceeds of $508, which resulted in no gain or loss from sale.</w:t>
      </w:r>
    </w:p>
    <w:p>
      <w:pPr>
        <w:spacing w:after="0" w:line="19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During the three month period ended September 30, 2008, the Veenendaal, The Netherlands facility (part of the Metal Bearing Components Segment) disposed of excess land with a book value of $1,610 for proceeds of $5,628 and a resulting gain of $4,018 ($2,995 after tax).</w:t>
      </w:r>
    </w:p>
    <w:p>
      <w:pPr>
        <w:spacing w:after="0" w:line="19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fair value of the Company’s fixed rate long-term borrowings is calculated by use of a discounted cash flow analysis factoring in current market borrowing rates for similar types of borrowing arrangements under our credit profile. The current market borrowing rates are Level 2 inputs under the fair value hierarchy as defined in Topic 820 of the Accounting Standard Codification. The carrying amounts and fair values of the Company’s long-term debt are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September 30, 2009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4"/>
              </w:rPr>
              <w:t>December 31, 2008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Carrying</w:t>
            </w: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w:t>
            </w:r>
          </w:p>
        </w:tc>
        <w:tc>
          <w:tcPr>
            <w:tcW w:w="1440" w:type="dxa"/>
            <w:vAlign w:val="bottom"/>
          </w:tcPr>
          <w:p>
            <w:pPr>
              <w:spacing w:after="0"/>
              <w:rPr>
                <w:sz w:val="18"/>
                <w:szCs w:val="18"/>
                <w:color w:val="auto"/>
              </w:rPr>
            </w:pPr>
          </w:p>
        </w:tc>
      </w:tr>
      <w:tr>
        <w:trPr>
          <w:trHeight w:val="241"/>
        </w:trPr>
        <w:tc>
          <w:tcPr>
            <w:tcW w:w="1440" w:type="dxa"/>
            <w:vAlign w:val="bottom"/>
          </w:tcPr>
          <w:p>
            <w:pPr>
              <w:spacing w:after="0"/>
              <w:rPr>
                <w:sz w:val="20"/>
                <w:szCs w:val="20"/>
                <w:color w:val="auto"/>
              </w:rPr>
            </w:pPr>
          </w:p>
        </w:tc>
        <w:tc>
          <w:tcPr>
            <w:tcW w:w="3600" w:type="dxa"/>
            <w:vAlign w:val="bottom"/>
          </w:tcPr>
          <w:p>
            <w:pPr>
              <w:ind w:left="1140"/>
              <w:spacing w:after="0"/>
              <w:rPr>
                <w:sz w:val="20"/>
                <w:szCs w:val="20"/>
                <w:color w:val="auto"/>
              </w:rPr>
            </w:pPr>
            <w:r>
              <w:rPr>
                <w:rFonts w:ascii="Arial" w:cs="Arial" w:eastAsia="Arial" w:hAnsi="Arial"/>
                <w:sz w:val="18"/>
                <w:szCs w:val="18"/>
                <w:color w:val="auto"/>
              </w:rPr>
              <w:t>(In Thousands of Dollars)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Value</w:t>
            </w: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short-term debt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65,463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62,441</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Fixed rate short-term debt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28,571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28,670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34,647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30,188</w:t>
            </w:r>
          </w:p>
        </w:tc>
        <w:tc>
          <w:tcPr>
            <w:tcW w:w="1440" w:type="dxa"/>
            <w:vAlign w:val="bottom"/>
          </w:tcPr>
          <w:p>
            <w:pPr>
              <w:spacing w:after="0"/>
              <w:rPr>
                <w:sz w:val="20"/>
                <w:szCs w:val="20"/>
                <w:color w:val="auto"/>
              </w:rPr>
            </w:pPr>
          </w:p>
        </w:tc>
      </w:tr>
      <w:tr>
        <w:trPr>
          <w:trHeight w:val="593"/>
        </w:trPr>
        <w:tc>
          <w:tcPr>
            <w:tcW w:w="14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36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2008 under Item 1.A. “Risk Factors.” There have been no material changes to these risk factors since December 31, 2008 except for the “Potential for default on long-term debt; risk of insolvency” risk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default on long-term debt; risk of insolvency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losses of income during the global economic recession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Furthermore, our lenders have not yet set covenant levels for the quarter ending June 30, 2010, and thereafter,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Impacts on the three and nine month periods ended September 30, 2009</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three month period ended September 30, 2009, sales showed some improvement from the dramatic reductions witnessed in the first two quarters of 2009 due to the worldwide recession. Sales increased 13% during the third quarter of 2009 from the second quarter of 2009, excluding the effects of exchange rates. For the three month period ended September 30, 2009, sales were down approximately 35% compared to the three month period ended September 30, 2008 and were approximately 17% lower than the sales in the fourth quarter of 2008, excluding the effects of exchange rates. During the first half of 2009, sales were down 50% from the corresponding prior year period.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increase in sales that occurred during the third quarter of 2009, from sales levels experienced in the first half of 2009, was due both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customers adopting more normalized ordering patterns and increased demand in the end markets we serve. It is unclear what portion of the increase was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ordering patterns versus demand. We believe during 2009, demand for our products has decreased more than actual demand in the end markets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serve. We refer to this as the “de-stocking effect” and believe it is due to reduction in overall inventory levels throughout the supply chain. In most cases,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several tiers down the supply chain from the ultimate customer. Thus, we are affected by our customers’ and their customers’ order patterns. We believe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companies that are higher in the supply chain have reduced production and order levels to control their inventory balances. We are not certain how long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current de-stocking process within the supply chain will last or even if, during the current quarter, it has begun to be replaced by more normalized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ordering patterns. Until the excess inventory in the supply chain is removed, we believe our sales and production levels will continue to be depressed beyond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reductions in end market demand.</w:t>
      </w:r>
    </w:p>
    <w:p>
      <w:pPr>
        <w:spacing w:after="0" w:line="23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reduction in sales volume was the main cause of the net losses of $9.0 million and $32.0 million, respectively, during the three and nine month periods ended September 30, 2009. In response to the sales decrease, we focused more aggressively on reducing costs and expenses. However, a significant portion of our cost structure cannot be reduced in the short term. In particular, at our manufacturing locations in Western Europe, it is very difficult to reduce employment levels in line with reductions in sales and production volumes. In these locations, we have limited production costs by scheduling the production facilities on rolling shutdowns and by temporarily allowing workers to not report to work under existing government programs. In addition to the reduction in sales volume, the net income of the three and nine month periods ended September 30, 2009 was further impacted by a $6.2 million valuation allowance placed on, and effectively eliminating, all U.S. based deferred tax assets and related current year tax benefits from incurred losses. Finally, the three and nine month periods were negatively impacted by the restructuring charge taken at out Veenendaal Plant totaling $3.9 million ($2.9 million after tax).</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2009 Compared to the Three Months Ended September 30, 2008.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4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NN, Inc.</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104,866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92"/>
              </w:rPr>
              <w:t>(38,756)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(1,630)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Volume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(34,631)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Price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Mix</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Material inflation pass-through</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(1,419)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58,981</w:t>
            </w:r>
          </w:p>
        </w:tc>
        <w:tc>
          <w:tcPr>
            <w:tcW w:w="180" w:type="dxa"/>
            <w:vAlign w:val="bottom"/>
          </w:tcPr>
          <w:p>
            <w:pPr>
              <w:spacing w:after="0"/>
              <w:rPr>
                <w:sz w:val="17"/>
                <w:szCs w:val="17"/>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83,784</w:t>
            </w:r>
          </w:p>
        </w:tc>
        <w:tc>
          <w:tcPr>
            <w:tcW w:w="260" w:type="dxa"/>
            <w:vAlign w:val="bottom"/>
          </w:tcPr>
          <w:p>
            <w:pPr>
              <w:spacing w:after="0"/>
              <w:rPr>
                <w:sz w:val="17"/>
                <w:szCs w:val="17"/>
                <w:color w:val="auto"/>
              </w:rPr>
            </w:pPr>
          </w:p>
        </w:tc>
        <w:tc>
          <w:tcPr>
            <w:tcW w:w="1580" w:type="dxa"/>
            <w:vAlign w:val="bottom"/>
            <w:gridSpan w:val="2"/>
            <w:vMerge w:val="restart"/>
          </w:tcPr>
          <w:p>
            <w:pPr>
              <w:jc w:val="right"/>
              <w:ind w:right="940"/>
              <w:spacing w:after="0"/>
              <w:rPr>
                <w:sz w:val="20"/>
                <w:szCs w:val="20"/>
                <w:color w:val="auto"/>
              </w:rPr>
            </w:pPr>
            <w:r>
              <w:rPr>
                <w:rFonts w:ascii="Arial" w:cs="Arial" w:eastAsia="Arial" w:hAnsi="Arial"/>
                <w:sz w:val="18"/>
                <w:szCs w:val="18"/>
                <w:b w:val="1"/>
                <w:bCs w:val="1"/>
                <w:color w:val="auto"/>
                <w:w w:val="92"/>
              </w:rPr>
              <w:t>(24,803)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(1,539)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(20,498)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Cost reduction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(2,694)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(165)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Inflation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93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6,465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9,732</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Reductions in spending</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(3,119)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5,255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6,234</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(152)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Reduction in expense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4,070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4,070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1,833</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1,259</w:t>
            </w:r>
          </w:p>
        </w:tc>
        <w:tc>
          <w:tcPr>
            <w:tcW w:w="260" w:type="dxa"/>
            <w:vAlign w:val="bottom"/>
          </w:tcPr>
          <w:p>
            <w:pPr>
              <w:spacing w:after="0"/>
              <w:rPr>
                <w:sz w:val="18"/>
                <w:szCs w:val="18"/>
                <w:color w:val="auto"/>
              </w:rPr>
            </w:pPr>
          </w:p>
        </w:tc>
        <w:tc>
          <w:tcPr>
            <w:tcW w:w="15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income, net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(391)</w:t>
            </w:r>
          </w:p>
        </w:tc>
        <w:tc>
          <w:tcPr>
            <w:tcW w:w="260" w:type="dxa"/>
            <w:vAlign w:val="bottom"/>
          </w:tcPr>
          <w:p>
            <w:pPr>
              <w:spacing w:after="0"/>
              <w:rPr>
                <w:sz w:val="18"/>
                <w:szCs w:val="18"/>
                <w:color w:val="auto"/>
              </w:rPr>
            </w:pPr>
          </w:p>
        </w:tc>
        <w:tc>
          <w:tcPr>
            <w:tcW w:w="158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380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(benefits) for</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(10,470)</w:t>
            </w:r>
          </w:p>
        </w:tc>
        <w:tc>
          <w:tcPr>
            <w:tcW w:w="1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4,242</w:t>
            </w:r>
          </w:p>
        </w:tc>
        <w:tc>
          <w:tcPr>
            <w:tcW w:w="260" w:type="dxa"/>
            <w:vAlign w:val="bottom"/>
            <w:shd w:val="clear" w:color="auto" w:fill="CCEEFF"/>
          </w:tcPr>
          <w:p>
            <w:pPr>
              <w:spacing w:after="0"/>
              <w:rPr>
                <w:sz w:val="17"/>
                <w:szCs w:val="17"/>
                <w:color w:val="auto"/>
              </w:rPr>
            </w:pPr>
          </w:p>
        </w:tc>
        <w:tc>
          <w:tcPr>
            <w:tcW w:w="1580" w:type="dxa"/>
            <w:vAlign w:val="bottom"/>
            <w:gridSpan w:val="2"/>
            <w:vMerge w:val="restart"/>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92"/>
              </w:rPr>
              <w:t>(14,712)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(1,487)</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1,295</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(2,782)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2,947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92"/>
              </w:rPr>
              <w:t>(11,930)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volume losses were due to reductions in end market demand in the markets we serve and due to a reduction in overall inventory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chain as discussed above. In addition, sales were lower as the value of Euro denominated sales has decreased approximately 3% relative to the U.S. Dollar from the third quarter of 2008. Changes related to price/mix were all normal in nature although such changes had less of an impact given the depressed sales levels. The impact on sales from material pass through was negative as material prices have decreased since 2008 and these are being passed to our contractual customers.</w:t>
      </w:r>
    </w:p>
    <w:p>
      <w:pPr>
        <w:spacing w:after="0" w:line="21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The majority of the decreases were due to the same sales volume reductions mentioned</w:t>
      </w:r>
      <w:r>
        <w:rPr>
          <w:rFonts w:ascii="Arial" w:cs="Arial" w:eastAsia="Arial" w:hAnsi="Arial"/>
          <w:sz w:val="17"/>
          <w:szCs w:val="17"/>
          <w:i w:val="1"/>
          <w:iCs w:val="1"/>
          <w:color w:val="auto"/>
        </w:rPr>
        <w:t xml:space="preserve"> </w:t>
      </w:r>
      <w:r>
        <w:rPr>
          <w:rFonts w:ascii="Arial" w:cs="Arial" w:eastAsia="Arial" w:hAnsi="Arial"/>
          <w:sz w:val="17"/>
          <w:szCs w:val="17"/>
          <w:color w:val="auto"/>
        </w:rPr>
        <w:t>above. In addition, the aforementioned devaluation of the Euro reduced Euro based production costs relative to the U.S. Dollar.</w:t>
      </w:r>
    </w:p>
    <w:p>
      <w:pPr>
        <w:spacing w:after="0" w:line="17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many of our production costs adjust with reductions in sales and production, a portion of our production costs are fixed in nature or cannot be reduced without incurring additional significant restructuring costs. Additionally, current production levels are much lower than our capacity. Any costs from under-utilization of capacity and fixed production costs are expensed in the period incurred. The main driver of the fixed component of costs was labor cost at our Western European manufacturing locations. We actively reduced labor costs where possible considering local and national labor rules and regulations of the countries in which we operate. Production costs were further reduced by the effects of planned cost reduction projects. Despite the lower sales and production levels, we continue to achieve results from planned cost reductions at levels consistent with management expectations.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Returning to a historically normal profitability range wherein cost of products sold is approximately 80% of sales will depend completely upon sales volumes returning to normalized levels. The very large reductions in sales due to the global recession has lead to cost of products sold being a higher percentage of sales than normal. As sales increase, we will be better able to leverage our existing fixed cost base, as discussed above, thus reducing cost of products sold as a percentage of sales.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in selling, general and administrative expense was from wage cost</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reductions. The wage cost reductions were achieved through a combination of salary cuts ranging from 10% to 20%, elimination of bonuses opportunities for 2009 and employment reductions. In addition, discretionary expenses were reduced company wide.</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 reduction in depreciation and amortization was due to lower depreciation and amortization from the effects of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2008 impairments and accelerated depreciation of certain intangible assets and fixed assets and due to lower spending on capital expenditures in 2009.</w:t>
      </w:r>
    </w:p>
    <w:p>
      <w:pPr>
        <w:spacing w:after="0" w:line="1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higher due to increases in the interest rate spread charged on our LIBOR credit facility and our senior notes.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was increased upon amending our credit facilities on March 13, 2009. In addition, we are amortizing $0.3 million more of capitalized loan costs into interest expense each quarter related to the amended loan facilities.</w:t>
      </w:r>
    </w:p>
    <w:p>
      <w:pPr>
        <w:spacing w:after="0" w:line="20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September 30, 2009, we incurred $0.1 million of restructuring cost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closure of the Kilkenny Plant and $3.9 million in restructuring charges related to the reduction in force at our Veenendaal Plant. (See Footnote 2 of the Notes to Consolidated Financial Statements.)</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three months ended September 30, 2009, the difference between the federal statutory tax rate of 34% and our effective tax</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14% was mainly due to not recognizing the tax benefits incurred at our U.S. locations and four of our foreign locations. We have placed valuation allowances on these deferred tax benefits as the recoverability of these tax benefits in the near future is in question. In addition, the effective rate was impacted by non-U.S. based earnings taxed at lower rates. The statutory and effective income tax rates in many of the foreign countries in which we operate are lower than the U.S. federal rate. (See Footnote 12 of the Notes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9"/>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89"/>
              </w:rPr>
              <w:t>Three months ended</w:t>
            </w:r>
          </w:p>
        </w:tc>
        <w:tc>
          <w:tcPr>
            <w:tcW w:w="1440" w:type="dxa"/>
            <w:vAlign w:val="bottom"/>
          </w:tcPr>
          <w:p>
            <w:pPr>
              <w:spacing w:after="0"/>
              <w:rPr>
                <w:sz w:val="24"/>
                <w:szCs w:val="24"/>
                <w:color w:val="auto"/>
              </w:rPr>
            </w:pPr>
          </w:p>
        </w:tc>
      </w:tr>
      <w:tr>
        <w:trPr>
          <w:trHeight w:val="241"/>
        </w:trPr>
        <w:tc>
          <w:tcPr>
            <w:tcW w:w="144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5"/>
          </w:tcPr>
          <w:p>
            <w:pPr>
              <w:jc w:val="right"/>
              <w:ind w:right="1480"/>
              <w:spacing w:after="0"/>
              <w:rPr>
                <w:sz w:val="20"/>
                <w:szCs w:val="20"/>
                <w:color w:val="auto"/>
              </w:rPr>
            </w:pPr>
            <w:r>
              <w:rPr>
                <w:rFonts w:ascii="Arial" w:cs="Arial" w:eastAsia="Arial" w:hAnsi="Arial"/>
                <w:sz w:val="18"/>
                <w:szCs w:val="18"/>
                <w:b w:val="1"/>
                <w:bCs w:val="1"/>
                <w:color w:val="auto"/>
              </w:rPr>
              <w:t>September 30,</w:t>
            </w: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46,681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80,707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(34,026)</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(1,630)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Volume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(29,729)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(1,012)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40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(1,470)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(5,189)</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5,137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ind w:right="8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10,326)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1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8"/>
        </w:trPr>
        <w:tc>
          <w:tcPr>
            <w:tcW w:w="144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t>The U.S. and European locations of the segment experienced sales decreases of approximately 45% compared to the third quarter of 2008. Our Asia facility experienced a sales increase of 71% from the third quarter of 2008 due to the internal transfer of production and customer demand in the region. As discussed above, the segment was impacted by both lower demand in the industries we serve as well as de-stocking throughout the supply chain. The devaluation of the Euro relative to the U.S. Dollar of 3% further negatively impacted sales.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segment net loss was impacted primarily by the large reduction in sales volume and the related production inefficiencies and under-utilization of fixed production costs. The impact of fixed costs and under-utilization of production capacity is more pronounced in this segment because a large portion of our installed capacity is in Western Europe, where it is more difficult to reduce labor costs in line with customer demand. Partially offsetting these negative effects were reductions in production costs from planned cost reduction projects and reductions in salaries, bonus opportunities, travel, and other discretionary costs. Additionally, the segment net loss was increased in 2009 by an after-tax restructuring charge of $2.9 million related to the reduction in force at our Veenendaal Plant.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440" w:type="dxa"/>
            <w:vAlign w:val="bottom"/>
          </w:tcPr>
          <w:p>
            <w:pPr>
              <w:spacing w:after="0"/>
              <w:rPr>
                <w:sz w:val="20"/>
                <w:szCs w:val="20"/>
                <w:color w:val="auto"/>
              </w:rPr>
            </w:pP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15,166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(4,152)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i w:val="1"/>
                <w:i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(4,152)</w:t>
            </w:r>
          </w:p>
        </w:tc>
      </w:tr>
      <w:tr>
        <w:trPr>
          <w:trHeight w:val="216"/>
        </w:trPr>
        <w:tc>
          <w:tcPr>
            <w:tcW w:w="144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(956)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decrease in this segment was due to much lower U.S. automotive and industrial market demand in the third quarter of 2009. In addition, sales were negatively impacted by de-stocking within the supply chain.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reduced sales volume and related production inefficiencies and under-utilization of fixed production costs were the main causes of the segment loss in the third quarter of 2009. Planned cost reduction projects, net of inflation, and reductions in selling and administration cost partially offset the impact of volume decreases. Additionally, the segment net loss was increased by $0.4 million as tax benefits from losses incurred in 2009 were not recognized due to valuation allowances being placed on the related deferred tax assets.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144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8,993</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95"/>
              </w:rPr>
              <w:t>(578)</w:t>
            </w: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(750)</w:t>
            </w: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Price/Mix</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172</w:t>
            </w:r>
          </w:p>
        </w:tc>
      </w:tr>
      <w:tr>
        <w:trPr>
          <w:trHeight w:val="216"/>
        </w:trPr>
        <w:tc>
          <w:tcPr>
            <w:tcW w:w="1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loss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rPr>
              <w:t>- -</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however, for this segment the third quarter of 2008 was already impacted by the global recession. Thus, the impact in the current quarter from the recession at this segment was not as large as at other segments.</w:t>
      </w:r>
    </w:p>
    <w:p>
      <w:pPr>
        <w:spacing w:after="0" w:line="20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segment net loss for the third quarter of 2009 would have been lower than the third quarter of 2008 loss if tax benefits totaling $0.1 million from losses incurred in 2009 were recognized. The tax benefits were not recognized due to valuation allowances placed on the deferred tax benefits.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2009 Compared to the Nine Months Ended September 30,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6"/>
            <w:vMerge w:val="restart"/>
          </w:tcPr>
          <w:p>
            <w:pPr>
              <w:jc w:val="right"/>
              <w:ind w:right="1700"/>
              <w:spacing w:after="0"/>
              <w:rPr>
                <w:sz w:val="20"/>
                <w:szCs w:val="20"/>
                <w:color w:val="auto"/>
              </w:rPr>
            </w:pPr>
            <w:r>
              <w:rPr>
                <w:rFonts w:ascii="Arial" w:cs="Arial" w:eastAsia="Arial" w:hAnsi="Arial"/>
                <w:sz w:val="18"/>
                <w:szCs w:val="18"/>
                <w:b w:val="1"/>
                <w:bCs w:val="1"/>
                <w:color w:val="auto"/>
              </w:rPr>
              <w:t>NN, Inc.</w:t>
            </w: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(In Thousands of Dollars)</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2008</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181,119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348,647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95"/>
              </w:rPr>
              <w:t>(167,528)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(9,788)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Volume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(156,750)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Price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Mix</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(323)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Material inflation pass-through</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(648)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169,184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277,526</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940"/>
              <w:spacing w:after="0"/>
              <w:rPr>
                <w:sz w:val="20"/>
                <w:szCs w:val="20"/>
                <w:color w:val="auto"/>
              </w:rPr>
            </w:pPr>
            <w:r>
              <w:rPr>
                <w:rFonts w:ascii="Arial" w:cs="Arial" w:eastAsia="Arial" w:hAnsi="Arial"/>
                <w:sz w:val="18"/>
                <w:szCs w:val="18"/>
                <w:b w:val="1"/>
                <w:bCs w:val="1"/>
                <w:color w:val="auto"/>
                <w:w w:val="95"/>
              </w:rPr>
              <w:t>(108,342)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6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(9,927)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Volume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(95,072)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Cost reduction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(6,684)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Mix</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184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Inflation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3,157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19,779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29,952</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(10,173)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(1,149)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Reductions in spending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(9,024)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18,884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(1,007)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Reduction in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(2,104)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4,742</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4,742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4,068</w:t>
            </w:r>
          </w:p>
        </w:tc>
        <w:tc>
          <w:tcPr>
            <w:tcW w:w="14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(4,153)</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4,112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Reduction of unamortized debt issue cost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604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675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(benefits) for</w:t>
            </w:r>
          </w:p>
        </w:tc>
        <w:tc>
          <w:tcPr>
            <w:tcW w:w="16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(33,506)</w:t>
            </w:r>
          </w:p>
        </w:tc>
        <w:tc>
          <w:tcPr>
            <w:tcW w:w="180" w:type="dxa"/>
            <w:vAlign w:val="bottom"/>
          </w:tcPr>
          <w:p>
            <w:pPr>
              <w:spacing w:after="0"/>
              <w:rPr>
                <w:sz w:val="17"/>
                <w:szCs w:val="17"/>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23,180</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940"/>
              <w:spacing w:after="0"/>
              <w:rPr>
                <w:sz w:val="20"/>
                <w:szCs w:val="20"/>
                <w:color w:val="auto"/>
              </w:rPr>
            </w:pPr>
            <w:r>
              <w:rPr>
                <w:rFonts w:ascii="Arial" w:cs="Arial" w:eastAsia="Arial" w:hAnsi="Arial"/>
                <w:sz w:val="18"/>
                <w:szCs w:val="18"/>
                <w:b w:val="1"/>
                <w:bCs w:val="1"/>
                <w:color w:val="auto"/>
              </w:rPr>
              <w:t>(56,686)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5,960</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(7,492)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(31,974)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17,220</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(49,194)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sales levels experienced in the third quarter of 2009 were 13% higher, excluding foreign exchange effects, to those experienced in the first two</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of 2009. Despite the increase over the prior two quarters, sales were still down 45% for the nine months ended September 30, 2009 versus the nine months ended September 30, 2008. The decrease was due to the aforementioned reduction in end market demand due to the global recession and from de-stocking in the supply chain in which we operate.</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The majority of the decrease was due to the same sales volume reductions mentioned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partially offset by planned cost reduction projects, net of inflation. The cost of products sold as a percentage of sales was 6% lower in the third quarter of 2009 versus the first half of 2009 due to better utilization of fixed cost from higher production levels and increased levels of savings on planned cost reduction projects. Additionally, the operational inefficiencies related to reducing inventory levels were more muted in the third quarter of 2009 than in the first half of 2009 as the level of inventory reduction in the current quarter was lower.</w:t>
      </w:r>
    </w:p>
    <w:p>
      <w:pPr>
        <w:spacing w:after="0" w:line="21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discussed above, the current trend of cost of products sold equaling 93% of sales is not expected to continue. Once sales volumes return to more historically normal levels, we expect cost of products sold to average 80% of sales or less.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ind w:right="48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The majority of the reduction was from wage cost reductions. The wage cost reductions were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 combination of salary cuts ranging from 10% to 20%, elimination of bonus opportunities for 2009 and headcount reductions. In addition, discretionary expenses were reduced company wide.</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 devaluation of Euro denominated costs relative to the U.S. Dollar accounted for approximately 30% of the decline.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remainder was due to lower depreciation and amortization from the effects of the year end 2008 impairments and accelerated depreciation of certain intangible assets and fixed assets and due to lower spending on capital expenditures in 2009.</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nine month period ended September 30, 2009, we incurred $0.8 of restructuring cost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closures of the Kilkenny Plant and the Hamilton Plant and $3.9 million in restructuring charges related to the reduction in force at our Veenendaal Plant. (See Footnote 2 of the Notes to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The second quarter of 2008 included a gain for sale of excess land at our Veenendaal Plant totaling $4.0 million.</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For the nine months ended September 30, 2009, the difference between the federal statutory tax rate of 34% and our effective tax</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5% was mainly due to not recognizing the tax benefits incurred at our U.S. locations and four of our foreign locations. We have placed valuation allowances on these deferred tax benefits as the recoverability of these tax benefits in the near future is in question. In addition, the effective rate was impacted by non-U.S. based earnings taxed at lower rates. The statutory and effective income tax rates in many of the foreign countries in which we operate are lower than the U.S. federal rate. (See Footnote 12 of the Notes to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9"/>
        </w:trPr>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14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right"/>
              <w:ind w:right="14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4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125,637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265,457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w w:val="95"/>
              </w:rPr>
              <w:t>(139,820)</w:t>
            </w: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(9,788)</w:t>
            </w: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(130,615)</w:t>
            </w:r>
          </w:p>
        </w:tc>
      </w:tr>
      <w:tr>
        <w:trPr>
          <w:trHeight w:val="216"/>
        </w:trPr>
        <w:tc>
          <w:tcPr>
            <w:tcW w:w="1440" w:type="dxa"/>
            <w:vAlign w:val="bottom"/>
          </w:tcPr>
          <w:p>
            <w:pPr>
              <w:spacing w:after="0"/>
              <w:rPr>
                <w:sz w:val="18"/>
                <w:szCs w:val="18"/>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(180)</w:t>
            </w: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1,347</w:t>
            </w:r>
          </w:p>
        </w:tc>
      </w:tr>
      <w:tr>
        <w:trPr>
          <w:trHeight w:val="216"/>
        </w:trPr>
        <w:tc>
          <w:tcPr>
            <w:tcW w:w="1440" w:type="dxa"/>
            <w:vAlign w:val="bottom"/>
          </w:tcPr>
          <w:p>
            <w:pPr>
              <w:spacing w:after="0"/>
              <w:rPr>
                <w:sz w:val="18"/>
                <w:szCs w:val="18"/>
                <w:color w:val="auto"/>
              </w:rPr>
            </w:pPr>
          </w:p>
        </w:tc>
        <w:tc>
          <w:tcPr>
            <w:tcW w:w="4460" w:type="dxa"/>
            <w:vAlign w:val="bottom"/>
            <w:gridSpan w:val="2"/>
          </w:tcPr>
          <w:p>
            <w:pPr>
              <w:ind w:left="360"/>
              <w:spacing w:after="0"/>
              <w:rPr>
                <w:sz w:val="20"/>
                <w:szCs w:val="20"/>
                <w:color w:val="auto"/>
              </w:rPr>
            </w:pPr>
            <w:r>
              <w:rPr>
                <w:rFonts w:ascii="Arial" w:cs="Arial" w:eastAsia="Arial" w:hAnsi="Arial"/>
                <w:sz w:val="18"/>
                <w:szCs w:val="18"/>
                <w:i w:val="1"/>
                <w:iCs w:val="1"/>
                <w:color w:val="auto"/>
              </w:rPr>
              <w:t>Material inflation pass-through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(584)</w:t>
            </w:r>
          </w:p>
        </w:tc>
      </w:tr>
      <w:tr>
        <w:trPr>
          <w:trHeight w:val="216"/>
        </w:trPr>
        <w:tc>
          <w:tcPr>
            <w:tcW w:w="144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(16,657)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21,647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(38,304)</w:t>
            </w:r>
          </w:p>
        </w:tc>
        <w:tc>
          <w:tcPr>
            <w:tcW w:w="80" w:type="dxa"/>
            <w:vAlign w:val="bottom"/>
          </w:tcPr>
          <w:p>
            <w:pPr>
              <w:spacing w:after="0"/>
              <w:rPr>
                <w:sz w:val="20"/>
                <w:szCs w:val="20"/>
                <w:color w:val="auto"/>
              </w:rPr>
            </w:pPr>
          </w:p>
        </w:tc>
      </w:tr>
    </w:tbl>
    <w:p>
      <w:pPr>
        <w:spacing w:after="0" w:line="2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largest sales decrease during 2009 was in our European operations of the segment with a 52% decrease in sales compared to 2008. The U.S. operations experienced sales reductions averaging 45% compared to 2008 and at our Asia operation sales increased 1% as compared to 2008. Sales were down in part due to reduced demand in the end markets served by the segment from the global recession. Additionally, the segment’s sales were reduced due to de-stocking within the metal bearing supply chain. The devaluation of the Euro relative to the U.S. Dollar of 11% further negatively impacted sales. The reductions were partially offset by favorable price/mix impacts from selling higher priced precision ball and roller products.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2" w:name="page23"/>
    <w:bookmarkEnd w:id="22"/>
    <w:p>
      <w:pPr>
        <w:ind w:right="40"/>
        <w:spacing w:after="0" w:line="297" w:lineRule="auto"/>
        <w:rPr>
          <w:sz w:val="20"/>
          <w:szCs w:val="20"/>
          <w:color w:val="auto"/>
        </w:rPr>
      </w:pPr>
      <w:r>
        <w:rPr>
          <w:rFonts w:ascii="Arial" w:cs="Arial" w:eastAsia="Arial" w:hAnsi="Arial"/>
          <w:sz w:val="16"/>
          <w:szCs w:val="16"/>
          <w:color w:val="auto"/>
        </w:rPr>
        <w:t>The segment net loss was impacted primarily by the large reduction in sales volume and the related production inefficiencies and under-utilization of fixed production costs. During the third quarter of 2009, these impacts were not as pronounced as compared to the first half of 2009 given higher levels of savings from planned cost reduction projects and increased production experienced during this quarter. The negative effects from the production inefficiencies were partially offset by reductions in salaries, bonus opportunities, travel, and other discretionary costs. Additionally, the segment net loss was increased during 2009 by an after tax restructuring charge of $2.9 million related to the reduction in force at our Veenendaal Plant.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3"/>
          </w:tcPr>
          <w:p>
            <w:pPr>
              <w:jc w:val="center"/>
              <w:ind w:right="1920"/>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w w:val="89"/>
              </w:rPr>
              <w:t>Nine months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1"/>
        </w:trPr>
        <w:tc>
          <w:tcPr>
            <w:tcW w:w="1440" w:type="dxa"/>
            <w:vAlign w:val="bottom"/>
          </w:tcPr>
          <w:p>
            <w:pPr>
              <w:spacing w:after="0"/>
              <w:rPr>
                <w:sz w:val="20"/>
                <w:szCs w:val="20"/>
                <w:color w:val="auto"/>
              </w:rPr>
            </w:pP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33,811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51,453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(17,642)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460" w:type="dxa"/>
            <w:vAlign w:val="bottom"/>
            <w:gridSpan w:val="2"/>
          </w:tcPr>
          <w:p>
            <w:pPr>
              <w:jc w:val="center"/>
              <w:ind w:right="3400"/>
              <w:spacing w:after="0"/>
              <w:rPr>
                <w:sz w:val="20"/>
                <w:szCs w:val="20"/>
                <w:color w:val="auto"/>
              </w:rPr>
            </w:pPr>
            <w:r>
              <w:rPr>
                <w:rFonts w:ascii="Arial" w:cs="Arial" w:eastAsia="Arial" w:hAnsi="Arial"/>
                <w:sz w:val="18"/>
                <w:szCs w:val="18"/>
                <w:i w:val="1"/>
                <w:iCs w:val="1"/>
                <w:color w:val="auto"/>
                <w:w w:val="88"/>
              </w:rPr>
              <w:t>Volume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i w:val="1"/>
                <w:i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2"/>
              </w:rPr>
              <w:t>(15,776)</w:t>
            </w:r>
          </w:p>
        </w:tc>
      </w:tr>
      <w:tr>
        <w:trPr>
          <w:trHeight w:val="216"/>
        </w:trPr>
        <w:tc>
          <w:tcPr>
            <w:tcW w:w="1440" w:type="dxa"/>
            <w:vAlign w:val="bottom"/>
          </w:tcPr>
          <w:p>
            <w:pPr>
              <w:spacing w:after="0"/>
              <w:rPr>
                <w:sz w:val="18"/>
                <w:szCs w:val="18"/>
                <w:color w:val="auto"/>
              </w:rPr>
            </w:pPr>
          </w:p>
        </w:tc>
        <w:tc>
          <w:tcPr>
            <w:tcW w:w="4460" w:type="dxa"/>
            <w:vAlign w:val="bottom"/>
            <w:gridSpan w:val="2"/>
            <w:shd w:val="clear" w:color="auto" w:fill="CCEEFF"/>
          </w:tcPr>
          <w:p>
            <w:pPr>
              <w:jc w:val="center"/>
              <w:ind w:right="3740"/>
              <w:spacing w:after="0"/>
              <w:rPr>
                <w:sz w:val="20"/>
                <w:szCs w:val="20"/>
                <w:color w:val="auto"/>
              </w:rPr>
            </w:pPr>
            <w:r>
              <w:rPr>
                <w:rFonts w:ascii="Arial" w:cs="Arial" w:eastAsia="Arial" w:hAnsi="Arial"/>
                <w:sz w:val="18"/>
                <w:szCs w:val="18"/>
                <w:i w:val="1"/>
                <w:iCs w:val="1"/>
                <w:color w:val="auto"/>
                <w:w w:val="99"/>
              </w:rPr>
              <w:t>Mix</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(1,764)</w:t>
            </w:r>
          </w:p>
        </w:tc>
      </w:tr>
      <w:tr>
        <w:trPr>
          <w:trHeight w:val="216"/>
        </w:trPr>
        <w:tc>
          <w:tcPr>
            <w:tcW w:w="1440" w:type="dxa"/>
            <w:vAlign w:val="bottom"/>
          </w:tcPr>
          <w:p>
            <w:pPr>
              <w:spacing w:after="0"/>
              <w:rPr>
                <w:sz w:val="18"/>
                <w:szCs w:val="18"/>
                <w:color w:val="auto"/>
              </w:rPr>
            </w:pPr>
          </w:p>
        </w:tc>
        <w:tc>
          <w:tcPr>
            <w:tcW w:w="4460" w:type="dxa"/>
            <w:vAlign w:val="bottom"/>
            <w:gridSpan w:val="2"/>
          </w:tcPr>
          <w:p>
            <w:pPr>
              <w:jc w:val="center"/>
              <w:ind w:right="3720"/>
              <w:spacing w:after="0"/>
              <w:rPr>
                <w:sz w:val="20"/>
                <w:szCs w:val="20"/>
                <w:color w:val="auto"/>
              </w:rPr>
            </w:pPr>
            <w:r>
              <w:rPr>
                <w:rFonts w:ascii="Arial" w:cs="Arial" w:eastAsia="Arial" w:hAnsi="Arial"/>
                <w:sz w:val="18"/>
                <w:szCs w:val="18"/>
                <w:i w:val="1"/>
                <w:iCs w:val="1"/>
                <w:color w:val="auto"/>
                <w:w w:val="92"/>
              </w:rPr>
              <w:t>Price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(102)</w:t>
            </w:r>
          </w:p>
        </w:tc>
      </w:tr>
      <w:tr>
        <w:trPr>
          <w:trHeight w:val="216"/>
        </w:trPr>
        <w:tc>
          <w:tcPr>
            <w:tcW w:w="1440" w:type="dxa"/>
            <w:vAlign w:val="bottom"/>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(3,464)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(4,240)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majority of the decrease was due to much lower U.S. automotive and industrial market demand experienced during 2009. In addition, sales were negatively impacted by de-stocking within the supply chain. Finally, the segment sales were impacted by a greater portion of lower-priced products.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reduced sales volume and related production inefficiencies and under-utilization of fixed production costs were the main causes of the segment loss in 2009. Planned cost reduction projects, net of inflation, and reductions in selling and administration cost partially offset the volume impacts. Additionally, the segment net loss was increased by $1.2 million as tax benefits from losses incurred in 2009 were not recognized due to valuation allowances being placed on the related deferred tax assets.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144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jc w:val="right"/>
              <w:ind w:right="130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144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(In Thousands of Dollars)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right"/>
              <w:ind w:right="14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9"/>
                <w:szCs w:val="19"/>
                <w:color w:val="auto"/>
              </w:rPr>
            </w:pPr>
          </w:p>
        </w:tc>
      </w:tr>
      <w:tr>
        <w:trPr>
          <w:trHeight w:val="216"/>
        </w:trPr>
        <w:tc>
          <w:tcPr>
            <w:tcW w:w="1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21,671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31,737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(10,066)</w:t>
            </w:r>
          </w:p>
        </w:tc>
        <w:tc>
          <w:tcPr>
            <w:tcW w:w="8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tcPr>
          <w:p>
            <w:pPr>
              <w:ind w:left="260"/>
              <w:spacing w:after="0"/>
              <w:rPr>
                <w:sz w:val="20"/>
                <w:szCs w:val="20"/>
                <w:color w:val="auto"/>
              </w:rPr>
            </w:pPr>
            <w:r>
              <w:rPr>
                <w:rFonts w:ascii="Arial" w:cs="Arial" w:eastAsia="Arial" w:hAnsi="Arial"/>
                <w:sz w:val="18"/>
                <w:szCs w:val="18"/>
                <w:i w:val="1"/>
                <w:iCs w:val="1"/>
                <w:color w:val="auto"/>
              </w:rPr>
              <w:t>Volume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(10,358)</w:t>
            </w: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i w:val="1"/>
                <w:iCs w:val="1"/>
                <w:color w:val="auto"/>
              </w:rPr>
              <w:t>Price/Mix</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292</w:t>
            </w:r>
          </w:p>
        </w:tc>
      </w:tr>
      <w:tr>
        <w:trPr>
          <w:trHeight w:val="216"/>
        </w:trPr>
        <w:tc>
          <w:tcPr>
            <w:tcW w:w="1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640" w:type="dxa"/>
            <w:vAlign w:val="bottom"/>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(2,543)</w:t>
            </w:r>
          </w:p>
        </w:tc>
        <w:tc>
          <w:tcPr>
            <w:tcW w:w="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volume reduction for this segment was also related to lower U.S. automotive and industrial end market demand and lower customer orders from supply chain de-stocking.</w:t>
      </w:r>
    </w:p>
    <w:p>
      <w:pPr>
        <w:spacing w:after="0" w:line="19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Segment net loss was negatively affected by the volume decreases and related costs from under-utilization of fixed production cost and manufacturing inefficiencies. Additionally, the segment net loss was increased by $0.8 million as tax benefits from losses incurred in 2009 were not recognized due to valuation allowances being placed on the related deferred tax assets.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December 31, 2008 to September 30, 2009, our total assets and current assets decreased $31.3 million and $23.2 million, respectively. The appreciation in the value of Euro denominated account balances relative to the U.S. Dollar caused total assets and current assets to increase approximately $6.5 million and $2.2 million, respectively, from December 31, 2008. Factoring out the foreign exchange effects, accounts receivable was lower by $4.6 million due to decreased sales volume in the third quarter 2009 from the fourth quarter 2008 and due to timing of certain customer payments. The net overdue receivables have fallen from approximately 12% of total accounts receivable at December 31, 2008 to approximately 7% of total accounts receivable at September 30, 2009 due exclusively to focused collection activity during 2009 to maximize cash flow and liquidity. Inventories were lower by $20.2 million from planned reductions in inventory levels in response to the reductions in sales volumes and to maximize cash flow and liquidity. Factoring out foreign exchange effects, property, plant and equipment decreased $11.7 million as year to date capital spending was lower than depreciation and a building with a net book value of $0.5 million was disposed of in the first quarter of 2009.</w:t>
      </w:r>
    </w:p>
    <w:p>
      <w:pPr>
        <w:spacing w:after="0" w:line="20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December 31, 2008 to September 30, 2009, our total liabilities decreased $3.5 million. The appreciation in the value of Euro denominated account balances relative to the U.S. Dollar caused total liabilities to increase approximately $2.4 million from December 31, 2008. Factoring out the foreign exchange effects, accounts payable was down $7.7 million due to much lower production and purchasing levels in response to the reduction in product demand in 2009 and due to timing of payments to certain vendors. This reduction was partially offset by the addition of the accrual for restructuring charges at our Veneendaal plant totaling $3.9 million.</w:t>
      </w:r>
    </w:p>
    <w:p>
      <w:pPr>
        <w:spacing w:after="0" w:line="21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negative $48.7 million at September 30, 2009 as compared to a positive $61.3 million at December 31, 2008. The ratio of current assets to current liabilities deceased from 1.97:1 at December 31, 2008 to 0.68:1 at September 30, 2009. The decrease in working capital was due primarily to reclassifying $93.6 million of previously classified long-term debt to current liabilities. (See Note 8 of the Notes to Consolidated Financial Statements). Excluding the current maturities of long-term debt and cash and cash equivalents, working capital decreased by $23.3 million due primarily to the $4.6 million decrease in accounts receivable balances and the $20.2 million decrease in inventory levels offset by the $7.7 million decrease in accounts payable (all discussed above).</w:t>
      </w:r>
    </w:p>
    <w:p>
      <w:pPr>
        <w:spacing w:after="0" w:line="19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Cash flow provided by operations year to date was $9.6 million for 2009 compared with cash flow provided by operations of $12.0 million for 2008. The unfavorable variance in cash flow provided by operations was due to the large loss incurred in 2009 from the approximately 45% reduction in sales volume. Partially offsetting this impact was the favorable effects from reducing net working capital in 2009 versus increasing net working capital in 2008. The working capital reductions, as discussed above, were in response to the approximately 45% reduction in sales volume and for the purpose of maintaining liquidity during the global recession.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outstanding under our $90.0 million credit facility and our $40.0 million senior notes as of September 30, 2009 were $65.5 million and $28.6 million, respectively. See Note 8 of the Notes to Consolidated Financial Statements. Effective June 30, 2009, an amendment was added to both the revolving credit facility and the senior note agreement to adjust the capital expenditure limit by excluding $0.9 million of capital projects funded by customer advances and to waive a technicality related to a weekly reporting requirement. We were in compliance with all covenants related to the amended and restated $90,000 credit facility and the amended and restated $40,000 senior notes as of September 30, 2009. We can provide no assurances we will be in compliance with the covenants for the remainder of 2009 and the first quarter of 2010. The specific covenants to which we are subject and our actual results compared to those covenants are disclosed in Note 8 of the Notes to Consolidated Financial Statements.</w:t>
      </w:r>
    </w:p>
    <w:p>
      <w:pPr>
        <w:spacing w:after="0" w:line="2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reclassified its long-term debt as a current liability as of June 30, 2009 primarily because certain of the financial covenants with the lenders are not yet defined for the period ending June 30, 2010 and thereafter. The credit agreements were amended in the first quarter of 2009 with a revised set of financial covenants as described below. At that time, due to the uncertainty in the economy and the global recession, the lenders defined certain of the covenants (i.e., the Capitalization Ratio, the Interest Coverage Ratio, and the Minimum EBITDA) for periods ending June 30, 2010 and after, to be determined in the sole discretion of the lenders, after consultation with the Company. Since the covenant levels are not yet known, the Company cannot be assured that it will be in compliance as of September 30, 2010. Additionally, the existing covenant levels provide limited leeway for unfavorable financial performance. Therefore, the debt will be shown as a current liability until such time as the definitive covenant levels are determined at a level consistent with our forecast. We expect covenants covering the remainder of 2010 through March 2011 to be set during the first quarter of 2010 prior to the filing of our annual report on Form 10-K.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ind w:right="60"/>
        <w:spacing w:after="0" w:line="270" w:lineRule="auto"/>
        <w:rPr>
          <w:sz w:val="20"/>
          <w:szCs w:val="20"/>
          <w:color w:val="auto"/>
        </w:rPr>
      </w:pPr>
      <w:r>
        <w:rPr>
          <w:rFonts w:ascii="Arial" w:cs="Arial" w:eastAsia="Arial" w:hAnsi="Arial"/>
          <w:sz w:val="17"/>
          <w:szCs w:val="17"/>
          <w:color w:val="auto"/>
        </w:rPr>
        <w:t>During the first quarter of 2009, we entered into an amended and restated $90,000 revolving credit facility maturing September 2011 with Key Bank as administrative agent. The amended agreement was entered into to conform the covenants to our then current outlook for the next twelve months in this difficult economic cycle. In addition to the reduction in availability (from $135,000 to $90,000), the interest rate will be LIBOR plus an applicable margin of 4.00%. The financial and non-financial covenants have been amended to relax certain financial covenants and the facility is now secured by assets of the Company in addition to pledges of stock of certain foreign and domestic subsidiaries and guarantees of certain domestic subsidiaries. Finally, the new agreement places greater restrictions on our usage of cash flows including prohibiting share repurchases, dividends and investments and/or acquisitions without the approval of credit facility participants and until such time as we meet certain earnings and financial covenant levels. We incurred $2,718 in debt issue costs during the nine months ended September 30, 2009 related to the amended and restated facility. In addition, $143 in unamortized debt issuance costs from the original facility were eliminated during the first quarter of 2009.</w:t>
      </w:r>
    </w:p>
    <w:p>
      <w:pPr>
        <w:spacing w:after="0" w:line="20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Additionally, during the first quarter of 2009, the senior note agreement was amended. The amended agreement was entered into to conform the covenants to our current outlook for the next twelve months in this difficult economic cycle. The term, principal balance, and principal payment schedule all remain the same as the original agreement. The interest rate was increased from 4.89% to 8.50%. In addition, the financial and non-financial covenants were amended and additional collateralization and restrictions on usage of cash flows were added to the agreement in line with the amended $90,000 revolving credit facility. We incurred $575 in debt issue cost during the first quarter of 2009 related to the amended facility. In addition, $461 in unamortized debt issuance costs from the original facility were eliminated during the first quarter of 2009.</w:t>
      </w:r>
    </w:p>
    <w:p>
      <w:pPr>
        <w:spacing w:after="0" w:line="2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relation to entering into the amended and restated credit agreements mentioned above, we forecasted reduced levels of revenue and cash flow based on our recent sales levels, current economic conditions, published economic forecasts and input from our major customers. These forecasts were used to set new financial and operating covenants in our amended credit facilities through March 31, 2010. However, further deterioration of market conditions and sales levels in excess of our forecasts for revenue and cash flow could result in the Company failing to meet these covenants which could cause a material adverse impact on our liquidity and financial position.</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though we have sufficient availability to borrow under our existing credit agreements at this time, we have experienced a significant loss of revenue and have sustained significant losses of income during the global economic recession that began to impact the Company in the fourth quarter of 2008 and is continuing as of the date of this report. As a result, we have sustained a significant weakening of our financial condition. Additionally, we are dependent on the continued provision of financing from our revolving credit lenders and our fixed rate lender in order to remain solvent. The lenders have set revised covenant levels that provide little flexibility in the case that our projections are not met (although at the date of this report we are in compliance with all such covenants). Furthermore, our lenders have not yet set covenant levels for quarters ending after March 31, 2010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20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Many of our locations use the Euro as their functional currency. In 2009, the fluctuation of the Euro against the U.S. Dollar unfavorably impacted revenue and increased the value of assets and liabilities. As of September 30, 2009, no currency hedges were in place. Changes in value of the U.S. Dollar and/or Euro against foreign currencies could impair our ability to compete with international competitors for foreign as well as domestic sales.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right="120"/>
        <w:spacing w:after="0" w:line="259" w:lineRule="auto"/>
        <w:rPr>
          <w:sz w:val="20"/>
          <w:szCs w:val="20"/>
          <w:color w:val="auto"/>
        </w:rPr>
      </w:pPr>
      <w:r>
        <w:rPr>
          <w:rFonts w:ascii="Arial" w:cs="Arial" w:eastAsia="Arial" w:hAnsi="Arial"/>
          <w:sz w:val="18"/>
          <w:szCs w:val="18"/>
          <w:color w:val="auto"/>
        </w:rPr>
        <w:t>We have spent the majority of planned capital expenditures for 2009 totaling $4.0 million as of September 30, 2009, of which $0.9 million was provided by customers to cover the start up of new product lines. As there can be no assurances due to liquidity issues discussed above, we believe that funds generated from operations, if any, and borrowings from the credit facilities will be sufficient to finance our working capital needs through March 2010 but there can be no guarantee that the lenders will fully fund the borrowings needed after March 31, 2010.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significant accounting policies, including the assumptions and judgments underlying them, are disclosed in our annual report on Form 10-K for the year ended December 31, 2008,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We cannot assure you that actual results will not significantly differ from the estimates used in these critical accounting policies. The only change during the nine month period ended September 30, 2009 was adoption of authoritative guidance related to accounting for non-financial assets and liabilities under fair value. The adoption had no effect on the financial statements for the three and nine month periods ended September 30, 2009.</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goodwill balance is tested for impairment on an annual basis during the fourth quarter and more often if circumstances require. During the three and nine month periods ended September 30, 2009, the financial impact from the global economic recession on the remaining reporting unit with a goodwill balance was consistent with the forecasted results used in testing for impairment at December 31, 2008. Thus, as of September 30, 2009, there are no further indications of impairment. However, depending on the severity and the longevity of the future impact of the global economic recession, we could have an impairment in goodwill at this reporting unit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18"/>
          <w:szCs w:val="18"/>
          <w:b w:val="1"/>
          <w:bCs w:val="1"/>
          <w:color w:val="auto"/>
        </w:rPr>
        <w:t>Quantitative and Qualitative Disclosures About Market Risk</w:t>
      </w:r>
    </w:p>
    <w:p>
      <w:pPr>
        <w:spacing w:after="0" w:line="2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2009, we had $65.5 million outstanding under our variable rate revolving credit facilities and $28.6 million fixed rate senior notes outstanding. See Note 8 of the Notes to Consolidated Financial Statements. At September 30, 2009, a one-percent increase in the interest rate charged on our outstanding variable rate borrowings would result in interest expense increasing annually by approximately $0.7 million.</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September 30, 2009.</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18"/>
          <w:szCs w:val="18"/>
          <w:b w:val="1"/>
          <w:bCs w:val="1"/>
          <w:color w:val="auto"/>
        </w:rPr>
        <w:t>Controls and Procedures</w:t>
      </w:r>
    </w:p>
    <w:p>
      <w:pPr>
        <w:spacing w:after="0" w:line="2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September 30, 2009, the end of the period covered by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There have been no changes in the fiscal quarter ended September 30, 2009 in our internal control over financial reporting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18"/>
          <w:szCs w:val="18"/>
          <w:b w:val="1"/>
          <w:bCs w:val="1"/>
          <w:color w:val="auto"/>
        </w:rPr>
        <w:t>Legal Proceedings</w:t>
      </w:r>
    </w:p>
    <w:p>
      <w:pPr>
        <w:spacing w:after="0" w:line="1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 However, we believe our contribution to the remediation of the site, if any, would be approximately 1.083% or less of the volume of waste sent to the facility and we assert that our waste was non-hazardous.</w:t>
      </w:r>
    </w:p>
    <w:p>
      <w:pPr>
        <w:spacing w:after="0" w:line="2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2008 under Item 1.A. “Risk Factors.” There have been no material changes to these risk factors since December 31, 2008 except for the “Potential for default on long-term debt; risk of insolvency” risk discussed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default on long-term debt; risk of insolvency</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experienced a significant loss of revenue and has sustained significant loss of income during the global economic recession that began to impact the Company in the fourth quarter of 2008 and is continuing as of the date of this report. As a result, the Company has sustained a significant weakening of its financial condition. Additionally, the Company is dependent on the continued provision of financing from its revolving credit lenders and its fixed rate lender in order to remain solvent. The lenders have set revised covenant levels that provide little flexibility in the case that the Company’s projections are not met. Furthermore, our lenders have not yet set covenant levels for the quarter ending June 30, 2010, and thereafter, and these covenants will be set at the discretion of the lenders. There is a substantial risk that if projections are not achieved, the lenders may not amend the credit agreements, which would accelerate the due date of the loans, putting the Company in default. We believe that it is unlikely that new lenders could be found to replace the existing lenders in case of an uncured default. In such situation, the Company would be technically insolvent and would need to seek a recapitalization of the Company. If such transaction could not be successfully completed, the Company would most likely have to file for protection under bankruptcy laws in the U.S. and other jurisdictions. Although management believes that fundamental business prospects for the Company are positive, there can be no assurance that the current financial projections can be met or that recapitalization could be achieved.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18"/>
          <w:szCs w:val="18"/>
          <w:b w:val="1"/>
          <w:bCs w:val="1"/>
          <w:color w:val="auto"/>
        </w:rPr>
        <w:t>Unregistered Sales of Equity Securities and Use of Proceeds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18"/>
          <w:szCs w:val="18"/>
          <w:b w:val="1"/>
          <w:bCs w:val="1"/>
          <w:color w:val="auto"/>
        </w:rPr>
        <w:t>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18"/>
          <w:szCs w:val="18"/>
          <w:b w:val="1"/>
          <w:bCs w:val="1"/>
          <w:color w:val="auto"/>
        </w:rPr>
        <w:t>Submission of Matters to a Vote of Security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40" w:lineRule="exact"/>
        <w:rPr>
          <w:sz w:val="20"/>
          <w:szCs w:val="20"/>
          <w:color w:val="auto"/>
        </w:rPr>
      </w:pPr>
    </w:p>
    <w:p>
      <w:pPr>
        <w:ind w:left="68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Rules 13a-14(a) and 15d-14(a) under the Securities Exchange Act of 1934, as amended.</w:t>
      </w:r>
    </w:p>
    <w:p>
      <w:pPr>
        <w:spacing w:after="0" w:line="252" w:lineRule="exact"/>
        <w:rPr>
          <w:sz w:val="20"/>
          <w:szCs w:val="20"/>
          <w:color w:val="auto"/>
        </w:rPr>
      </w:pPr>
    </w:p>
    <w:p>
      <w:pPr>
        <w:ind w:left="68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Sarbanes-Oxley Act.</w:t>
      </w:r>
    </w:p>
    <w:p>
      <w:pPr>
        <w:spacing w:after="0" w:line="24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6"/>
          <w:szCs w:val="16"/>
          <w:color w:val="auto"/>
        </w:rPr>
        <w:t>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NN, Inc.</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4840" w:type="dxa"/>
            <w:vAlign w:val="bottom"/>
            <w:gridSpan w:val="5"/>
            <w:vMerge w:val="restart"/>
          </w:tcPr>
          <w:p>
            <w:pPr>
              <w:ind w:left="160"/>
              <w:spacing w:after="0"/>
              <w:rPr>
                <w:sz w:val="20"/>
                <w:szCs w:val="20"/>
                <w:color w:val="auto"/>
              </w:rPr>
            </w:pPr>
            <w:r>
              <w:rPr>
                <w:rFonts w:ascii="Arial" w:cs="Arial" w:eastAsia="Arial" w:hAnsi="Arial"/>
                <w:sz w:val="18"/>
                <w:szCs w:val="18"/>
                <w:color w:val="auto"/>
              </w:rPr>
              <w:t>(Registrant)</w:t>
            </w:r>
          </w:p>
        </w:tc>
        <w:tc>
          <w:tcPr>
            <w:tcW w:w="6020" w:type="dxa"/>
            <w:vAlign w:val="bottom"/>
            <w:gridSpan w:val="5"/>
          </w:tcPr>
          <w:p>
            <w:pPr>
              <w:jc w:val="right"/>
              <w:ind w:right="720"/>
              <w:spacing w:after="0"/>
              <w:rPr>
                <w:sz w:val="20"/>
                <w:szCs w:val="20"/>
                <w:color w:val="auto"/>
              </w:rPr>
            </w:pPr>
            <w:r>
              <w:rPr>
                <w:rFonts w:ascii="Arial" w:cs="Arial" w:eastAsia="Arial" w:hAnsi="Arial"/>
                <w:sz w:val="22"/>
                <w:szCs w:val="22"/>
                <w:color w:val="auto"/>
              </w:rPr>
              <w:t>___________________________________</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840" w:type="dxa"/>
            <w:vAlign w:val="bottom"/>
            <w:gridSpan w:val="5"/>
            <w:vMerge w:val="continue"/>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November 5, 2009</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Roderick R. Baty</w:t>
            </w:r>
          </w:p>
        </w:tc>
        <w:tc>
          <w:tcPr>
            <w:tcW w:w="2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vMerge w:val="restart"/>
          </w:tcPr>
          <w:p>
            <w:pPr>
              <w:ind w:left="300"/>
              <w:spacing w:after="0"/>
              <w:rPr>
                <w:sz w:val="20"/>
                <w:szCs w:val="20"/>
                <w:color w:val="auto"/>
              </w:rPr>
            </w:pPr>
            <w:r>
              <w:rPr>
                <w:rFonts w:ascii="Arial" w:cs="Arial" w:eastAsia="Arial" w:hAnsi="Arial"/>
                <w:sz w:val="18"/>
                <w:szCs w:val="18"/>
                <w:color w:val="auto"/>
              </w:rPr>
              <w:t>Chairman, President and Chief Executive Officer</w:t>
            </w:r>
          </w:p>
        </w:tc>
        <w:tc>
          <w:tcPr>
            <w:tcW w:w="660" w:type="dxa"/>
            <w:vAlign w:val="bottom"/>
          </w:tcPr>
          <w:p>
            <w:pPr>
              <w:spacing w:after="0"/>
              <w:rPr>
                <w:sz w:val="20"/>
                <w:szCs w:val="20"/>
                <w:color w:val="auto"/>
              </w:rPr>
            </w:pPr>
          </w:p>
        </w:tc>
        <w:tc>
          <w:tcPr>
            <w:tcW w:w="5360" w:type="dxa"/>
            <w:vAlign w:val="bottom"/>
            <w:gridSpan w:val="4"/>
          </w:tcPr>
          <w:p>
            <w:pPr>
              <w:ind w:left="1040"/>
              <w:spacing w:after="0"/>
              <w:rPr>
                <w:sz w:val="20"/>
                <w:szCs w:val="20"/>
                <w:color w:val="auto"/>
              </w:rPr>
            </w:pPr>
            <w:r>
              <w:rPr>
                <w:rFonts w:ascii="Arial" w:cs="Arial" w:eastAsia="Arial" w:hAnsi="Arial"/>
                <w:sz w:val="18"/>
                <w:szCs w:val="18"/>
                <w:color w:val="auto"/>
              </w:rPr>
              <w:t>Roderick R. Baty,</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(Duly Authorized Officer)</w:t>
            </w:r>
          </w:p>
        </w:tc>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November 5, 2009</w:t>
            </w:r>
          </w:p>
        </w:tc>
        <w:tc>
          <w:tcPr>
            <w:tcW w:w="29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c>
          <w:tcPr>
            <w:tcW w:w="2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vMerge w:val="restart"/>
          </w:tcPr>
          <w:p>
            <w:pPr>
              <w:ind w:left="1060"/>
              <w:spacing w:after="0"/>
              <w:rPr>
                <w:sz w:val="20"/>
                <w:szCs w:val="20"/>
                <w:color w:val="auto"/>
              </w:rPr>
            </w:pPr>
            <w:r>
              <w:rPr>
                <w:rFonts w:ascii="Arial" w:cs="Arial" w:eastAsia="Arial" w:hAnsi="Arial"/>
                <w:sz w:val="18"/>
                <w:szCs w:val="18"/>
                <w:color w:val="auto"/>
                <w:w w:val="96"/>
              </w:rPr>
              <w:t>Vice President – Corporate Development and</w:t>
            </w:r>
          </w:p>
        </w:tc>
        <w:tc>
          <w:tcPr>
            <w:tcW w:w="660" w:type="dxa"/>
            <w:vAlign w:val="bottom"/>
          </w:tcPr>
          <w:p>
            <w:pPr>
              <w:spacing w:after="0"/>
              <w:rPr>
                <w:sz w:val="20"/>
                <w:szCs w:val="20"/>
                <w:color w:val="auto"/>
              </w:rPr>
            </w:pPr>
          </w:p>
        </w:tc>
        <w:tc>
          <w:tcPr>
            <w:tcW w:w="5360" w:type="dxa"/>
            <w:vAlign w:val="bottom"/>
            <w:gridSpan w:val="4"/>
          </w:tcPr>
          <w:p>
            <w:pPr>
              <w:ind w:left="160"/>
              <w:spacing w:after="0"/>
              <w:rPr>
                <w:sz w:val="20"/>
                <w:szCs w:val="20"/>
                <w:color w:val="auto"/>
              </w:rPr>
            </w:pPr>
            <w:r>
              <w:rPr>
                <w:rFonts w:ascii="Arial" w:cs="Arial" w:eastAsia="Arial" w:hAnsi="Arial"/>
                <w:sz w:val="18"/>
                <w:szCs w:val="18"/>
                <w:color w:val="auto"/>
              </w:rPr>
              <w:t>James H. Dorton</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w:t>
            </w:r>
          </w:p>
        </w:tc>
        <w:tc>
          <w:tcPr>
            <w:tcW w:w="660" w:type="dxa"/>
            <w:vAlign w:val="bottom"/>
          </w:tcPr>
          <w:p>
            <w:pPr>
              <w:spacing w:after="0"/>
              <w:rPr>
                <w:sz w:val="20"/>
                <w:szCs w:val="20"/>
                <w:color w:val="auto"/>
              </w:rPr>
            </w:pPr>
          </w:p>
        </w:tc>
        <w:tc>
          <w:tcPr>
            <w:tcW w:w="5360" w:type="dxa"/>
            <w:vAlign w:val="bottom"/>
            <w:gridSpan w:val="4"/>
            <w:vMerge w:val="restart"/>
          </w:tcPr>
          <w:p>
            <w:pPr>
              <w:ind w:left="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gridSpan w:val="3"/>
            <w:vMerge w:val="restart"/>
          </w:tcPr>
          <w:p>
            <w:pPr>
              <w:ind w:left="300"/>
              <w:spacing w:after="0"/>
              <w:rPr>
                <w:sz w:val="20"/>
                <w:szCs w:val="20"/>
                <w:color w:val="auto"/>
              </w:rPr>
            </w:pPr>
            <w:r>
              <w:rPr>
                <w:rFonts w:ascii="Arial" w:cs="Arial" w:eastAsia="Arial" w:hAnsi="Arial"/>
                <w:sz w:val="18"/>
                <w:szCs w:val="18"/>
                <w:color w:val="auto"/>
              </w:rPr>
              <w:t>(Duly Authorized Officer)</w:t>
            </w:r>
          </w:p>
        </w:tc>
        <w:tc>
          <w:tcPr>
            <w:tcW w:w="660" w:type="dxa"/>
            <w:vAlign w:val="bottom"/>
          </w:tcPr>
          <w:p>
            <w:pPr>
              <w:spacing w:after="0"/>
              <w:rPr>
                <w:sz w:val="18"/>
                <w:szCs w:val="18"/>
                <w:color w:val="auto"/>
              </w:rPr>
            </w:pPr>
          </w:p>
        </w:tc>
        <w:tc>
          <w:tcPr>
            <w:tcW w:w="5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6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November 5, 2009</w:t>
            </w: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C. Kelly, Jr.</w:t>
            </w:r>
          </w:p>
        </w:tc>
        <w:tc>
          <w:tcPr>
            <w:tcW w:w="2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360" w:type="dxa"/>
            <w:vAlign w:val="bottom"/>
            <w:gridSpan w:val="4"/>
          </w:tcPr>
          <w:p>
            <w:pPr>
              <w:ind w:left="160"/>
              <w:spacing w:after="0"/>
              <w:rPr>
                <w:sz w:val="20"/>
                <w:szCs w:val="20"/>
                <w:color w:val="auto"/>
              </w:rPr>
            </w:pPr>
            <w:r>
              <w:rPr>
                <w:rFonts w:ascii="Arial" w:cs="Arial" w:eastAsia="Arial" w:hAnsi="Arial"/>
                <w:sz w:val="18"/>
                <w:szCs w:val="18"/>
                <w:color w:val="auto"/>
              </w:rPr>
              <w:t>William C. Kelly, Jr.,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vMerge w:val="restart"/>
          </w:tcPr>
          <w:p>
            <w:pPr>
              <w:ind w:left="340"/>
              <w:spacing w:after="0"/>
              <w:rPr>
                <w:sz w:val="20"/>
                <w:szCs w:val="20"/>
                <w:color w:val="auto"/>
              </w:rPr>
            </w:pPr>
            <w:r>
              <w:rPr>
                <w:rFonts w:ascii="Arial" w:cs="Arial" w:eastAsia="Arial" w:hAnsi="Arial"/>
                <w:sz w:val="18"/>
                <w:szCs w:val="18"/>
                <w:color w:val="auto"/>
              </w:rPr>
              <w:t>Chief Administrative Officer</w:t>
            </w:r>
          </w:p>
        </w:tc>
        <w:tc>
          <w:tcPr>
            <w:tcW w:w="660" w:type="dxa"/>
            <w:vAlign w:val="bottom"/>
          </w:tcPr>
          <w:p>
            <w:pPr>
              <w:spacing w:after="0"/>
              <w:rPr>
                <w:sz w:val="20"/>
                <w:szCs w:val="20"/>
                <w:color w:val="auto"/>
              </w:rPr>
            </w:pPr>
          </w:p>
        </w:tc>
        <w:tc>
          <w:tcPr>
            <w:tcW w:w="5360" w:type="dxa"/>
            <w:vAlign w:val="bottom"/>
            <w:gridSpan w:val="4"/>
          </w:tcPr>
          <w:p>
            <w:pPr>
              <w:ind w:left="160"/>
              <w:spacing w:after="0"/>
              <w:rPr>
                <w:sz w:val="20"/>
                <w:szCs w:val="20"/>
                <w:color w:val="auto"/>
              </w:rPr>
            </w:pPr>
            <w:r>
              <w:rPr>
                <w:rFonts w:ascii="Arial" w:cs="Arial" w:eastAsia="Arial" w:hAnsi="Arial"/>
                <w:sz w:val="18"/>
                <w:szCs w:val="18"/>
                <w:color w:val="auto"/>
              </w:rPr>
              <w:t>Vice President and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300"/>
              <w:spacing w:after="0"/>
              <w:rPr>
                <w:sz w:val="20"/>
                <w:szCs w:val="20"/>
                <w:color w:val="auto"/>
              </w:rPr>
            </w:pPr>
            <w:r>
              <w:rPr>
                <w:rFonts w:ascii="Arial" w:cs="Arial" w:eastAsia="Arial" w:hAnsi="Arial"/>
                <w:sz w:val="18"/>
                <w:szCs w:val="18"/>
                <w:color w:val="auto"/>
              </w:rPr>
              <w:t>(Duly Authorized Officer)</w:t>
            </w:r>
          </w:p>
        </w:tc>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November 5, 2009</w:t>
            </w:r>
          </w:p>
        </w:tc>
        <w:tc>
          <w:tcPr>
            <w:tcW w:w="29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3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C. Burwell, Jr.</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vMerge w:val="restart"/>
          </w:tcPr>
          <w:p>
            <w:pPr>
              <w:ind w:left="300"/>
              <w:spacing w:after="0"/>
              <w:rPr>
                <w:sz w:val="20"/>
                <w:szCs w:val="20"/>
                <w:color w:val="auto"/>
              </w:rPr>
            </w:pPr>
            <w:r>
              <w:rPr>
                <w:rFonts w:ascii="Arial" w:cs="Arial" w:eastAsia="Arial" w:hAnsi="Arial"/>
                <w:sz w:val="18"/>
                <w:szCs w:val="18"/>
                <w:color w:val="auto"/>
              </w:rPr>
              <w:t>Corporate Controller</w:t>
            </w:r>
          </w:p>
        </w:tc>
        <w:tc>
          <w:tcPr>
            <w:tcW w:w="660" w:type="dxa"/>
            <w:vAlign w:val="bottom"/>
          </w:tcPr>
          <w:p>
            <w:pPr>
              <w:spacing w:after="0"/>
              <w:rPr>
                <w:sz w:val="20"/>
                <w:szCs w:val="20"/>
                <w:color w:val="auto"/>
              </w:rPr>
            </w:pPr>
          </w:p>
        </w:tc>
        <w:tc>
          <w:tcPr>
            <w:tcW w:w="5360" w:type="dxa"/>
            <w:vAlign w:val="bottom"/>
            <w:gridSpan w:val="4"/>
          </w:tcPr>
          <w:p>
            <w:pPr>
              <w:ind w:left="100"/>
              <w:spacing w:after="0"/>
              <w:rPr>
                <w:sz w:val="20"/>
                <w:szCs w:val="20"/>
                <w:color w:val="auto"/>
              </w:rPr>
            </w:pPr>
            <w:r>
              <w:rPr>
                <w:rFonts w:ascii="Arial" w:cs="Arial" w:eastAsia="Arial" w:hAnsi="Arial"/>
                <w:sz w:val="18"/>
                <w:szCs w:val="18"/>
                <w:color w:val="auto"/>
              </w:rPr>
              <w:t>Thomas C. Burwell, Jr.</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(Principal Accounting Officer)</w:t>
            </w:r>
          </w:p>
        </w:tc>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1"/>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jc w:val="right"/>
              <w:ind w:right="161"/>
              <w:spacing w:after="0"/>
              <w:rPr>
                <w:sz w:val="20"/>
                <w:szCs w:val="20"/>
                <w:color w:val="auto"/>
              </w:rPr>
            </w:pPr>
            <w:r>
              <w:rPr>
                <w:rFonts w:ascii="Arial" w:cs="Arial" w:eastAsia="Arial" w:hAnsi="Arial"/>
                <w:sz w:val="18"/>
                <w:szCs w:val="18"/>
                <w:color w:val="auto"/>
              </w:rPr>
              <w:t>28</w:t>
            </w: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0540"/>
        <w:spacing w:after="0"/>
        <w:rPr>
          <w:sz w:val="20"/>
          <w:szCs w:val="20"/>
          <w:color w:val="auto"/>
        </w:rPr>
      </w:pPr>
      <w:r>
        <w:rPr>
          <w:rFonts w:ascii="Arial" w:cs="Arial" w:eastAsia="Arial" w:hAnsi="Arial"/>
          <w:sz w:val="16"/>
          <w:szCs w:val="16"/>
          <w:color w:val="auto"/>
        </w:rPr>
        <w:t>Exhibit 31.1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52" w:lineRule="exact"/>
        <w:rPr>
          <w:sz w:val="20"/>
          <w:szCs w:val="20"/>
          <w:color w:val="auto"/>
        </w:rPr>
      </w:pPr>
    </w:p>
    <w:p>
      <w:pPr>
        <w:ind w:left="340" w:hanging="24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660" w:type="dxa"/>
            <w:vAlign w:val="bottom"/>
            <w:gridSpan w:val="3"/>
          </w:tcPr>
          <w:p>
            <w:pPr>
              <w:ind w:left="260"/>
              <w:spacing w:after="0"/>
              <w:rPr>
                <w:sz w:val="20"/>
                <w:szCs w:val="20"/>
                <w:color w:val="auto"/>
              </w:rPr>
            </w:pPr>
            <w:r>
              <w:rPr>
                <w:rFonts w:ascii="Arial" w:cs="Arial" w:eastAsia="Arial" w:hAnsi="Arial"/>
                <w:sz w:val="18"/>
                <w:szCs w:val="18"/>
                <w:color w:val="auto"/>
              </w:rPr>
              <w:t>November 5, 2009</w:t>
            </w:r>
          </w:p>
        </w:tc>
        <w:tc>
          <w:tcPr>
            <w:tcW w:w="2220" w:type="dxa"/>
            <w:vAlign w:val="bottom"/>
          </w:tcPr>
          <w:p>
            <w:pPr>
              <w:spacing w:after="0"/>
              <w:rPr>
                <w:sz w:val="18"/>
                <w:szCs w:val="18"/>
                <w:color w:val="auto"/>
              </w:rPr>
            </w:pPr>
          </w:p>
        </w:tc>
        <w:tc>
          <w:tcPr>
            <w:tcW w:w="3380" w:type="dxa"/>
            <w:vAlign w:val="bottom"/>
            <w:gridSpan w:val="2"/>
          </w:tcPr>
          <w:p>
            <w:pPr>
              <w:ind w:left="80"/>
              <w:spacing w:after="0"/>
              <w:rPr>
                <w:sz w:val="20"/>
                <w:szCs w:val="20"/>
                <w:color w:val="auto"/>
              </w:rPr>
            </w:pPr>
            <w:r>
              <w:rPr>
                <w:rFonts w:ascii="Arial" w:cs="Arial" w:eastAsia="Arial" w:hAnsi="Arial"/>
                <w:sz w:val="18"/>
                <w:szCs w:val="18"/>
                <w:color w:val="auto"/>
              </w:rPr>
              <w:t>/s/ Roderick R. Baty</w:t>
            </w: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2"/>
        </w:trPr>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00" w:type="dxa"/>
            <w:vAlign w:val="bottom"/>
            <w:gridSpan w:val="3"/>
          </w:tcPr>
          <w:p>
            <w:pPr>
              <w:ind w:left="2080"/>
              <w:spacing w:after="0"/>
              <w:rPr>
                <w:sz w:val="20"/>
                <w:szCs w:val="20"/>
                <w:color w:val="auto"/>
              </w:rPr>
            </w:pPr>
            <w:r>
              <w:rPr>
                <w:rFonts w:ascii="Arial" w:cs="Arial" w:eastAsia="Arial" w:hAnsi="Arial"/>
                <w:sz w:val="18"/>
                <w:szCs w:val="18"/>
                <w:color w:val="auto"/>
              </w:rPr>
              <w:t>Roderick R. Baty</w:t>
            </w:r>
          </w:p>
        </w:tc>
      </w:tr>
      <w:tr>
        <w:trPr>
          <w:trHeight w:val="230"/>
        </w:trPr>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00" w:type="dxa"/>
            <w:vAlign w:val="bottom"/>
            <w:gridSpan w:val="3"/>
          </w:tcPr>
          <w:p>
            <w:pPr>
              <w:ind w:left="2040"/>
              <w:spacing w:after="0"/>
              <w:rPr>
                <w:sz w:val="20"/>
                <w:szCs w:val="20"/>
                <w:color w:val="auto"/>
              </w:rPr>
            </w:pPr>
            <w:r>
              <w:rPr>
                <w:rFonts w:ascii="Arial" w:cs="Arial" w:eastAsia="Arial" w:hAnsi="Arial"/>
                <w:sz w:val="18"/>
                <w:szCs w:val="18"/>
                <w:color w:val="auto"/>
                <w:w w:val="91"/>
              </w:rPr>
              <w:t>Chairman, President and Chief Executive Officer</w:t>
            </w:r>
          </w:p>
        </w:tc>
      </w:tr>
    </w:tbl>
    <w:p>
      <w:pPr>
        <w:sectPr>
          <w:pgSz w:w="11900" w:h="16838" w:orient="portrait"/>
          <w:cols w:equalWidth="0" w:num="1">
            <w:col w:w="11420"/>
          </w:cols>
          <w:pgMar w:left="240" w:top="368" w:right="239" w:bottom="1440" w:gutter="0" w:footer="0" w:header="0"/>
        </w:sectPr>
      </w:pPr>
    </w:p>
    <w:bookmarkStart w:id="31" w:name="page32"/>
    <w:bookmarkEnd w:id="31"/>
    <w:p>
      <w:pPr>
        <w:ind w:left="10540"/>
        <w:spacing w:after="0"/>
        <w:rPr>
          <w:sz w:val="20"/>
          <w:szCs w:val="20"/>
          <w:color w:val="auto"/>
        </w:rPr>
      </w:pPr>
      <w:r>
        <w:rPr>
          <w:rFonts w:ascii="Arial" w:cs="Arial" w:eastAsia="Arial" w:hAnsi="Arial"/>
          <w:sz w:val="16"/>
          <w:szCs w:val="16"/>
          <w:color w:val="auto"/>
        </w:rPr>
        <w:t>Exhibit 31.2</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52" w:lineRule="exact"/>
        <w:rPr>
          <w:sz w:val="20"/>
          <w:szCs w:val="20"/>
          <w:color w:val="auto"/>
        </w:rPr>
      </w:pPr>
    </w:p>
    <w:p>
      <w:pPr>
        <w:ind w:left="340" w:hanging="24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52" w:lineRule="exact"/>
        <w:rPr>
          <w:rFonts w:ascii="Arial" w:cs="Arial" w:eastAsia="Arial" w:hAnsi="Arial"/>
          <w:sz w:val="18"/>
          <w:szCs w:val="18"/>
          <w:color w:val="auto"/>
        </w:rPr>
      </w:pPr>
    </w:p>
    <w:p>
      <w:pPr>
        <w:ind w:left="340" w:hanging="248"/>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48"/>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234"/>
        <w:spacing w:after="0" w:line="308" w:lineRule="auto"/>
        <w:tabs>
          <w:tab w:leader="none" w:pos="66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244"/>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48"/>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23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Date: November 5, 2009</w:t>
            </w:r>
          </w:p>
        </w:tc>
        <w:tc>
          <w:tcPr>
            <w:tcW w:w="22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/s/ James H. Dorton</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22"/>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100" w:type="dxa"/>
            <w:vAlign w:val="bottom"/>
            <w:gridSpan w:val="3"/>
          </w:tcPr>
          <w:p>
            <w:pPr>
              <w:ind w:left="2120"/>
              <w:spacing w:after="0"/>
              <w:rPr>
                <w:sz w:val="20"/>
                <w:szCs w:val="20"/>
                <w:color w:val="auto"/>
              </w:rPr>
            </w:pPr>
            <w:r>
              <w:rPr>
                <w:rFonts w:ascii="Arial" w:cs="Arial" w:eastAsia="Arial" w:hAnsi="Arial"/>
                <w:sz w:val="18"/>
                <w:szCs w:val="18"/>
                <w:color w:val="auto"/>
              </w:rPr>
              <w:t>James H. Dorton</w:t>
            </w:r>
          </w:p>
        </w:tc>
      </w:tr>
      <w:tr>
        <w:trPr>
          <w:trHeight w:val="230"/>
        </w:trPr>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100" w:type="dxa"/>
            <w:vAlign w:val="bottom"/>
            <w:gridSpan w:val="3"/>
          </w:tcPr>
          <w:p>
            <w:pPr>
              <w:ind w:left="2120"/>
              <w:spacing w:after="0"/>
              <w:rPr>
                <w:sz w:val="20"/>
                <w:szCs w:val="20"/>
                <w:color w:val="auto"/>
              </w:rPr>
            </w:pPr>
            <w:r>
              <w:rPr>
                <w:rFonts w:ascii="Arial" w:cs="Arial" w:eastAsia="Arial" w:hAnsi="Arial"/>
                <w:sz w:val="18"/>
                <w:szCs w:val="18"/>
                <w:color w:val="auto"/>
                <w:w w:val="91"/>
              </w:rPr>
              <w:t>Vice President – Corporate Development and Chief Financial Officer</w:t>
            </w:r>
          </w:p>
        </w:tc>
      </w:tr>
    </w:tbl>
    <w:p>
      <w:pPr>
        <w:sectPr>
          <w:pgSz w:w="11900" w:h="16838" w:orient="portrait"/>
          <w:cols w:equalWidth="0" w:num="1">
            <w:col w:w="11420"/>
          </w:cols>
          <w:pgMar w:left="240" w:top="368"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gridSpan w:val="3"/>
          </w:tcPr>
          <w:p>
            <w:pPr>
              <w:spacing w:after="0"/>
              <w:rPr>
                <w:sz w:val="20"/>
                <w:szCs w:val="20"/>
                <w:color w:val="auto"/>
              </w:rPr>
            </w:pPr>
            <w:r>
              <w:rPr>
                <w:rFonts w:ascii="Arial" w:cs="Arial" w:eastAsia="Arial" w:hAnsi="Arial"/>
                <w:sz w:val="18"/>
                <w:szCs w:val="18"/>
                <w:color w:val="auto"/>
              </w:rPr>
              <w:t>Date: November 5, 2009</w:t>
            </w:r>
          </w:p>
        </w:tc>
        <w:tc>
          <w:tcPr>
            <w:tcW w:w="4360" w:type="dxa"/>
            <w:vAlign w:val="bottom"/>
            <w:gridSpan w:val="2"/>
          </w:tcPr>
          <w:p>
            <w:pPr>
              <w:ind w:left="2080"/>
              <w:spacing w:after="0"/>
              <w:rPr>
                <w:sz w:val="20"/>
                <w:szCs w:val="20"/>
                <w:color w:val="auto"/>
              </w:rPr>
            </w:pPr>
            <w:r>
              <w:rPr>
                <w:rFonts w:ascii="Arial" w:cs="Arial" w:eastAsia="Arial" w:hAnsi="Arial"/>
                <w:sz w:val="18"/>
                <w:szCs w:val="18"/>
                <w:color w:val="auto"/>
              </w:rPr>
              <w:t>/s/ Roderick R. Baty</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22"/>
        </w:trPr>
        <w:tc>
          <w:tcPr>
            <w:tcW w:w="4300" w:type="dxa"/>
            <w:vAlign w:val="bottom"/>
            <w:gridSpan w:val="3"/>
          </w:tcPr>
          <w:p>
            <w:pPr>
              <w:spacing w:after="0"/>
              <w:rPr>
                <w:sz w:val="20"/>
                <w:szCs w:val="20"/>
                <w:color w:val="auto"/>
              </w:rPr>
            </w:pPr>
            <w:r>
              <w:rPr>
                <w:rFonts w:ascii="Arial" w:cs="Arial" w:eastAsia="Arial" w:hAnsi="Arial"/>
                <w:sz w:val="18"/>
                <w:szCs w:val="18"/>
                <w:color w:val="auto"/>
              </w:rPr>
              <w:t>Roderick R. Baty</w:t>
            </w:r>
          </w:p>
        </w:tc>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4300" w:type="dxa"/>
            <w:vAlign w:val="bottom"/>
            <w:gridSpan w:val="3"/>
          </w:tcPr>
          <w:p>
            <w:pPr>
              <w:spacing w:after="0"/>
              <w:rPr>
                <w:sz w:val="20"/>
                <w:szCs w:val="20"/>
                <w:color w:val="auto"/>
              </w:rPr>
            </w:pPr>
            <w:r>
              <w:rPr>
                <w:rFonts w:ascii="Arial" w:cs="Arial" w:eastAsia="Arial" w:hAnsi="Arial"/>
                <w:sz w:val="18"/>
                <w:szCs w:val="18"/>
                <w:color w:val="auto"/>
              </w:rPr>
              <w:t>Chairman, President and Chief</w:t>
            </w:r>
          </w:p>
        </w:tc>
        <w:tc>
          <w:tcPr>
            <w:tcW w:w="20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Executive Officer</w:t>
            </w:r>
          </w:p>
        </w:tc>
        <w:tc>
          <w:tcPr>
            <w:tcW w:w="208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0" w:lineRule="exact"/>
        <w:rPr>
          <w:sz w:val="20"/>
          <w:szCs w:val="20"/>
          <w:color w:val="auto"/>
        </w:rPr>
      </w:pPr>
    </w:p>
    <w:p>
      <w:pPr>
        <w:spacing w:after="0" w:line="2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6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September 30, 2009,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3"/>
          </w:tcPr>
          <w:p>
            <w:pPr>
              <w:spacing w:after="0"/>
              <w:rPr>
                <w:sz w:val="20"/>
                <w:szCs w:val="20"/>
                <w:color w:val="auto"/>
              </w:rPr>
            </w:pPr>
            <w:r>
              <w:rPr>
                <w:rFonts w:ascii="Arial" w:cs="Arial" w:eastAsia="Arial" w:hAnsi="Arial"/>
                <w:sz w:val="18"/>
                <w:szCs w:val="18"/>
                <w:color w:val="auto"/>
              </w:rPr>
              <w:t>Date: November 5, 2009</w:t>
            </w:r>
          </w:p>
        </w:tc>
        <w:tc>
          <w:tcPr>
            <w:tcW w:w="4900" w:type="dxa"/>
            <w:vAlign w:val="bottom"/>
            <w:gridSpan w:val="3"/>
          </w:tcPr>
          <w:p>
            <w:pPr>
              <w:jc w:val="center"/>
              <w:ind w:left="2510"/>
              <w:spacing w:after="0"/>
              <w:rPr>
                <w:sz w:val="20"/>
                <w:szCs w:val="20"/>
                <w:color w:val="auto"/>
              </w:rPr>
            </w:pPr>
            <w:r>
              <w:rPr>
                <w:rFonts w:ascii="Arial" w:cs="Arial" w:eastAsia="Arial" w:hAnsi="Arial"/>
                <w:sz w:val="18"/>
                <w:szCs w:val="18"/>
                <w:color w:val="auto"/>
                <w:w w:val="89"/>
              </w:rPr>
              <w:t>/s/ James H. Dorton</w:t>
            </w:r>
          </w:p>
        </w:tc>
      </w:tr>
      <w:tr>
        <w:trPr>
          <w:trHeight w:val="222"/>
        </w:trPr>
        <w:tc>
          <w:tcPr>
            <w:tcW w:w="44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James H. Dorton</w:t>
            </w:r>
          </w:p>
        </w:tc>
        <w:tc>
          <w:tcPr>
            <w:tcW w:w="4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00" w:type="dxa"/>
            <w:vAlign w:val="bottom"/>
            <w:gridSpan w:val="3"/>
          </w:tcPr>
          <w:p>
            <w:pPr>
              <w:ind w:left="840"/>
              <w:spacing w:after="0"/>
              <w:rPr>
                <w:sz w:val="20"/>
                <w:szCs w:val="20"/>
                <w:color w:val="auto"/>
              </w:rPr>
            </w:pPr>
            <w:r>
              <w:rPr>
                <w:rFonts w:ascii="Arial" w:cs="Arial" w:eastAsia="Arial" w:hAnsi="Arial"/>
                <w:sz w:val="18"/>
                <w:szCs w:val="18"/>
                <w:color w:val="auto"/>
              </w:rPr>
              <w:t>Vice President – Corporate Development</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00" w:type="dxa"/>
            <w:vAlign w:val="bottom"/>
            <w:gridSpan w:val="3"/>
          </w:tcPr>
          <w:p>
            <w:pPr>
              <w:ind w:left="2920"/>
              <w:spacing w:after="0"/>
              <w:rPr>
                <w:sz w:val="20"/>
                <w:szCs w:val="20"/>
                <w:color w:val="auto"/>
              </w:rPr>
            </w:pPr>
            <w:r>
              <w:rPr>
                <w:rFonts w:ascii="Arial" w:cs="Arial" w:eastAsia="Arial" w:hAnsi="Arial"/>
                <w:sz w:val="18"/>
                <w:szCs w:val="18"/>
                <w:color w:val="auto"/>
                <w:w w:val="92"/>
              </w:rPr>
              <w:t>and Chief Financial Officer</w:t>
            </w:r>
          </w:p>
        </w:tc>
      </w:tr>
    </w:tbl>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2019-12-10T11:22:02Z</dcterms:created>
  <dcterms:modified xsi:type="dcterms:W3CDTF">2019-12-10T11:22:02Z</dcterms:modified>
</cp:coreProperties>
</file>