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333-100119</w:t>
      </w:r>
    </w:p>
    <w:p>
      <w:pPr>
        <w:spacing w:after="0" w:line="60" w:lineRule="exact"/>
        <w:rPr>
          <w:sz w:val="24"/>
          <w:szCs w:val="24"/>
          <w:color w:val="auto"/>
        </w:rPr>
      </w:pPr>
    </w:p>
    <w:p>
      <w:pPr>
        <w:jc w:val="both"/>
        <w:ind w:right="340"/>
        <w:spacing w:after="0" w:line="249" w:lineRule="auto"/>
        <w:rPr>
          <w:sz w:val="20"/>
          <w:szCs w:val="20"/>
          <w:color w:val="auto"/>
        </w:rPr>
      </w:pPr>
      <w:r>
        <w:rPr>
          <w:rFonts w:ascii="Arial" w:cs="Arial" w:eastAsia="Arial" w:hAnsi="Arial"/>
          <w:sz w:val="18"/>
          <w:szCs w:val="18"/>
          <w:b w:val="1"/>
          <w:bCs w:val="1"/>
          <w:color w:val="DE1A1E"/>
        </w:rPr>
        <w:t>Information contained in this Prospectus Supplement is subject to completion or amendment. This Prospectus Supplement is not an offer to sell or the solicitation of an offer to buy, nor is it soliciting an offer to buy these securities in any state where such an offer or sale is not permitted.</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May 5, 2003</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Preliminary Prospectus Supplement to Prospectus Dated February 11,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3126740</wp:posOffset>
            </wp:positionH>
            <wp:positionV relativeFrom="paragraph">
              <wp:posOffset>109220</wp:posOffset>
            </wp:positionV>
            <wp:extent cx="1012190" cy="1020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2190" cy="10204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3,556,895 Shares</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NN, INC.</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186690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180" w:firstLine="456"/>
        <w:spacing w:after="0" w:line="268" w:lineRule="auto"/>
        <w:rPr>
          <w:sz w:val="20"/>
          <w:szCs w:val="20"/>
          <w:color w:val="auto"/>
        </w:rPr>
      </w:pPr>
      <w:r>
        <w:rPr>
          <w:rFonts w:ascii="Arial" w:cs="Arial" w:eastAsia="Arial" w:hAnsi="Arial"/>
          <w:sz w:val="18"/>
          <w:szCs w:val="18"/>
          <w:color w:val="auto"/>
        </w:rPr>
        <w:t>The selling stockholders identified in this prospectus supplement are selling 3,556,895 shares of our common stock, par value $.01 per share. We will not receive any of the proceeds from the sale of the shares by the selling stockholders.</w:t>
      </w:r>
    </w:p>
    <w:p>
      <w:pPr>
        <w:spacing w:after="0" w:line="118" w:lineRule="exact"/>
        <w:rPr>
          <w:sz w:val="24"/>
          <w:szCs w:val="24"/>
          <w:color w:val="auto"/>
        </w:rPr>
      </w:pPr>
    </w:p>
    <w:p>
      <w:pPr>
        <w:ind w:right="660" w:firstLine="456"/>
        <w:spacing w:after="0" w:line="268" w:lineRule="auto"/>
        <w:rPr>
          <w:sz w:val="20"/>
          <w:szCs w:val="20"/>
          <w:color w:val="auto"/>
        </w:rPr>
      </w:pPr>
      <w:r>
        <w:rPr>
          <w:rFonts w:ascii="Arial" w:cs="Arial" w:eastAsia="Arial" w:hAnsi="Arial"/>
          <w:sz w:val="18"/>
          <w:szCs w:val="18"/>
          <w:color w:val="auto"/>
        </w:rPr>
        <w:t>You should read this prospectus supplement, the accompanying prospectus and the documents that are incorporated by reference in this prospectus supplement and the accompanying prospectus carefully before investing.</w:t>
      </w:r>
    </w:p>
    <w:p>
      <w:pPr>
        <w:spacing w:after="0" w:line="118" w:lineRule="exact"/>
        <w:rPr>
          <w:sz w:val="24"/>
          <w:szCs w:val="24"/>
          <w:color w:val="auto"/>
        </w:rPr>
      </w:pPr>
    </w:p>
    <w:p>
      <w:pPr>
        <w:ind w:right="480" w:firstLine="456"/>
        <w:spacing w:after="0" w:line="268" w:lineRule="auto"/>
        <w:rPr>
          <w:sz w:val="20"/>
          <w:szCs w:val="20"/>
          <w:color w:val="auto"/>
        </w:rPr>
      </w:pPr>
      <w:r>
        <w:rPr>
          <w:rFonts w:ascii="Arial" w:cs="Arial" w:eastAsia="Arial" w:hAnsi="Arial"/>
          <w:sz w:val="18"/>
          <w:szCs w:val="18"/>
          <w:color w:val="auto"/>
        </w:rPr>
        <w:t>Our common stock is quoted on the Nasdaq National Market under the symbol “NNBR.” On May 1, 2003, the last sale price of the common stock as reported on the Nasdaq Stock Market was $10.99.</w:t>
      </w:r>
    </w:p>
    <w:p>
      <w:pPr>
        <w:spacing w:after="0" w:line="112" w:lineRule="exact"/>
        <w:rPr>
          <w:sz w:val="24"/>
          <w:szCs w:val="24"/>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48" w:lineRule="exact"/>
        <w:rPr>
          <w:sz w:val="24"/>
          <w:szCs w:val="24"/>
          <w:color w:val="auto"/>
        </w:rPr>
      </w:pPr>
    </w:p>
    <w:p>
      <w:pPr>
        <w:ind w:right="1020" w:firstLine="571"/>
        <w:spacing w:after="0" w:line="280" w:lineRule="auto"/>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Investing in our common stock involves risks. See “ </w:t>
      </w:r>
      <w:hyperlink w:anchor="page10">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S-8 of this prospectus supplement to read about the risks you should consider before buying our common stock.</w:t>
      </w: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4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20" w:type="dxa"/>
            <w:vAlign w:val="bottom"/>
          </w:tcPr>
          <w:p>
            <w:pPr>
              <w:jc w:val="right"/>
              <w:ind w:right="972"/>
              <w:spacing w:after="0"/>
              <w:rPr>
                <w:sz w:val="20"/>
                <w:szCs w:val="20"/>
                <w:color w:val="auto"/>
              </w:rPr>
            </w:pPr>
            <w:r>
              <w:rPr>
                <w:rFonts w:ascii="Arial" w:cs="Arial" w:eastAsia="Arial" w:hAnsi="Arial"/>
                <w:sz w:val="14"/>
                <w:szCs w:val="14"/>
                <w:b w:val="1"/>
                <w:bCs w:val="1"/>
                <w:color w:val="auto"/>
              </w:rPr>
              <w:t>Per Share</w:t>
            </w:r>
          </w:p>
        </w:tc>
        <w:tc>
          <w:tcPr>
            <w:tcW w:w="340" w:type="dxa"/>
            <w:vAlign w:val="bottom"/>
          </w:tcPr>
          <w:p>
            <w:pPr>
              <w:spacing w:after="0"/>
              <w:rPr>
                <w:sz w:val="15"/>
                <w:szCs w:val="15"/>
                <w:color w:val="auto"/>
              </w:rPr>
            </w:pPr>
          </w:p>
        </w:tc>
        <w:tc>
          <w:tcPr>
            <w:tcW w:w="2640" w:type="dxa"/>
            <w:vAlign w:val="bottom"/>
          </w:tcPr>
          <w:p>
            <w:pPr>
              <w:jc w:val="right"/>
              <w:ind w:right="1112"/>
              <w:spacing w:after="0"/>
              <w:rPr>
                <w:sz w:val="20"/>
                <w:szCs w:val="20"/>
                <w:color w:val="auto"/>
              </w:rPr>
            </w:pPr>
            <w:r>
              <w:rPr>
                <w:rFonts w:ascii="Arial" w:cs="Arial" w:eastAsia="Arial" w:hAnsi="Arial"/>
                <w:sz w:val="14"/>
                <w:szCs w:val="14"/>
                <w:b w:val="1"/>
                <w:bCs w:val="1"/>
                <w:color w:val="auto"/>
              </w:rPr>
              <w:t>Total</w:t>
            </w:r>
          </w:p>
        </w:tc>
      </w:tr>
      <w:tr>
        <w:trPr>
          <w:trHeight w:val="95"/>
        </w:trPr>
        <w:tc>
          <w:tcPr>
            <w:tcW w:w="4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r>
      <w:tr>
        <w:trPr>
          <w:trHeight w:val="102"/>
        </w:trPr>
        <w:tc>
          <w:tcPr>
            <w:tcW w:w="4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40" w:type="dxa"/>
            <w:vAlign w:val="bottom"/>
          </w:tcPr>
          <w:p>
            <w:pPr>
              <w:spacing w:after="0"/>
              <w:rPr>
                <w:sz w:val="8"/>
                <w:szCs w:val="8"/>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offering price</w:t>
            </w:r>
          </w:p>
        </w:tc>
        <w:tc>
          <w:tcPr>
            <w:tcW w:w="3660" w:type="dxa"/>
            <w:vAlign w:val="bottom"/>
            <w:gridSpan w:val="2"/>
            <w:shd w:val="clear" w:color="auto" w:fill="CCEEFF"/>
          </w:tcPr>
          <w:p>
            <w:pPr>
              <w:jc w:val="right"/>
              <w:ind w:right="2472"/>
              <w:spacing w:after="0"/>
              <w:rPr>
                <w:sz w:val="20"/>
                <w:szCs w:val="20"/>
                <w:color w:val="auto"/>
              </w:rPr>
            </w:pPr>
            <w:r>
              <w:rPr>
                <w:rFonts w:ascii="Arial" w:cs="Arial" w:eastAsia="Arial" w:hAnsi="Arial"/>
                <w:sz w:val="18"/>
                <w:szCs w:val="18"/>
                <w:color w:val="auto"/>
              </w:rPr>
              <w:t>$</w:t>
            </w:r>
          </w:p>
        </w:tc>
        <w:tc>
          <w:tcPr>
            <w:tcW w:w="2980" w:type="dxa"/>
            <w:vAlign w:val="bottom"/>
            <w:gridSpan w:val="2"/>
            <w:shd w:val="clear" w:color="auto" w:fill="CCEEFF"/>
          </w:tcPr>
          <w:p>
            <w:pPr>
              <w:jc w:val="right"/>
              <w:ind w:right="2492"/>
              <w:spacing w:after="0"/>
              <w:rPr>
                <w:sz w:val="20"/>
                <w:szCs w:val="20"/>
                <w:color w:val="auto"/>
              </w:rPr>
            </w:pPr>
            <w:r>
              <w:rPr>
                <w:rFonts w:ascii="Arial" w:cs="Arial" w:eastAsia="Arial" w:hAnsi="Arial"/>
                <w:sz w:val="18"/>
                <w:szCs w:val="18"/>
                <w:color w:val="auto"/>
              </w:rPr>
              <w:t>$</w:t>
            </w:r>
          </w:p>
        </w:tc>
      </w:tr>
      <w:tr>
        <w:trPr>
          <w:trHeight w:val="216"/>
        </w:trPr>
        <w:tc>
          <w:tcPr>
            <w:tcW w:w="4780" w:type="dxa"/>
            <w:vAlign w:val="bottom"/>
          </w:tcPr>
          <w:p>
            <w:pPr>
              <w:ind w:left="20"/>
              <w:spacing w:after="0"/>
              <w:rPr>
                <w:sz w:val="20"/>
                <w:szCs w:val="20"/>
                <w:color w:val="auto"/>
              </w:rPr>
            </w:pPr>
            <w:r>
              <w:rPr>
                <w:rFonts w:ascii="Arial" w:cs="Arial" w:eastAsia="Arial" w:hAnsi="Arial"/>
                <w:sz w:val="18"/>
                <w:szCs w:val="18"/>
                <w:color w:val="auto"/>
              </w:rPr>
              <w:t>Underwriting discount</w:t>
            </w:r>
          </w:p>
        </w:tc>
        <w:tc>
          <w:tcPr>
            <w:tcW w:w="3660" w:type="dxa"/>
            <w:vAlign w:val="bottom"/>
            <w:gridSpan w:val="2"/>
          </w:tcPr>
          <w:p>
            <w:pPr>
              <w:jc w:val="right"/>
              <w:ind w:right="2472"/>
              <w:spacing w:after="0"/>
              <w:rPr>
                <w:sz w:val="20"/>
                <w:szCs w:val="20"/>
                <w:color w:val="auto"/>
              </w:rPr>
            </w:pPr>
            <w:r>
              <w:rPr>
                <w:rFonts w:ascii="Arial" w:cs="Arial" w:eastAsia="Arial" w:hAnsi="Arial"/>
                <w:sz w:val="18"/>
                <w:szCs w:val="18"/>
                <w:color w:val="auto"/>
              </w:rPr>
              <w:t>$</w:t>
            </w:r>
          </w:p>
        </w:tc>
        <w:tc>
          <w:tcPr>
            <w:tcW w:w="2980" w:type="dxa"/>
            <w:vAlign w:val="bottom"/>
            <w:gridSpan w:val="2"/>
          </w:tcPr>
          <w:p>
            <w:pPr>
              <w:jc w:val="right"/>
              <w:ind w:right="2492"/>
              <w:spacing w:after="0"/>
              <w:rPr>
                <w:sz w:val="20"/>
                <w:szCs w:val="20"/>
                <w:color w:val="auto"/>
              </w:rPr>
            </w:pPr>
            <w:r>
              <w:rPr>
                <w:rFonts w:ascii="Arial" w:cs="Arial" w:eastAsia="Arial" w:hAnsi="Arial"/>
                <w:sz w:val="18"/>
                <w:szCs w:val="18"/>
                <w:color w:val="auto"/>
              </w:rPr>
              <w:t>$</w:t>
            </w: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to the selling stockholders, before expenses</w:t>
            </w:r>
          </w:p>
        </w:tc>
        <w:tc>
          <w:tcPr>
            <w:tcW w:w="3660" w:type="dxa"/>
            <w:vAlign w:val="bottom"/>
            <w:gridSpan w:val="2"/>
            <w:shd w:val="clear" w:color="auto" w:fill="CCEEFF"/>
          </w:tcPr>
          <w:p>
            <w:pPr>
              <w:jc w:val="right"/>
              <w:ind w:right="2472"/>
              <w:spacing w:after="0"/>
              <w:rPr>
                <w:sz w:val="20"/>
                <w:szCs w:val="20"/>
                <w:color w:val="auto"/>
              </w:rPr>
            </w:pPr>
            <w:r>
              <w:rPr>
                <w:rFonts w:ascii="Arial" w:cs="Arial" w:eastAsia="Arial" w:hAnsi="Arial"/>
                <w:sz w:val="18"/>
                <w:szCs w:val="18"/>
                <w:color w:val="auto"/>
              </w:rPr>
              <w:t>$</w:t>
            </w:r>
          </w:p>
        </w:tc>
        <w:tc>
          <w:tcPr>
            <w:tcW w:w="2980" w:type="dxa"/>
            <w:vAlign w:val="bottom"/>
            <w:gridSpan w:val="2"/>
            <w:shd w:val="clear" w:color="auto" w:fill="CCEEFF"/>
          </w:tcPr>
          <w:p>
            <w:pPr>
              <w:jc w:val="right"/>
              <w:ind w:right="2492"/>
              <w:spacing w:after="0"/>
              <w:rPr>
                <w:sz w:val="20"/>
                <w:szCs w:val="20"/>
                <w:color w:val="auto"/>
              </w:rPr>
            </w:pPr>
            <w:r>
              <w:rPr>
                <w:rFonts w:ascii="Arial" w:cs="Arial" w:eastAsia="Arial" w:hAnsi="Arial"/>
                <w:sz w:val="18"/>
                <w:szCs w:val="18"/>
                <w:color w:val="auto"/>
              </w:rPr>
              <w:t>$</w:t>
            </w:r>
          </w:p>
        </w:tc>
      </w:tr>
    </w:tbl>
    <w:p>
      <w:pPr>
        <w:spacing w:after="0" w:line="140"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Company has granted the underwriters an option to purchase up to 533,600 additional shares of common stock to cover over-allotments. If the over-</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7180" w:type="dxa"/>
            <w:vAlign w:val="bottom"/>
            <w:gridSpan w:val="6"/>
          </w:tcPr>
          <w:p>
            <w:pPr>
              <w:spacing w:after="0"/>
              <w:rPr>
                <w:sz w:val="20"/>
                <w:szCs w:val="20"/>
                <w:color w:val="auto"/>
              </w:rPr>
            </w:pPr>
            <w:r>
              <w:rPr>
                <w:rFonts w:ascii="Arial" w:cs="Arial" w:eastAsia="Arial" w:hAnsi="Arial"/>
                <w:sz w:val="18"/>
                <w:szCs w:val="18"/>
                <w:color w:val="auto"/>
                <w:w w:val="95"/>
              </w:rPr>
              <w:t>allotment option is exercised in full, the Company will receive proceeds, before expenses, of $</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per share and $</w:t>
            </w:r>
          </w:p>
        </w:tc>
        <w:tc>
          <w:tcPr>
            <w:tcW w:w="580" w:type="dxa"/>
            <w:vAlign w:val="bottom"/>
          </w:tcPr>
          <w:p>
            <w:pPr>
              <w:ind w:left="60"/>
              <w:spacing w:after="0"/>
              <w:rPr>
                <w:sz w:val="20"/>
                <w:szCs w:val="20"/>
                <w:color w:val="auto"/>
              </w:rPr>
            </w:pPr>
            <w:r>
              <w:rPr>
                <w:rFonts w:ascii="Arial" w:cs="Arial" w:eastAsia="Arial" w:hAnsi="Arial"/>
                <w:sz w:val="18"/>
                <w:szCs w:val="18"/>
                <w:color w:val="auto"/>
                <w:w w:val="86"/>
              </w:rPr>
              <w:t>in total.</w:t>
            </w:r>
          </w:p>
        </w:tc>
      </w:tr>
      <w:tr>
        <w:trPr>
          <w:trHeight w:val="20"/>
        </w:trPr>
        <w:tc>
          <w:tcPr>
            <w:tcW w:w="4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45"/>
        </w:trPr>
        <w:tc>
          <w:tcPr>
            <w:tcW w:w="5540" w:type="dxa"/>
            <w:vAlign w:val="bottom"/>
            <w:gridSpan w:val="2"/>
          </w:tcPr>
          <w:p>
            <w:pPr>
              <w:ind w:left="460"/>
              <w:spacing w:after="0"/>
              <w:rPr>
                <w:sz w:val="20"/>
                <w:szCs w:val="20"/>
                <w:color w:val="auto"/>
              </w:rPr>
            </w:pPr>
            <w:r>
              <w:rPr>
                <w:rFonts w:ascii="Arial" w:cs="Arial" w:eastAsia="Arial" w:hAnsi="Arial"/>
                <w:sz w:val="18"/>
                <w:szCs w:val="18"/>
                <w:color w:val="auto"/>
                <w:w w:val="89"/>
              </w:rPr>
              <w:t>We expect that the common stock will be ready for delivery on or about</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 2003.</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77"/>
        </w:trPr>
        <w:tc>
          <w:tcPr>
            <w:tcW w:w="45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2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McDonald Investments Inc. Legg Mason Wood Walker</w:t>
      </w:r>
    </w:p>
    <w:p>
      <w:pPr>
        <w:spacing w:after="0" w:line="43" w:lineRule="exact"/>
        <w:rPr>
          <w:sz w:val="24"/>
          <w:szCs w:val="24"/>
          <w:color w:val="auto"/>
        </w:rPr>
      </w:pPr>
    </w:p>
    <w:p>
      <w:pPr>
        <w:ind w:left="8800"/>
        <w:spacing w:after="0"/>
        <w:rPr>
          <w:sz w:val="20"/>
          <w:szCs w:val="20"/>
          <w:color w:val="auto"/>
        </w:rPr>
      </w:pPr>
      <w:r>
        <w:rPr>
          <w:rFonts w:ascii="Arial" w:cs="Arial" w:eastAsia="Arial" w:hAnsi="Arial"/>
          <w:sz w:val="18"/>
          <w:szCs w:val="18"/>
          <w:b w:val="1"/>
          <w:bCs w:val="1"/>
          <w:color w:val="auto"/>
        </w:rPr>
        <w:t>Incorporated</w:t>
      </w:r>
    </w:p>
    <w:p>
      <w:pPr>
        <w:spacing w:after="0" w:line="121" w:lineRule="exact"/>
        <w:rPr>
          <w:sz w:val="24"/>
          <w:szCs w:val="24"/>
          <w:color w:val="auto"/>
        </w:rPr>
      </w:pPr>
    </w:p>
    <w:tbl>
      <w:tblPr>
        <w:tblLayout w:type="fixed"/>
        <w:tblInd w:w="3640" w:type="dxa"/>
        <w:tblCellMar>
          <w:top w:w="0" w:type="dxa"/>
          <w:left w:w="0" w:type="dxa"/>
          <w:bottom w:w="0" w:type="dxa"/>
          <w:right w:w="0" w:type="dxa"/>
        </w:tblCellMar>
      </w:tblPr>
      <w:tr>
        <w:trPr>
          <w:trHeight w:val="207"/>
        </w:trPr>
        <w:tc>
          <w:tcPr>
            <w:tcW w:w="3180" w:type="dxa"/>
            <w:vAlign w:val="bottom"/>
          </w:tcPr>
          <w:p>
            <w:pPr>
              <w:spacing w:after="0"/>
              <w:rPr>
                <w:sz w:val="20"/>
                <w:szCs w:val="20"/>
                <w:color w:val="auto"/>
              </w:rPr>
            </w:pPr>
            <w:r>
              <w:rPr>
                <w:rFonts w:ascii="Arial" w:cs="Arial" w:eastAsia="Arial" w:hAnsi="Arial"/>
                <w:sz w:val="18"/>
                <w:szCs w:val="18"/>
                <w:b w:val="1"/>
                <w:bCs w:val="1"/>
                <w:color w:val="auto"/>
                <w:w w:val="86"/>
              </w:rPr>
              <w:t>The date of this Prospectus Supplement is</w:t>
            </w:r>
          </w:p>
        </w:tc>
        <w:tc>
          <w:tcPr>
            <w:tcW w:w="520" w:type="dxa"/>
            <w:vAlign w:val="bottom"/>
            <w:tcBorders>
              <w:bottom w:val="single" w:sz="8" w:color="auto"/>
            </w:tcBorders>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83"/>
              </w:rPr>
              <w:t>, 2003</w:t>
            </w: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80" w:type="dxa"/>
            <w:vAlign w:val="bottom"/>
          </w:tcPr>
          <w:p>
            <w:pPr>
              <w:jc w:val="right"/>
              <w:ind w:right="4672"/>
              <w:spacing w:after="0"/>
              <w:rPr>
                <w:sz w:val="20"/>
                <w:szCs w:val="20"/>
                <w:color w:val="auto"/>
              </w:rPr>
            </w:pPr>
            <w:r>
              <w:rPr>
                <w:rFonts w:ascii="Arial" w:cs="Arial" w:eastAsia="Arial" w:hAnsi="Arial"/>
                <w:sz w:val="18"/>
                <w:szCs w:val="18"/>
                <w:b w:val="1"/>
                <w:bCs w:val="1"/>
                <w:color w:val="auto"/>
              </w:rPr>
              <w:t>TABLE OF CONTENTS</w:t>
            </w:r>
          </w:p>
        </w:tc>
      </w:tr>
      <w:tr>
        <w:trPr>
          <w:trHeight w:val="365"/>
        </w:trPr>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80" w:type="dxa"/>
            <w:vAlign w:val="bottom"/>
          </w:tcPr>
          <w:p>
            <w:pPr>
              <w:jc w:val="right"/>
              <w:ind w:right="4412"/>
              <w:spacing w:after="0"/>
              <w:rPr>
                <w:sz w:val="20"/>
                <w:szCs w:val="20"/>
                <w:color w:val="auto"/>
              </w:rPr>
            </w:pPr>
            <w:r>
              <w:rPr>
                <w:rFonts w:ascii="Arial" w:cs="Arial" w:eastAsia="Arial" w:hAnsi="Arial"/>
                <w:sz w:val="18"/>
                <w:szCs w:val="18"/>
                <w:b w:val="1"/>
                <w:bCs w:val="1"/>
                <w:color w:val="auto"/>
              </w:rPr>
              <w:t>PROSPECTUS SUPPLEMENT</w:t>
            </w:r>
          </w:p>
        </w:tc>
      </w:tr>
      <w:tr>
        <w:trPr>
          <w:trHeight w:val="326"/>
        </w:trPr>
        <w:tc>
          <w:tcPr>
            <w:tcW w:w="3520" w:type="dxa"/>
            <w:vAlign w:val="bottom"/>
            <w:gridSpan w:val="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Prospectus Supplement Summary</w:t>
              </w:r>
            </w:hyperlink>
          </w:p>
        </w:tc>
        <w:tc>
          <w:tcPr>
            <w:tcW w:w="788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196"/>
        </w:trPr>
        <w:tc>
          <w:tcPr>
            <w:tcW w:w="8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w:anchor="page10">
              <w:r>
                <w:rPr>
                  <w:rFonts w:ascii="Arial" w:cs="Arial" w:eastAsia="Arial" w:hAnsi="Arial"/>
                  <w:sz w:val="18"/>
                  <w:szCs w:val="18"/>
                  <w:color w:val="0000EE"/>
                  <w:w w:val="85"/>
                </w:rPr>
                <w:t>Risk Factors</w:t>
              </w:r>
            </w:hyperlink>
          </w:p>
        </w:tc>
        <w:tc>
          <w:tcPr>
            <w:tcW w:w="1480" w:type="dxa"/>
            <w:vAlign w:val="bottom"/>
            <w:tcBorders>
              <w:top w:val="single" w:sz="8" w:color="0000EE"/>
            </w:tcBorders>
            <w:gridSpan w:val="5"/>
          </w:tcPr>
          <w:p>
            <w:pPr>
              <w:spacing w:after="0"/>
              <w:rPr>
                <w:sz w:val="17"/>
                <w:szCs w:val="17"/>
                <w:color w:val="auto"/>
              </w:rPr>
            </w:pPr>
          </w:p>
        </w:tc>
        <w:tc>
          <w:tcPr>
            <w:tcW w:w="1160" w:type="dxa"/>
            <w:vAlign w:val="bottom"/>
            <w:gridSpan w:val="2"/>
          </w:tcPr>
          <w:p>
            <w:pPr>
              <w:spacing w:after="0"/>
              <w:rPr>
                <w:sz w:val="17"/>
                <w:szCs w:val="17"/>
                <w:color w:val="auto"/>
              </w:rPr>
            </w:pPr>
          </w:p>
        </w:tc>
        <w:tc>
          <w:tcPr>
            <w:tcW w:w="788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r>
      <w:tr>
        <w:trPr>
          <w:trHeight w:val="196"/>
        </w:trPr>
        <w:tc>
          <w:tcPr>
            <w:tcW w:w="1140" w:type="dxa"/>
            <w:vAlign w:val="bottom"/>
            <w:tcBorders>
              <w:bottom w:val="single" w:sz="8" w:color="0000EE"/>
            </w:tcBorders>
            <w:gridSpan w:val="4"/>
          </w:tcPr>
          <w:p>
            <w:pPr>
              <w:spacing w:after="0" w:line="196" w:lineRule="exact"/>
              <w:rPr>
                <w:rFonts w:ascii="Arial" w:cs="Arial" w:eastAsia="Arial" w:hAnsi="Arial"/>
                <w:sz w:val="18"/>
                <w:szCs w:val="18"/>
                <w:color w:val="0000EE"/>
                <w:w w:val="84"/>
              </w:rPr>
            </w:pPr>
            <w:hyperlink w:anchor="page14">
              <w:r>
                <w:rPr>
                  <w:rFonts w:ascii="Arial" w:cs="Arial" w:eastAsia="Arial" w:hAnsi="Arial"/>
                  <w:sz w:val="18"/>
                  <w:szCs w:val="18"/>
                  <w:color w:val="0000EE"/>
                  <w:w w:val="84"/>
                </w:rPr>
                <w:t>Use of Proceeds</w:t>
              </w:r>
            </w:hyperlink>
          </w:p>
        </w:tc>
        <w:tc>
          <w:tcPr>
            <w:tcW w:w="2380" w:type="dxa"/>
            <w:vAlign w:val="bottom"/>
            <w:gridSpan w:val="4"/>
          </w:tcPr>
          <w:p>
            <w:pPr>
              <w:spacing w:after="0"/>
              <w:rPr>
                <w:sz w:val="17"/>
                <w:szCs w:val="17"/>
                <w:color w:val="auto"/>
              </w:rPr>
            </w:pPr>
          </w:p>
        </w:tc>
        <w:tc>
          <w:tcPr>
            <w:tcW w:w="788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r>
      <w:tr>
        <w:trPr>
          <w:trHeight w:val="196"/>
        </w:trPr>
        <w:tc>
          <w:tcPr>
            <w:tcW w:w="146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Selling Stockholders</w:t>
              </w:r>
            </w:hyperlink>
          </w:p>
        </w:tc>
        <w:tc>
          <w:tcPr>
            <w:tcW w:w="2060" w:type="dxa"/>
            <w:vAlign w:val="bottom"/>
            <w:gridSpan w:val="3"/>
          </w:tcPr>
          <w:p>
            <w:pPr>
              <w:spacing w:after="0"/>
              <w:rPr>
                <w:sz w:val="17"/>
                <w:szCs w:val="17"/>
                <w:color w:val="auto"/>
              </w:rPr>
            </w:pPr>
          </w:p>
        </w:tc>
        <w:tc>
          <w:tcPr>
            <w:tcW w:w="788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r>
      <w:tr>
        <w:trPr>
          <w:trHeight w:val="196"/>
        </w:trPr>
        <w:tc>
          <w:tcPr>
            <w:tcW w:w="94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Underwriting</w:t>
              </w:r>
            </w:hyperlink>
          </w:p>
        </w:tc>
        <w:tc>
          <w:tcPr>
            <w:tcW w:w="2580" w:type="dxa"/>
            <w:vAlign w:val="bottom"/>
            <w:gridSpan w:val="6"/>
          </w:tcPr>
          <w:p>
            <w:pPr>
              <w:spacing w:after="0"/>
              <w:rPr>
                <w:sz w:val="17"/>
                <w:szCs w:val="17"/>
                <w:color w:val="auto"/>
              </w:rPr>
            </w:pPr>
          </w:p>
        </w:tc>
        <w:tc>
          <w:tcPr>
            <w:tcW w:w="788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r>
      <w:tr>
        <w:trPr>
          <w:trHeight w:val="196"/>
        </w:trPr>
        <w:tc>
          <w:tcPr>
            <w:tcW w:w="9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Legal Matters</w:t>
              </w:r>
            </w:hyperlink>
          </w:p>
        </w:tc>
        <w:tc>
          <w:tcPr>
            <w:tcW w:w="2540" w:type="dxa"/>
            <w:vAlign w:val="bottom"/>
            <w:gridSpan w:val="5"/>
          </w:tcPr>
          <w:p>
            <w:pPr>
              <w:spacing w:after="0"/>
              <w:rPr>
                <w:sz w:val="17"/>
                <w:szCs w:val="17"/>
                <w:color w:val="auto"/>
              </w:rPr>
            </w:pPr>
          </w:p>
        </w:tc>
        <w:tc>
          <w:tcPr>
            <w:tcW w:w="7880" w:type="dxa"/>
            <w:vAlign w:val="bottom"/>
          </w:tcPr>
          <w:p>
            <w:pPr>
              <w:jc w:val="right"/>
              <w:spacing w:after="0" w:line="196" w:lineRule="exact"/>
              <w:rPr>
                <w:sz w:val="20"/>
                <w:szCs w:val="20"/>
                <w:color w:val="auto"/>
              </w:rPr>
            </w:pPr>
            <w:r>
              <w:rPr>
                <w:rFonts w:ascii="Arial" w:cs="Arial" w:eastAsia="Arial" w:hAnsi="Arial"/>
                <w:sz w:val="18"/>
                <w:szCs w:val="18"/>
                <w:color w:val="auto"/>
              </w:rPr>
              <w:t>S-17</w:t>
            </w:r>
          </w:p>
        </w:tc>
      </w:tr>
      <w:tr>
        <w:trPr>
          <w:trHeight w:val="196"/>
        </w:trPr>
        <w:tc>
          <w:tcPr>
            <w:tcW w:w="3520" w:type="dxa"/>
            <w:vAlign w:val="bottom"/>
            <w:gridSpan w:val="8"/>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Where You Can Find More Information</w:t>
              </w:r>
            </w:hyperlink>
          </w:p>
        </w:tc>
        <w:tc>
          <w:tcPr>
            <w:tcW w:w="7880" w:type="dxa"/>
            <w:vAlign w:val="bottom"/>
          </w:tcPr>
          <w:p>
            <w:pPr>
              <w:jc w:val="right"/>
              <w:spacing w:after="0" w:line="196" w:lineRule="exact"/>
              <w:rPr>
                <w:sz w:val="20"/>
                <w:szCs w:val="20"/>
                <w:color w:val="auto"/>
              </w:rPr>
            </w:pPr>
            <w:r>
              <w:rPr>
                <w:rFonts w:ascii="Arial" w:cs="Arial" w:eastAsia="Arial" w:hAnsi="Arial"/>
                <w:sz w:val="18"/>
                <w:szCs w:val="18"/>
                <w:color w:val="auto"/>
              </w:rPr>
              <w:t>S-17</w:t>
            </w:r>
          </w:p>
        </w:tc>
      </w:tr>
      <w:tr>
        <w:trPr>
          <w:trHeight w:val="20"/>
        </w:trPr>
        <w:tc>
          <w:tcPr>
            <w:tcW w:w="2780" w:type="dxa"/>
            <w:vAlign w:val="bottom"/>
            <w:gridSpan w:val="7"/>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r>
      <w:tr>
        <w:trPr>
          <w:trHeight w:val="196"/>
        </w:trPr>
        <w:tc>
          <w:tcPr>
            <w:tcW w:w="352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20">
              <w:r>
                <w:rPr>
                  <w:rFonts w:ascii="Arial" w:cs="Arial" w:eastAsia="Arial" w:hAnsi="Arial"/>
                  <w:sz w:val="18"/>
                  <w:szCs w:val="18"/>
                  <w:color w:val="0000EE"/>
                  <w:w w:val="88"/>
                </w:rPr>
                <w:t>Incorporation of Certain Documents by Reference</w:t>
              </w:r>
            </w:hyperlink>
          </w:p>
        </w:tc>
        <w:tc>
          <w:tcPr>
            <w:tcW w:w="7880" w:type="dxa"/>
            <w:vAlign w:val="bottom"/>
          </w:tcPr>
          <w:p>
            <w:pPr>
              <w:jc w:val="right"/>
              <w:spacing w:after="0" w:line="196" w:lineRule="exact"/>
              <w:rPr>
                <w:sz w:val="20"/>
                <w:szCs w:val="20"/>
                <w:color w:val="auto"/>
              </w:rPr>
            </w:pPr>
            <w:r>
              <w:rPr>
                <w:rFonts w:ascii="Arial" w:cs="Arial" w:eastAsia="Arial" w:hAnsi="Arial"/>
                <w:sz w:val="18"/>
                <w:szCs w:val="18"/>
                <w:color w:val="auto"/>
              </w:rPr>
              <w:t>S-18</w:t>
            </w:r>
          </w:p>
        </w:tc>
      </w:tr>
    </w:tbl>
    <w:p>
      <w:pPr>
        <w:spacing w:after="0" w:line="161"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You should rely only on the information contained in or incorporated by reference in this prospectus supplement and the accompanying prospectus. We have not authorized anyone to provide you with different information. We are not making an offer of these securities in any state where the offer is not permitted. You should not assume that the information contained in this prospectus is accurate as of any date other than the date on the front of this prospectus.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 SUMMARY</w:t>
      </w:r>
    </w:p>
    <w:p>
      <w:pPr>
        <w:spacing w:after="0" w:line="8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This prospectus supplement summary highlights certain information contained elsewhere or incorporated by reference in this prospectus supplement and accompanying prospectus. This summary does not contain all of the information that you should consider before deciding to invest in our common stock. If there is any inconsistency between the information in this prospectus supplement and the accompanying prospectus, you should rely on the information in this prospectus supplement. You should read both this prospectus supplement and the accompanying prospectus together with additional information described below under the heading “Where You Can Find More Information.”</w:t>
      </w:r>
    </w:p>
    <w:p>
      <w:pPr>
        <w:spacing w:after="0" w:line="129"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i w:val="1"/>
          <w:iCs w:val="1"/>
          <w:color w:val="auto"/>
        </w:rPr>
        <w:t>As used in this prospectus supplement and the accompanying prospectus, the terms “we,” “us,” “our,” “NN” or the “Company,” refer collectively to NN, Inc. and its subsidiaries, including Industrial Molding Group, L.P., The Delta Rubber Company, NN Arté S. De R.L. De C.V., NN Euroball, ApS (“Euroball”) and NN Netherlands B.V.</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83" w:lineRule="exact"/>
        <w:rPr>
          <w:sz w:val="20"/>
          <w:szCs w:val="20"/>
          <w:color w:val="auto"/>
        </w:rPr>
      </w:pPr>
    </w:p>
    <w:p>
      <w:pPr>
        <w:ind w:right="20" w:firstLine="464"/>
        <w:spacing w:after="0" w:line="290" w:lineRule="auto"/>
        <w:tabs>
          <w:tab w:leader="none" w:pos="754" w:val="left"/>
        </w:tabs>
        <w:numPr>
          <w:ilvl w:val="0"/>
          <w:numId w:val="1"/>
        </w:numPr>
        <w:rPr>
          <w:rFonts w:ascii="Arial" w:cs="Arial" w:eastAsia="Arial" w:hAnsi="Arial"/>
          <w:sz w:val="16"/>
          <w:szCs w:val="16"/>
          <w:color w:val="auto"/>
        </w:rPr>
      </w:pPr>
      <w:r>
        <w:rPr>
          <w:rFonts w:ascii="Arial" w:cs="Arial" w:eastAsia="Arial" w:hAnsi="Arial"/>
          <w:sz w:val="16"/>
          <w:szCs w:val="16"/>
          <w:color w:val="auto"/>
        </w:rPr>
        <w:t>manufactures and supplies high precision bearing components, consisting of balls, rollers, seals and retainers, for leading bearing manufacturers on a global basis. We are the leading independent manufacturer of precision steel bearing balls for the North American and European markets. In 1998, we began implementing a strategic plan designed to position us as a worldwide supplier of a broad line of bearing components. Through a series of acquisitions executed as part of that plan, we have built on our strong core ball business and greatly expanded our bearing component product offering. Today, we offer the industry’s most complete line of bearing components. We emphasize engineered products that take advantage of our competencies in product design and high tolerance manufacturing processes. Our bearing customers use our components in fully assembled ball and roller bearings, which serve a wide variety of industrial applications in the transportation, electrical, agricultural, construction, machinery, mining and aerospace markets.</w:t>
      </w:r>
    </w:p>
    <w:p>
      <w:pPr>
        <w:spacing w:after="0" w:line="10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bearing component products presently account for approximately 90% of our consolidated revenue and sales of high precision plastic products account for the balance. We estimate that the size of the global market for balls, rollers, seals and retainers is $3.2 billion. Captive component production of bearing manufacturers accounts for approximately 53% of this market, while independent manufacturers currently serve approximately 47% of the market. We believe that we are a leader in the independent manufacturers segment of the market with a 17% market share. We also believe that the percentage of the market served by independent manufacturers is growing due to the ongoing component outsourcing trend among our major customers. Outsourcing components enables our global bearing customers to focus on their core competencies in the design and engineering of finished bearing technologies. In addition, it provides them with significant financial advantages, including lower long-term component costs and improved returns on invested capital.</w:t>
      </w:r>
    </w:p>
    <w:p>
      <w:pPr>
        <w:spacing w:after="0" w:line="105"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intend to continue to capitalize on this growing trend of outsourcing within our global bearing customer base. Our successes include joining with our two largest bearing customers, SKF and INA/FAG, to create our majority-owned subsidiary, Euroball, which is now wholly-owned by us. In forming Euroball, we contributed our Ireland ball manufacturing facility, while SKF and INA/FAG contributed their captive ball manufacturing facilities in Italy and Germany. On December 20, 2002, we purchased all of INA/FAG’s interest in Euroball and on May 2, 2003, we purchased all of SKF’s interest in Euroball to become the sole owner of Euroball. Also, on May 2, 2003, we purchased certain component manufacturing operations of SKF in Veenendaal, The Netherlands. These transactions are described in the Section entitled “Recent Developments” beginning on page S-2. Both SKF and INA/FAG independently entered into long-term supply agreements designating Euroball as their primary supplier of ball products in Europe. Through Euroball, we are Europe’s leading provider of precision balls. Separately, as part of the Veenendaal transaction, SKF entered into a long-term supply agreement to purchase tapered rollers and metal cage products from us.</w:t>
      </w:r>
    </w:p>
    <w:p>
      <w:pPr>
        <w:spacing w:after="0" w:line="9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operate nine North American and European manufacturing facilities. Our two U.S. ball and roller production facilities are located in Tennessee and our Euroball subsidiary operates four manufacturing facilities located in The Netherlands, Ireland, Germany and Italy. Our seal, retainer and other plastic products are manufactured in three facilities located in Connecticut, Texas and Mexico.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Developments</w:t>
      </w:r>
    </w:p>
    <w:p>
      <w:pPr>
        <w:spacing w:after="0" w:line="16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 xml:space="preserve">Acquisitions and Financing Arrangements. </w:t>
      </w:r>
      <w:r>
        <w:rPr>
          <w:rFonts w:ascii="Arial" w:cs="Arial" w:eastAsia="Arial" w:hAnsi="Arial"/>
          <w:sz w:val="18"/>
          <w:szCs w:val="18"/>
          <w:color w:val="auto"/>
        </w:rPr>
        <w:t>On December 20, 2002, we acquired the 23% interest in Euroball held by INA/FAG. We paid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13.4 million Euros ($13.8 million) for INA/FAG’s interest in Euroball. On May 2, 2003, we acquired the 23% interest in Euroball held by SKF. We paid approximately 13.8 million Euros ($15.5 million) for SKF’s interest in Euroball. Upon consummation of these transactions, we became the sole owner of Euroball.</w:t>
      </w:r>
    </w:p>
    <w:p>
      <w:pPr>
        <w:spacing w:after="0" w:line="13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On January 24, 2003, we exercised our call right to purchase the remaining 49% interest in NN Mexico, LLC. The transaction was consummated on April 1, 2003. The transaction is not expected to materially impact our financial condition or results of operations.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May 2, 2003, we acquired the tapered roller and metal cage manufacturing operations of SKF in Veenendaal, The Netherlands for approximately 22.2 million Euros ($25.0 million). This acquisition expands our current bearing component product offering, enabling us to further serve and bring additional value to our global bearing customers. In connection with this acquisition, SKF purchased 700,000 shares of our common stock from us for an aggregate purchase price of approximately $6.2 million.</w:t>
      </w:r>
    </w:p>
    <w:p>
      <w:pPr>
        <w:spacing w:after="0" w:line="130" w:lineRule="exact"/>
        <w:rPr>
          <w:sz w:val="20"/>
          <w:szCs w:val="20"/>
          <w:color w:val="auto"/>
        </w:rPr>
      </w:pPr>
    </w:p>
    <w:p>
      <w:pPr>
        <w:ind w:right="480" w:firstLine="456"/>
        <w:spacing w:after="0" w:line="256" w:lineRule="auto"/>
        <w:rPr>
          <w:sz w:val="20"/>
          <w:szCs w:val="20"/>
          <w:color w:val="auto"/>
        </w:rPr>
      </w:pPr>
      <w:r>
        <w:rPr>
          <w:rFonts w:ascii="Arial" w:cs="Arial" w:eastAsia="Arial" w:hAnsi="Arial"/>
          <w:sz w:val="18"/>
          <w:szCs w:val="18"/>
          <w:color w:val="auto"/>
        </w:rPr>
        <w:t>In connection with the purchase of SKF’s Veenendaal component manufacturing operations and SKF’s 23% interest in Euroball, on May 1, 2003, we entered into a new credit facility with AmSouth Bank, under which we borrowed $60.4 million and 26.3 million Euros ($29.6 million) to fund the SKF transactions described above. This new financing arrangement replaces our prior credit facility with AmSouth and Euroball’s credit facility with HypoVereinsbank Luxembourg, S.A.</w:t>
      </w:r>
    </w:p>
    <w:p>
      <w:pPr>
        <w:spacing w:after="0" w:line="130" w:lineRule="exact"/>
        <w:rPr>
          <w:sz w:val="20"/>
          <w:szCs w:val="20"/>
          <w:color w:val="auto"/>
        </w:rPr>
      </w:pPr>
    </w:p>
    <w:p>
      <w:pPr>
        <w:ind w:left="460"/>
        <w:spacing w:after="0"/>
        <w:tabs>
          <w:tab w:leader="none" w:pos="3180" w:val="left"/>
        </w:tabs>
        <w:rPr>
          <w:sz w:val="20"/>
          <w:szCs w:val="20"/>
          <w:color w:val="auto"/>
        </w:rPr>
      </w:pPr>
      <w:r>
        <w:rPr>
          <w:rFonts w:ascii="Arial" w:cs="Arial" w:eastAsia="Arial" w:hAnsi="Arial"/>
          <w:sz w:val="18"/>
          <w:szCs w:val="18"/>
          <w:i w:val="1"/>
          <w:iCs w:val="1"/>
          <w:color w:val="auto"/>
        </w:rPr>
        <w:t>First Quarter Results of Operations.</w:t>
      </w:r>
      <w:r>
        <w:rPr>
          <w:sz w:val="20"/>
          <w:szCs w:val="20"/>
          <w:color w:val="auto"/>
        </w:rPr>
        <w:tab/>
      </w:r>
      <w:r>
        <w:rPr>
          <w:rFonts w:ascii="Arial" w:cs="Arial" w:eastAsia="Arial" w:hAnsi="Arial"/>
          <w:sz w:val="16"/>
          <w:szCs w:val="16"/>
          <w:color w:val="auto"/>
        </w:rPr>
        <w:t>Net sales for the first quarter of 2003 reached $57.6 million, up 22.1% from $47.2 million for the same period of</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2002. Net income for the first quarter of 2003 totaled $3.6 million or $0.23 per share as compared to $1.8 million or $0.12 per share for the first quarter of 2002.</w:t>
      </w:r>
    </w:p>
    <w:p>
      <w:pPr>
        <w:spacing w:after="0" w:line="174" w:lineRule="exact"/>
        <w:rPr>
          <w:sz w:val="20"/>
          <w:szCs w:val="20"/>
          <w:color w:val="auto"/>
        </w:rPr>
      </w:pPr>
    </w:p>
    <w:p>
      <w:pPr>
        <w:jc w:val="both"/>
        <w:ind w:right="520" w:firstLine="456"/>
        <w:spacing w:after="0" w:line="306" w:lineRule="auto"/>
        <w:rPr>
          <w:sz w:val="20"/>
          <w:szCs w:val="20"/>
          <w:color w:val="auto"/>
        </w:rPr>
      </w:pPr>
      <w:r>
        <w:rPr>
          <w:rFonts w:ascii="Arial" w:cs="Arial" w:eastAsia="Arial" w:hAnsi="Arial"/>
          <w:sz w:val="16"/>
          <w:szCs w:val="16"/>
          <w:color w:val="auto"/>
        </w:rPr>
        <w:t>The first quarter of 2003 represented the fourth consecutive quarter that we have experienced year-over-year improvement in revenues and earnings. However, it is important to note that approximately 50% of the $10.4 million increase in revenues was attributable to favorable currency fluctuations. The remainder of the increase consists of overall improvements in demand and new program developments.</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a percentage of net sales, the gross profit margin was 25.8% in the first quarter of 2003 versus 24.7% in the first quarter of 2002 and 24.8% in the fourth quarter of 2002. This improvement over the prior year reflects the continuing benefit of the initiatives to lower our cost structure and the associated benefits of higher volumes and inventory builds. Similarly, selling, general and administrative expenses for the first quarter of 2003 declined to 8.0% as a percentage of net sales compared to 9.5% for the same period in the prior year.</w:t>
      </w:r>
    </w:p>
    <w:p>
      <w:pPr>
        <w:spacing w:after="0" w:line="13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revenue growth in the first quarter resulted in incremental working capital needs. This was evidenced by significant increases in accounts receivable, inventories and accounts payable balances during the quarter. Correspondingly, our debt increased $0.1 million from $53.1 million at year end to $53.2 million at the end of the first quarter. Net of cash, our debt increased by $2.0 million. We anticipate our operating cash flow results will improve in subsequent quarters and remain committed to a reduction of debt (excluding the impact of the acquisitions described above) of $11.0 million for 2003.</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Our Competitive Strengths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following elements provide us with significant competitive strengths in our markets:</w:t>
      </w:r>
    </w:p>
    <w:p>
      <w:pPr>
        <w:spacing w:after="0" w:line="77" w:lineRule="exact"/>
        <w:rPr>
          <w:sz w:val="20"/>
          <w:szCs w:val="20"/>
          <w:color w:val="auto"/>
        </w:rPr>
      </w:pPr>
    </w:p>
    <w:p>
      <w:pPr>
        <w:ind w:left="760" w:right="40" w:hanging="306"/>
        <w:spacing w:after="0" w:line="291" w:lineRule="auto"/>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High Precision, Low-Cost Manufacturing Capabilities. </w:t>
      </w:r>
      <w:r>
        <w:rPr>
          <w:rFonts w:ascii="Arial" w:cs="Arial" w:eastAsia="Arial" w:hAnsi="Arial"/>
          <w:sz w:val="16"/>
          <w:szCs w:val="16"/>
          <w:color w:val="auto"/>
        </w:rPr>
        <w:t>Our focus on lean manufacturing and continuous improvement have earned us a reputation as</w:t>
      </w:r>
      <w:r>
        <w:rPr>
          <w:rFonts w:ascii="Arial" w:cs="Arial" w:eastAsia="Arial" w:hAnsi="Arial"/>
          <w:sz w:val="16"/>
          <w:szCs w:val="16"/>
          <w:i w:val="1"/>
          <w:iCs w:val="1"/>
          <w:color w:val="auto"/>
        </w:rPr>
        <w:t xml:space="preserve"> </w:t>
      </w:r>
      <w:r>
        <w:rPr>
          <w:rFonts w:ascii="Arial" w:cs="Arial" w:eastAsia="Arial" w:hAnsi="Arial"/>
          <w:sz w:val="16"/>
          <w:szCs w:val="16"/>
          <w:color w:val="auto"/>
        </w:rPr>
        <w:t>a supply chain partner that our customers can rely upon to deliver value-added components. We believe that our proprietary machinery, manufacturing processes and attention to quality and service are competitive advantages that allow us to consistently provide high quality precision products that meet exacting tolerances. For example, our grade 3 balls are manufactured to within three-millionths (0.000003) of an inch of roundness and our seal, retainer and plastic products are known for meeting the strict tolerances demanded by our customers. Our efforts to eliminate inefficient processes and improve productivity have enabled us to maintain our status as a low-cost producer.</w:t>
      </w:r>
    </w:p>
    <w:p>
      <w:pPr>
        <w:spacing w:after="0" w:line="25" w:lineRule="exact"/>
        <w:rPr>
          <w:rFonts w:ascii="Arial" w:cs="Arial" w:eastAsia="Arial" w:hAnsi="Arial"/>
          <w:sz w:val="16"/>
          <w:szCs w:val="16"/>
          <w:color w:val="auto"/>
        </w:rPr>
      </w:pPr>
    </w:p>
    <w:p>
      <w:pPr>
        <w:ind w:left="760" w:hanging="306"/>
        <w:spacing w:after="0" w:line="294" w:lineRule="auto"/>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Leading Outsourcing Alternative to Captive Manufacturing. </w:t>
      </w:r>
      <w:r>
        <w:rPr>
          <w:rFonts w:ascii="Arial" w:cs="Arial" w:eastAsia="Arial" w:hAnsi="Arial"/>
          <w:sz w:val="16"/>
          <w:szCs w:val="16"/>
          <w:color w:val="auto"/>
        </w:rPr>
        <w:t>Euroball is the bearing industry’s largest component outsourcing initiative and is an</w:t>
      </w:r>
      <w:r>
        <w:rPr>
          <w:rFonts w:ascii="Arial" w:cs="Arial" w:eastAsia="Arial" w:hAnsi="Arial"/>
          <w:sz w:val="16"/>
          <w:szCs w:val="16"/>
          <w:i w:val="1"/>
          <w:iCs w:val="1"/>
          <w:color w:val="auto"/>
        </w:rPr>
        <w:t xml:space="preserve"> </w:t>
      </w:r>
      <w:r>
        <w:rPr>
          <w:rFonts w:ascii="Arial" w:cs="Arial" w:eastAsia="Arial" w:hAnsi="Arial"/>
          <w:sz w:val="16"/>
          <w:szCs w:val="16"/>
          <w:color w:val="auto"/>
        </w:rPr>
        <w:t>important milestone for the bearing component industry. This innovative model has enhanced the industry’s awareness of the benefits of outsourcing and has established us as a proven, independent alternative to captive manufacturing. Our ability to focus solely on component manufacturing allows us to provide our customers with lower cost, higher quality products and improved customer service levels over captive manufacturing operations. Outsourcing also enables our customers to redirect critical capital investments.</w:t>
      </w:r>
    </w:p>
    <w:p>
      <w:pPr>
        <w:spacing w:after="0" w:line="21" w:lineRule="exact"/>
        <w:rPr>
          <w:rFonts w:ascii="Arial" w:cs="Arial" w:eastAsia="Arial" w:hAnsi="Arial"/>
          <w:sz w:val="16"/>
          <w:szCs w:val="16"/>
          <w:color w:val="auto"/>
        </w:rPr>
      </w:pPr>
    </w:p>
    <w:p>
      <w:pPr>
        <w:ind w:left="760" w:right="100" w:hanging="306"/>
        <w:spacing w:after="0" w:line="256"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Uniquely Positioned as Integrated Supplier of Bearing Components. </w:t>
      </w:r>
      <w:r>
        <w:rPr>
          <w:rFonts w:ascii="Arial" w:cs="Arial" w:eastAsia="Arial" w:hAnsi="Arial"/>
          <w:sz w:val="18"/>
          <w:szCs w:val="18"/>
          <w:color w:val="auto"/>
        </w:rPr>
        <w:t>Through our recent acquisitions, we have become a leading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supplier with the industry’s most complete line of bearing components. Our core ball and roller product offerings, complemented by our more recently acquired tapered roller, bearing retainer and seal products, have allowed us to expand our key customer relationships by offering our customers the value of a single supply chain partner for a wide variety of components.</w:t>
      </w:r>
    </w:p>
    <w:p>
      <w:pPr>
        <w:spacing w:after="0" w:line="129" w:lineRule="exact"/>
        <w:rPr>
          <w:rFonts w:ascii="Arial" w:cs="Arial" w:eastAsia="Arial" w:hAnsi="Arial"/>
          <w:sz w:val="18"/>
          <w:szCs w:val="18"/>
          <w:color w:val="auto"/>
        </w:rPr>
      </w:pPr>
    </w:p>
    <w:p>
      <w:pPr>
        <w:ind w:left="760" w:right="20" w:hanging="306"/>
        <w:spacing w:after="0" w:line="255"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Established Operating Expertise. </w:t>
      </w:r>
      <w:r>
        <w:rPr>
          <w:rFonts w:ascii="Arial" w:cs="Arial" w:eastAsia="Arial" w:hAnsi="Arial"/>
          <w:sz w:val="18"/>
          <w:szCs w:val="18"/>
          <w:color w:val="auto"/>
        </w:rPr>
        <w:t>Our experienced management team continues to be successful in implementing our strategic plan by completing</w:t>
      </w:r>
      <w:r>
        <w:rPr>
          <w:rFonts w:ascii="Arial" w:cs="Arial" w:eastAsia="Arial" w:hAnsi="Arial"/>
          <w:sz w:val="18"/>
          <w:szCs w:val="18"/>
          <w:i w:val="1"/>
          <w:iCs w:val="1"/>
          <w:color w:val="auto"/>
        </w:rPr>
        <w:t xml:space="preserve"> </w:t>
      </w:r>
      <w:r>
        <w:rPr>
          <w:rFonts w:ascii="Arial" w:cs="Arial" w:eastAsia="Arial" w:hAnsi="Arial"/>
          <w:sz w:val="18"/>
          <w:szCs w:val="18"/>
          <w:color w:val="auto"/>
        </w:rPr>
        <w:t>four major acquisitions since 1998 and executing significant cost rationalization programs domestically and in Europe. Our 11 senior managers average over 13 years of experience in the bearing component industry, which has allowed us to establish excellent working relationships with major bearing companies. Our management team has a proven track record of successfully managing our global businesses through international economic cycles, including the most recent economic downturn.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Our Business Strategy</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strategic plan is designed to increase our revenues, income and long-term shareholder value by:</w:t>
      </w:r>
    </w:p>
    <w:p>
      <w:pPr>
        <w:spacing w:after="0" w:line="15" w:lineRule="exact"/>
        <w:rPr>
          <w:sz w:val="20"/>
          <w:szCs w:val="20"/>
          <w:color w:val="auto"/>
        </w:rPr>
      </w:pPr>
    </w:p>
    <w:p>
      <w:pPr>
        <w:ind w:left="760" w:hanging="306"/>
        <w:spacing w:after="0" w:line="253"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Expanding Our Global Presence. </w:t>
      </w:r>
      <w:r>
        <w:rPr>
          <w:rFonts w:ascii="Arial" w:cs="Arial" w:eastAsia="Arial" w:hAnsi="Arial"/>
          <w:sz w:val="18"/>
          <w:szCs w:val="18"/>
          <w:color w:val="auto"/>
        </w:rPr>
        <w:t>We believe that maintaining production facilities in proximity to our major customers’ manufacturing operations is</w:t>
      </w:r>
      <w:r>
        <w:rPr>
          <w:rFonts w:ascii="Arial" w:cs="Arial" w:eastAsia="Arial" w:hAnsi="Arial"/>
          <w:sz w:val="18"/>
          <w:szCs w:val="18"/>
          <w:i w:val="1"/>
          <w:iCs w:val="1"/>
          <w:color w:val="auto"/>
        </w:rPr>
        <w:t xml:space="preserve"> </w:t>
      </w:r>
      <w:r>
        <w:rPr>
          <w:rFonts w:ascii="Arial" w:cs="Arial" w:eastAsia="Arial" w:hAnsi="Arial"/>
          <w:sz w:val="18"/>
          <w:szCs w:val="18"/>
          <w:color w:val="auto"/>
        </w:rPr>
        <w:t>essential. We see significant opportunities to increase market share and maintain our competitive cost advantage by expanding our global presence. We established our European presence in 1997 and, through Euroball, have become Europe’s leading provider of precision balls to the bearing industry. We see further opportunities to expand our global manufacturing base to Asia, Eastern Europe and other geographic regions to more effectively serve the customers in these markets.</w:t>
      </w:r>
    </w:p>
    <w:p>
      <w:pPr>
        <w:spacing w:after="0" w:line="50" w:lineRule="exact"/>
        <w:rPr>
          <w:rFonts w:ascii="Arial" w:cs="Arial" w:eastAsia="Arial" w:hAnsi="Arial"/>
          <w:sz w:val="18"/>
          <w:szCs w:val="18"/>
          <w:color w:val="auto"/>
        </w:rPr>
      </w:pPr>
    </w:p>
    <w:p>
      <w:pPr>
        <w:ind w:left="760" w:right="120" w:hanging="306"/>
        <w:spacing w:after="0" w:line="255"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Expanding Our Bearing Component Product Offerings. </w:t>
      </w:r>
      <w:r>
        <w:rPr>
          <w:rFonts w:ascii="Arial" w:cs="Arial" w:eastAsia="Arial" w:hAnsi="Arial"/>
          <w:sz w:val="18"/>
          <w:szCs w:val="18"/>
          <w:color w:val="auto"/>
        </w:rPr>
        <w:t>We seek to build on existing customer relationships and our core manufacturing and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competencies by diversifying into additional bearing component businesses. Our acquisitions have given us full-service design and production capabilities in bearing seals, plastic bearing retainers and tapered rollers. These products serve the same global bearing customers as our core ball and roller products. As a result, we are able to provide, as a single independent company, a more diversified product offering to our global bearing customers.</w:t>
      </w:r>
    </w:p>
    <w:p>
      <w:pPr>
        <w:spacing w:after="0" w:line="48" w:lineRule="exact"/>
        <w:rPr>
          <w:rFonts w:ascii="Arial" w:cs="Arial" w:eastAsia="Arial" w:hAnsi="Arial"/>
          <w:sz w:val="18"/>
          <w:szCs w:val="18"/>
          <w:color w:val="auto"/>
        </w:rPr>
      </w:pPr>
    </w:p>
    <w:p>
      <w:pPr>
        <w:ind w:left="760" w:right="140" w:hanging="306"/>
        <w:spacing w:after="0" w:line="255"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Continuing to Pursue Strategic Acquisitions and Alliances. </w:t>
      </w:r>
      <w:r>
        <w:rPr>
          <w:rFonts w:ascii="Arial" w:cs="Arial" w:eastAsia="Arial" w:hAnsi="Arial"/>
          <w:sz w:val="18"/>
          <w:szCs w:val="18"/>
          <w:color w:val="auto"/>
        </w:rPr>
        <w:t>Because much of the world’s bearing production capacity is located outside of the U.S.,</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sought to develop an effective way to serve our customers on a global basis and expand these critical customer relationships. We believe that outsourcing transactions and strategic acquisitions represent the most effective way to expand these relationships. The success of our approach, as in the case of Euroball, provides a framework for future strategic alliances and for future acquisitions of our customers’ captive bearing component operations.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Information</w:t>
      </w:r>
    </w:p>
    <w:p>
      <w:pPr>
        <w:spacing w:after="0" w:line="164"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 xml:space="preserve">Our principal executive offices are located at 2000 Waters Edge Drive, Johnson City, Tennessee 37604 and our telephone number is (423) 743-9151. Our Internet website address is </w:t>
      </w:r>
      <w:r>
        <w:rPr>
          <w:rFonts w:ascii="Arial" w:cs="Arial" w:eastAsia="Arial" w:hAnsi="Arial"/>
          <w:sz w:val="16"/>
          <w:szCs w:val="16"/>
          <w:i w:val="1"/>
          <w:iCs w:val="1"/>
          <w:color w:val="auto"/>
        </w:rPr>
        <w:t>www.nnbr.com</w:t>
      </w:r>
      <w:r>
        <w:rPr>
          <w:rFonts w:ascii="Arial" w:cs="Arial" w:eastAsia="Arial" w:hAnsi="Arial"/>
          <w:sz w:val="16"/>
          <w:szCs w:val="16"/>
          <w:color w:val="auto"/>
        </w:rPr>
        <w:t>. Information contained on our website is not part of this prospectus supplement.</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prospectus supplement includes and incorporates by reference “forward-looking statements” as that term is defined in the Private Securities Litigation Reform Act of 1995. These forward-looking statements are based on our current expectations, estimates and projections about the industry and markets in which we operate. Words such as “expects,” “anticipates,” “intends,” “plans,” “believes,” “seeks,” “estimates” and variations of such words and similar expressions are intended to identify such forward-looking statements. These statements are not guarantees of future performance and involve risks, uncertainties and assumptions, which are difficult to predict and many of which are beyond our control, including those described in “Risk Factors” on pages S-8 through S-11 of this prospectus supplement. Therefore, actual outcomes and results may differ materially from what is expressed, forecasted or implied in such forward-looking statements. We undertake no obligation to publicly update any forward-looking statements, whether as a result of new information, future events or otherwise, except as required by applicable law.</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0" w:type="dxa"/>
            <w:vAlign w:val="bottom"/>
          </w:tcPr>
          <w:p>
            <w:pPr>
              <w:spacing w:after="0"/>
              <w:rPr>
                <w:sz w:val="19"/>
                <w:szCs w:val="19"/>
                <w:color w:val="auto"/>
              </w:rPr>
            </w:pPr>
          </w:p>
        </w:tc>
        <w:tc>
          <w:tcPr>
            <w:tcW w:w="6820" w:type="dxa"/>
            <w:vAlign w:val="bottom"/>
          </w:tcPr>
          <w:p>
            <w:pPr>
              <w:ind w:left="620"/>
              <w:spacing w:after="0"/>
              <w:rPr>
                <w:sz w:val="20"/>
                <w:szCs w:val="20"/>
                <w:color w:val="auto"/>
              </w:rPr>
            </w:pPr>
            <w:r>
              <w:rPr>
                <w:rFonts w:ascii="Arial" w:cs="Arial" w:eastAsia="Arial" w:hAnsi="Arial"/>
                <w:sz w:val="18"/>
                <w:szCs w:val="18"/>
                <w:b w:val="1"/>
                <w:bCs w:val="1"/>
                <w:color w:val="auto"/>
              </w:rPr>
              <w:t>The Offering</w:t>
            </w:r>
          </w:p>
        </w:tc>
      </w:tr>
      <w:tr>
        <w:trPr>
          <w:trHeight w:val="151"/>
        </w:trPr>
        <w:tc>
          <w:tcPr>
            <w:tcW w:w="4600" w:type="dxa"/>
            <w:vAlign w:val="bottom"/>
          </w:tcPr>
          <w:p>
            <w:pPr>
              <w:spacing w:after="0"/>
              <w:rPr>
                <w:sz w:val="13"/>
                <w:szCs w:val="13"/>
                <w:color w:val="auto"/>
              </w:rPr>
            </w:pPr>
          </w:p>
        </w:tc>
        <w:tc>
          <w:tcPr>
            <w:tcW w:w="6820" w:type="dxa"/>
            <w:vAlign w:val="bottom"/>
          </w:tcPr>
          <w:p>
            <w:pPr>
              <w:spacing w:after="0"/>
              <w:rPr>
                <w:sz w:val="13"/>
                <w:szCs w:val="13"/>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being offered by the selling stockholders</w:t>
            </w:r>
          </w:p>
        </w:tc>
        <w:tc>
          <w:tcPr>
            <w:tcW w:w="682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3,556,895 shares</w:t>
            </w:r>
          </w:p>
        </w:tc>
      </w:tr>
      <w:tr>
        <w:trPr>
          <w:trHeight w:val="430"/>
        </w:trPr>
        <w:tc>
          <w:tcPr>
            <w:tcW w:w="4600" w:type="dxa"/>
            <w:vAlign w:val="bottom"/>
          </w:tcPr>
          <w:p>
            <w:pPr>
              <w:ind w:left="20"/>
              <w:spacing w:after="0"/>
              <w:rPr>
                <w:sz w:val="20"/>
                <w:szCs w:val="20"/>
                <w:color w:val="auto"/>
              </w:rPr>
            </w:pPr>
            <w:r>
              <w:rPr>
                <w:rFonts w:ascii="Arial" w:cs="Arial" w:eastAsia="Arial" w:hAnsi="Arial"/>
                <w:sz w:val="18"/>
                <w:szCs w:val="18"/>
                <w:color w:val="auto"/>
              </w:rPr>
              <w:t>Common stock to be outstanding after this offering</w:t>
            </w:r>
          </w:p>
        </w:tc>
        <w:tc>
          <w:tcPr>
            <w:tcW w:w="6820" w:type="dxa"/>
            <w:vAlign w:val="bottom"/>
          </w:tcPr>
          <w:p>
            <w:pPr>
              <w:ind w:left="1680"/>
              <w:spacing w:after="0"/>
              <w:rPr>
                <w:sz w:val="20"/>
                <w:szCs w:val="20"/>
                <w:color w:val="auto"/>
              </w:rPr>
            </w:pPr>
            <w:r>
              <w:rPr>
                <w:rFonts w:ascii="Arial" w:cs="Arial" w:eastAsia="Arial" w:hAnsi="Arial"/>
                <w:sz w:val="18"/>
                <w:szCs w:val="18"/>
                <w:color w:val="auto"/>
              </w:rPr>
              <w:t>16,081,441 shares(1)</w:t>
            </w:r>
          </w:p>
        </w:tc>
      </w:tr>
      <w:tr>
        <w:trPr>
          <w:trHeight w:val="218"/>
        </w:trPr>
        <w:tc>
          <w:tcPr>
            <w:tcW w:w="4600" w:type="dxa"/>
            <w:vAlign w:val="bottom"/>
          </w:tcPr>
          <w:p>
            <w:pPr>
              <w:spacing w:after="0"/>
              <w:rPr>
                <w:sz w:val="18"/>
                <w:szCs w:val="18"/>
                <w:color w:val="auto"/>
              </w:rPr>
            </w:pPr>
          </w:p>
        </w:tc>
        <w:tc>
          <w:tcPr>
            <w:tcW w:w="6820" w:type="dxa"/>
            <w:vAlign w:val="bottom"/>
          </w:tcPr>
          <w:p>
            <w:pPr>
              <w:spacing w:after="0"/>
              <w:rPr>
                <w:sz w:val="18"/>
                <w:szCs w:val="18"/>
                <w:color w:val="auto"/>
              </w:rPr>
            </w:pPr>
          </w:p>
        </w:tc>
      </w:tr>
      <w:tr>
        <w:trPr>
          <w:trHeight w:val="208"/>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Use of Proceeds</w:t>
            </w:r>
          </w:p>
        </w:tc>
        <w:tc>
          <w:tcPr>
            <w:tcW w:w="6820" w:type="dxa"/>
            <w:vAlign w:val="bottom"/>
            <w:shd w:val="clear" w:color="auto" w:fill="CCEEFF"/>
          </w:tcPr>
          <w:p>
            <w:pPr>
              <w:ind w:left="1680"/>
              <w:spacing w:after="0"/>
              <w:rPr>
                <w:sz w:val="20"/>
                <w:szCs w:val="20"/>
                <w:color w:val="auto"/>
              </w:rPr>
            </w:pPr>
            <w:r>
              <w:rPr>
                <w:rFonts w:ascii="Arial" w:cs="Arial" w:eastAsia="Arial" w:hAnsi="Arial"/>
                <w:sz w:val="18"/>
                <w:szCs w:val="18"/>
                <w:color w:val="auto"/>
                <w:w w:val="91"/>
              </w:rPr>
              <w:t>We will not receive any proceeds from the sale of shares by any of the</w:t>
            </w:r>
          </w:p>
        </w:tc>
      </w:tr>
      <w:tr>
        <w:trPr>
          <w:trHeight w:val="216"/>
        </w:trPr>
        <w:tc>
          <w:tcPr>
            <w:tcW w:w="4600" w:type="dxa"/>
            <w:vAlign w:val="bottom"/>
            <w:shd w:val="clear" w:color="auto" w:fill="CCEEFF"/>
          </w:tcPr>
          <w:p>
            <w:pPr>
              <w:spacing w:after="0"/>
              <w:rPr>
                <w:sz w:val="18"/>
                <w:szCs w:val="18"/>
                <w:color w:val="auto"/>
              </w:rPr>
            </w:pPr>
          </w:p>
        </w:tc>
        <w:tc>
          <w:tcPr>
            <w:tcW w:w="6820" w:type="dxa"/>
            <w:vAlign w:val="bottom"/>
            <w:shd w:val="clear" w:color="auto" w:fill="CCEEFF"/>
          </w:tcPr>
          <w:p>
            <w:pPr>
              <w:ind w:left="1680"/>
              <w:spacing w:after="0"/>
              <w:rPr>
                <w:sz w:val="20"/>
                <w:szCs w:val="20"/>
                <w:color w:val="auto"/>
              </w:rPr>
            </w:pPr>
            <w:r>
              <w:rPr>
                <w:rFonts w:ascii="Arial" w:cs="Arial" w:eastAsia="Arial" w:hAnsi="Arial"/>
                <w:sz w:val="18"/>
                <w:szCs w:val="18"/>
                <w:color w:val="auto"/>
                <w:w w:val="91"/>
              </w:rPr>
              <w:t>selling stockholders. If the over-allotment option is exercised in full, we</w:t>
            </w:r>
          </w:p>
        </w:tc>
      </w:tr>
      <w:tr>
        <w:trPr>
          <w:trHeight w:val="216"/>
        </w:trPr>
        <w:tc>
          <w:tcPr>
            <w:tcW w:w="4600" w:type="dxa"/>
            <w:vAlign w:val="bottom"/>
            <w:shd w:val="clear" w:color="auto" w:fill="CCEEFF"/>
          </w:tcPr>
          <w:p>
            <w:pPr>
              <w:spacing w:after="0"/>
              <w:rPr>
                <w:sz w:val="18"/>
                <w:szCs w:val="18"/>
                <w:color w:val="auto"/>
              </w:rPr>
            </w:pPr>
          </w:p>
        </w:tc>
        <w:tc>
          <w:tcPr>
            <w:tcW w:w="6820" w:type="dxa"/>
            <w:vAlign w:val="bottom"/>
            <w:shd w:val="clear" w:color="auto" w:fill="CCEEFF"/>
          </w:tcPr>
          <w:p>
            <w:pPr>
              <w:ind w:left="1680"/>
              <w:spacing w:after="0"/>
              <w:rPr>
                <w:sz w:val="20"/>
                <w:szCs w:val="20"/>
                <w:color w:val="auto"/>
              </w:rPr>
            </w:pPr>
            <w:r>
              <w:rPr>
                <w:rFonts w:ascii="Arial" w:cs="Arial" w:eastAsia="Arial" w:hAnsi="Arial"/>
                <w:sz w:val="18"/>
                <w:szCs w:val="18"/>
                <w:color w:val="auto"/>
                <w:w w:val="93"/>
              </w:rPr>
              <w:t>will use the estimated net proceeds of $5.4 million for working capital</w:t>
            </w:r>
          </w:p>
        </w:tc>
      </w:tr>
      <w:tr>
        <w:trPr>
          <w:trHeight w:val="216"/>
        </w:trPr>
        <w:tc>
          <w:tcPr>
            <w:tcW w:w="4600" w:type="dxa"/>
            <w:vAlign w:val="bottom"/>
            <w:shd w:val="clear" w:color="auto" w:fill="CCEEFF"/>
          </w:tcPr>
          <w:p>
            <w:pPr>
              <w:spacing w:after="0"/>
              <w:rPr>
                <w:sz w:val="18"/>
                <w:szCs w:val="18"/>
                <w:color w:val="auto"/>
              </w:rPr>
            </w:pPr>
          </w:p>
        </w:tc>
        <w:tc>
          <w:tcPr>
            <w:tcW w:w="6820" w:type="dxa"/>
            <w:vAlign w:val="bottom"/>
            <w:shd w:val="clear" w:color="auto" w:fill="CCEEFF"/>
          </w:tcPr>
          <w:p>
            <w:pPr>
              <w:ind w:left="1680"/>
              <w:spacing w:after="0"/>
              <w:rPr>
                <w:sz w:val="20"/>
                <w:szCs w:val="20"/>
                <w:color w:val="auto"/>
              </w:rPr>
            </w:pPr>
            <w:r>
              <w:rPr>
                <w:rFonts w:ascii="Arial" w:cs="Arial" w:eastAsia="Arial" w:hAnsi="Arial"/>
                <w:sz w:val="18"/>
                <w:szCs w:val="18"/>
                <w:color w:val="auto"/>
                <w:w w:val="88"/>
              </w:rPr>
              <w:t>and other general corporate purposes and to repay a portion of our bank</w:t>
            </w:r>
          </w:p>
        </w:tc>
      </w:tr>
      <w:tr>
        <w:trPr>
          <w:trHeight w:val="224"/>
        </w:trPr>
        <w:tc>
          <w:tcPr>
            <w:tcW w:w="4600" w:type="dxa"/>
            <w:vAlign w:val="bottom"/>
            <w:shd w:val="clear" w:color="auto" w:fill="CCEEFF"/>
          </w:tcPr>
          <w:p>
            <w:pPr>
              <w:spacing w:after="0"/>
              <w:rPr>
                <w:sz w:val="19"/>
                <w:szCs w:val="19"/>
                <w:color w:val="auto"/>
              </w:rPr>
            </w:pPr>
          </w:p>
        </w:tc>
        <w:tc>
          <w:tcPr>
            <w:tcW w:w="682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indebtedness. See “Use of Proceeds.”</w:t>
            </w:r>
          </w:p>
        </w:tc>
      </w:tr>
      <w:tr>
        <w:trPr>
          <w:trHeight w:val="430"/>
        </w:trPr>
        <w:tc>
          <w:tcPr>
            <w:tcW w:w="4600" w:type="dxa"/>
            <w:vAlign w:val="bottom"/>
          </w:tcPr>
          <w:p>
            <w:pPr>
              <w:ind w:left="20"/>
              <w:spacing w:after="0"/>
              <w:rPr>
                <w:sz w:val="20"/>
                <w:szCs w:val="20"/>
                <w:color w:val="auto"/>
              </w:rPr>
            </w:pPr>
            <w:r>
              <w:rPr>
                <w:rFonts w:ascii="Arial" w:cs="Arial" w:eastAsia="Arial" w:hAnsi="Arial"/>
                <w:sz w:val="18"/>
                <w:szCs w:val="18"/>
                <w:color w:val="auto"/>
              </w:rPr>
              <w:t>Nasdaq National Market symbol</w:t>
            </w:r>
          </w:p>
        </w:tc>
        <w:tc>
          <w:tcPr>
            <w:tcW w:w="6820" w:type="dxa"/>
            <w:vAlign w:val="bottom"/>
          </w:tcPr>
          <w:p>
            <w:pPr>
              <w:ind w:left="1680"/>
              <w:spacing w:after="0"/>
              <w:rPr>
                <w:sz w:val="20"/>
                <w:szCs w:val="20"/>
                <w:color w:val="auto"/>
              </w:rPr>
            </w:pPr>
            <w:r>
              <w:rPr>
                <w:rFonts w:ascii="Arial" w:cs="Arial" w:eastAsia="Arial" w:hAnsi="Arial"/>
                <w:sz w:val="18"/>
                <w:szCs w:val="18"/>
                <w:color w:val="auto"/>
              </w:rPr>
              <w:t>NNBR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5600" w:right="1940" w:hanging="5592"/>
        <w:spacing w:after="0" w:line="440" w:lineRule="auto"/>
        <w:tabs>
          <w:tab w:leader="none" w:pos="462" w:val="left"/>
        </w:tabs>
        <w:numPr>
          <w:ilvl w:val="0"/>
          <w:numId w:val="4"/>
        </w:numPr>
        <w:rPr>
          <w:rFonts w:ascii="Arial" w:cs="Arial" w:eastAsia="Arial" w:hAnsi="Arial"/>
          <w:sz w:val="18"/>
          <w:szCs w:val="18"/>
          <w:color w:val="auto"/>
        </w:rPr>
      </w:pPr>
      <w:r>
        <w:rPr>
          <w:rFonts w:ascii="Arial" w:cs="Arial" w:eastAsia="Arial" w:hAnsi="Arial"/>
          <w:sz w:val="18"/>
          <w:szCs w:val="18"/>
          <w:color w:val="auto"/>
        </w:rPr>
        <w:t>Does not include up to 533,600 shares the underwriters have the option to purchase from the Company to cover over-allotments. S-5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Data</w:t>
      </w:r>
    </w:p>
    <w:p>
      <w:pPr>
        <w:spacing w:after="0" w:line="164"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The summary consolidated financial data presented below have been derived from our consolidated financial statements. Our consolidated financial statements as of and for the years ended December 31, 2000, 2001 and 2002 have been audited by KPMG LLP. Our consolidated financial statements as of and for the years ended December 31, 1998 and 1999 have been audited by PricewaterhouseCoopers LLP. Data for the three-month periods ended March 31, 2002 and 2003 have been derived from unaudited consolidated financial statements which, in our opinion, reflect all adjustments necessary for a fair presentation. Results for the three-month periods are not necessarily indicative of results for the full year. You should read the summary consolidated financial data presented below in conjunction with our consolidated financial statements and the notes thereto and other financial information included elsewhere in this prospectus supplement or incorporated by reference. For more details on how you can obtain our SEC reports incorporated by reference in this prospectus supplement, you should read the sections of this prospectus supplement and the prospectus entitled “Where You Can Find More Information.”</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0" w:type="dxa"/>
            <w:vAlign w:val="bottom"/>
            <w:gridSpan w:val="9"/>
          </w:tcPr>
          <w:p>
            <w:pPr>
              <w:jc w:val="right"/>
              <w:ind w:right="840"/>
              <w:spacing w:after="0"/>
              <w:rPr>
                <w:sz w:val="20"/>
                <w:szCs w:val="20"/>
                <w:color w:val="auto"/>
              </w:rPr>
            </w:pPr>
            <w:r>
              <w:rPr>
                <w:rFonts w:ascii="Arial" w:cs="Arial" w:eastAsia="Arial" w:hAnsi="Arial"/>
                <w:sz w:val="14"/>
                <w:szCs w:val="14"/>
                <w:b w:val="1"/>
                <w:bCs w:val="1"/>
                <w:color w:val="auto"/>
                <w:w w:val="89"/>
              </w:rPr>
              <w:t>Year Ended December 31,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95"/>
        </w:trPr>
        <w:tc>
          <w:tcPr>
            <w:tcW w:w="6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63"/>
        </w:trPr>
        <w:tc>
          <w:tcPr>
            <w:tcW w:w="6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72"/>
              <w:spacing w:after="0"/>
              <w:rPr>
                <w:sz w:val="20"/>
                <w:szCs w:val="20"/>
                <w:color w:val="auto"/>
              </w:rPr>
            </w:pPr>
            <w:r>
              <w:rPr>
                <w:rFonts w:ascii="Arial" w:cs="Arial" w:eastAsia="Arial" w:hAnsi="Arial"/>
                <w:sz w:val="14"/>
                <w:szCs w:val="14"/>
                <w:b w:val="1"/>
                <w:bCs w:val="1"/>
                <w:color w:val="auto"/>
                <w:w w:val="89"/>
              </w:rPr>
              <w:t>1998</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1999</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2000</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2001</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ind w:right="132"/>
              <w:spacing w:after="0"/>
              <w:rPr>
                <w:sz w:val="20"/>
                <w:szCs w:val="20"/>
                <w:color w:val="auto"/>
              </w:rPr>
            </w:pPr>
            <w:r>
              <w:rPr>
                <w:rFonts w:ascii="Arial" w:cs="Arial" w:eastAsia="Arial" w:hAnsi="Arial"/>
                <w:sz w:val="14"/>
                <w:szCs w:val="14"/>
                <w:b w:val="1"/>
                <w:bCs w:val="1"/>
                <w:color w:val="auto"/>
                <w:w w:val="96"/>
              </w:rPr>
              <w:t>2002</w:t>
            </w:r>
          </w:p>
        </w:tc>
        <w:tc>
          <w:tcPr>
            <w:tcW w:w="80" w:type="dxa"/>
            <w:vAlign w:val="bottom"/>
          </w:tcPr>
          <w:p>
            <w:pPr>
              <w:spacing w:after="0"/>
              <w:rPr>
                <w:sz w:val="22"/>
                <w:szCs w:val="22"/>
                <w:color w:val="auto"/>
              </w:rPr>
            </w:pPr>
          </w:p>
        </w:tc>
      </w:tr>
      <w:tr>
        <w:trPr>
          <w:trHeight w:val="95"/>
        </w:trPr>
        <w:tc>
          <w:tcPr>
            <w:tcW w:w="6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6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60" w:type="dxa"/>
            <w:vAlign w:val="bottom"/>
            <w:gridSpan w:val="10"/>
          </w:tcPr>
          <w:p>
            <w:pPr>
              <w:jc w:val="right"/>
              <w:ind w:right="520"/>
              <w:spacing w:after="0"/>
              <w:rPr>
                <w:sz w:val="20"/>
                <w:szCs w:val="20"/>
                <w:color w:val="auto"/>
              </w:rPr>
            </w:pPr>
            <w:r>
              <w:rPr>
                <w:rFonts w:ascii="Arial" w:cs="Arial" w:eastAsia="Arial" w:hAnsi="Arial"/>
                <w:sz w:val="14"/>
                <w:szCs w:val="14"/>
                <w:b w:val="1"/>
                <w:bCs w:val="1"/>
                <w:color w:val="auto"/>
                <w:w w:val="93"/>
              </w:rPr>
              <w:t>(in thousands, except per share data)</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9"/>
        </w:trPr>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Income Data:</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6840" w:type="dxa"/>
            <w:vAlign w:val="bottom"/>
          </w:tcPr>
          <w:p>
            <w:pPr>
              <w:ind w:left="140"/>
              <w:spacing w:after="0" w:line="149" w:lineRule="exact"/>
              <w:rPr>
                <w:sz w:val="20"/>
                <w:szCs w:val="20"/>
                <w:color w:val="auto"/>
              </w:rPr>
            </w:pPr>
            <w:r>
              <w:rPr>
                <w:rFonts w:ascii="Arial" w:cs="Arial" w:eastAsia="Arial" w:hAnsi="Arial"/>
                <w:sz w:val="14"/>
                <w:szCs w:val="14"/>
                <w:color w:val="auto"/>
              </w:rPr>
              <w:t>Net sales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73,006</w:t>
            </w: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85,294</w:t>
            </w:r>
          </w:p>
        </w:tc>
        <w:tc>
          <w:tcPr>
            <w:tcW w:w="4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132,129</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180,151</w:t>
            </w:r>
          </w:p>
        </w:tc>
        <w:tc>
          <w:tcPr>
            <w:tcW w:w="400" w:type="dxa"/>
            <w:vAlign w:val="bottom"/>
          </w:tcPr>
          <w:p>
            <w:pPr>
              <w:spacing w:after="0"/>
              <w:rPr>
                <w:sz w:val="12"/>
                <w:szCs w:val="12"/>
                <w:color w:val="auto"/>
              </w:rPr>
            </w:pPr>
          </w:p>
        </w:tc>
        <w:tc>
          <w:tcPr>
            <w:tcW w:w="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192,856</w:t>
            </w:r>
          </w:p>
        </w:tc>
        <w:tc>
          <w:tcPr>
            <w:tcW w:w="80" w:type="dxa"/>
            <w:vAlign w:val="bottom"/>
          </w:tcPr>
          <w:p>
            <w:pPr>
              <w:spacing w:after="0"/>
              <w:rPr>
                <w:sz w:val="12"/>
                <w:szCs w:val="12"/>
                <w:color w:val="auto"/>
              </w:rPr>
            </w:pPr>
          </w:p>
        </w:tc>
      </w:tr>
      <w:tr>
        <w:trPr>
          <w:trHeight w:val="149"/>
        </w:trPr>
        <w:tc>
          <w:tcPr>
            <w:tcW w:w="6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Cost of products sold</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50,353</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59,967</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93,926</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137,221</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144,274</w:t>
            </w:r>
          </w:p>
        </w:tc>
        <w:tc>
          <w:tcPr>
            <w:tcW w:w="80" w:type="dxa"/>
            <w:vAlign w:val="bottom"/>
            <w:shd w:val="clear" w:color="auto" w:fill="CCEEFF"/>
          </w:tcPr>
          <w:p>
            <w:pPr>
              <w:spacing w:after="0"/>
              <w:rPr>
                <w:sz w:val="12"/>
                <w:szCs w:val="12"/>
                <w:color w:val="auto"/>
              </w:rPr>
            </w:pPr>
          </w:p>
        </w:tc>
      </w:tr>
      <w:tr>
        <w:trPr>
          <w:trHeight w:val="108"/>
        </w:trPr>
        <w:tc>
          <w:tcPr>
            <w:tcW w:w="6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6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49"/>
        </w:trPr>
        <w:tc>
          <w:tcPr>
            <w:tcW w:w="6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Gross profit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22,653</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25,327</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38,203</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42,930</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48,582</w:t>
            </w:r>
          </w:p>
        </w:tc>
        <w:tc>
          <w:tcPr>
            <w:tcW w:w="80" w:type="dxa"/>
            <w:vAlign w:val="bottom"/>
            <w:shd w:val="clear" w:color="auto" w:fill="CCEEFF"/>
          </w:tcPr>
          <w:p>
            <w:pPr>
              <w:spacing w:after="0"/>
              <w:rPr>
                <w:sz w:val="12"/>
                <w:szCs w:val="12"/>
                <w:color w:val="auto"/>
              </w:rPr>
            </w:pPr>
          </w:p>
        </w:tc>
      </w:tr>
      <w:tr>
        <w:trPr>
          <w:trHeight w:val="149"/>
        </w:trPr>
        <w:tc>
          <w:tcPr>
            <w:tcW w:w="6840" w:type="dxa"/>
            <w:vAlign w:val="bottom"/>
          </w:tcPr>
          <w:p>
            <w:pPr>
              <w:ind w:left="140"/>
              <w:spacing w:after="0" w:line="149" w:lineRule="exact"/>
              <w:rPr>
                <w:sz w:val="20"/>
                <w:szCs w:val="20"/>
                <w:color w:val="auto"/>
              </w:rPr>
            </w:pPr>
            <w:r>
              <w:rPr>
                <w:rFonts w:ascii="Arial" w:cs="Arial" w:eastAsia="Arial" w:hAnsi="Arial"/>
                <w:sz w:val="14"/>
                <w:szCs w:val="14"/>
                <w:color w:val="auto"/>
              </w:rPr>
              <w:t>Selling, general and administrative expenses</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5,896</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6,854</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11,571</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16,752</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17,134</w:t>
            </w:r>
          </w:p>
        </w:tc>
        <w:tc>
          <w:tcPr>
            <w:tcW w:w="80" w:type="dxa"/>
            <w:vAlign w:val="bottom"/>
          </w:tcPr>
          <w:p>
            <w:pPr>
              <w:spacing w:after="0"/>
              <w:rPr>
                <w:sz w:val="12"/>
                <w:szCs w:val="12"/>
                <w:color w:val="auto"/>
              </w:rPr>
            </w:pPr>
          </w:p>
        </w:tc>
      </w:tr>
      <w:tr>
        <w:trPr>
          <w:trHeight w:val="149"/>
        </w:trPr>
        <w:tc>
          <w:tcPr>
            <w:tcW w:w="6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4,557</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6,131</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9,165</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13,150</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11,212</w:t>
            </w:r>
          </w:p>
        </w:tc>
        <w:tc>
          <w:tcPr>
            <w:tcW w:w="80" w:type="dxa"/>
            <w:vAlign w:val="bottom"/>
            <w:shd w:val="clear" w:color="auto" w:fill="CCEEFF"/>
          </w:tcPr>
          <w:p>
            <w:pPr>
              <w:spacing w:after="0"/>
              <w:rPr>
                <w:sz w:val="12"/>
                <w:szCs w:val="12"/>
                <w:color w:val="auto"/>
              </w:rPr>
            </w:pPr>
          </w:p>
        </w:tc>
      </w:tr>
      <w:tr>
        <w:trPr>
          <w:trHeight w:val="172"/>
        </w:trPr>
        <w:tc>
          <w:tcPr>
            <w:tcW w:w="6840" w:type="dxa"/>
            <w:vAlign w:val="bottom"/>
          </w:tcPr>
          <w:p>
            <w:pPr>
              <w:ind w:left="140"/>
              <w:spacing w:after="0"/>
              <w:rPr>
                <w:sz w:val="20"/>
                <w:szCs w:val="20"/>
                <w:color w:val="auto"/>
              </w:rPr>
            </w:pPr>
            <w:r>
              <w:rPr>
                <w:rFonts w:ascii="Arial" w:cs="Arial" w:eastAsia="Arial" w:hAnsi="Arial"/>
                <w:sz w:val="14"/>
                <w:szCs w:val="14"/>
                <w:color w:val="auto"/>
              </w:rPr>
              <w:t>Restructuring and impairment costs</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2,312</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1,277</w:t>
            </w:r>
          </w:p>
        </w:tc>
        <w:tc>
          <w:tcPr>
            <w:tcW w:w="80" w:type="dxa"/>
            <w:vAlign w:val="bottom"/>
          </w:tcPr>
          <w:p>
            <w:pPr>
              <w:spacing w:after="0"/>
              <w:rPr>
                <w:sz w:val="14"/>
                <w:szCs w:val="14"/>
                <w:color w:val="auto"/>
              </w:rPr>
            </w:pPr>
          </w:p>
        </w:tc>
      </w:tr>
      <w:tr>
        <w:trPr>
          <w:trHeight w:val="84"/>
        </w:trPr>
        <w:tc>
          <w:tcPr>
            <w:tcW w:w="68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r>
      <w:tr>
        <w:trPr>
          <w:trHeight w:val="102"/>
        </w:trPr>
        <w:tc>
          <w:tcPr>
            <w:tcW w:w="6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49"/>
        </w:trPr>
        <w:tc>
          <w:tcPr>
            <w:tcW w:w="6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Income from operations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12,200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12,342</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17,467</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10,716</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18,959</w:t>
            </w:r>
          </w:p>
        </w:tc>
        <w:tc>
          <w:tcPr>
            <w:tcW w:w="80" w:type="dxa"/>
            <w:vAlign w:val="bottom"/>
            <w:shd w:val="clear" w:color="auto" w:fill="CCEEFF"/>
          </w:tcPr>
          <w:p>
            <w:pPr>
              <w:spacing w:after="0"/>
              <w:rPr>
                <w:sz w:val="12"/>
                <w:szCs w:val="12"/>
                <w:color w:val="auto"/>
              </w:rPr>
            </w:pPr>
          </w:p>
        </w:tc>
      </w:tr>
      <w:tr>
        <w:trPr>
          <w:trHeight w:val="149"/>
        </w:trPr>
        <w:tc>
          <w:tcPr>
            <w:tcW w:w="6840" w:type="dxa"/>
            <w:vAlign w:val="bottom"/>
          </w:tcPr>
          <w:p>
            <w:pPr>
              <w:ind w:left="140"/>
              <w:spacing w:after="0" w:line="149" w:lineRule="exact"/>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523</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1,773</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4,196</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2,451</w:t>
            </w:r>
          </w:p>
        </w:tc>
        <w:tc>
          <w:tcPr>
            <w:tcW w:w="80" w:type="dxa"/>
            <w:vAlign w:val="bottom"/>
          </w:tcPr>
          <w:p>
            <w:pPr>
              <w:spacing w:after="0"/>
              <w:rPr>
                <w:sz w:val="12"/>
                <w:szCs w:val="12"/>
                <w:color w:val="auto"/>
              </w:rPr>
            </w:pPr>
          </w:p>
        </w:tc>
      </w:tr>
      <w:tr>
        <w:trPr>
          <w:trHeight w:val="149"/>
        </w:trPr>
        <w:tc>
          <w:tcPr>
            <w:tcW w:w="6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Equity in earnings of unconsolidated affiliate</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(48)</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9"/>
        </w:trPr>
        <w:tc>
          <w:tcPr>
            <w:tcW w:w="6840" w:type="dxa"/>
            <w:vAlign w:val="bottom"/>
          </w:tcPr>
          <w:p>
            <w:pPr>
              <w:ind w:left="140"/>
              <w:spacing w:after="0" w:line="149" w:lineRule="exact"/>
              <w:rPr>
                <w:sz w:val="20"/>
                <w:szCs w:val="20"/>
                <w:color w:val="auto"/>
              </w:rPr>
            </w:pPr>
            <w:r>
              <w:rPr>
                <w:rFonts w:ascii="Arial" w:cs="Arial" w:eastAsia="Arial" w:hAnsi="Arial"/>
                <w:sz w:val="14"/>
                <w:szCs w:val="14"/>
                <w:color w:val="auto"/>
              </w:rPr>
              <w:t>Net gain on involuntary conversion</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(728)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(3,901)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9"/>
        </w:trPr>
        <w:tc>
          <w:tcPr>
            <w:tcW w:w="6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Net gain on purchase of minority interest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(5,904)</w:t>
            </w:r>
          </w:p>
        </w:tc>
      </w:tr>
      <w:tr>
        <w:trPr>
          <w:trHeight w:val="172"/>
        </w:trPr>
        <w:tc>
          <w:tcPr>
            <w:tcW w:w="6840" w:type="dxa"/>
            <w:vAlign w:val="bottom"/>
          </w:tcPr>
          <w:p>
            <w:pPr>
              <w:ind w:left="140"/>
              <w:spacing w:after="0"/>
              <w:rPr>
                <w:sz w:val="20"/>
                <w:szCs w:val="20"/>
                <w:color w:val="auto"/>
              </w:rPr>
            </w:pPr>
            <w:r>
              <w:rPr>
                <w:rFonts w:ascii="Arial" w:cs="Arial" w:eastAsia="Arial" w:hAnsi="Arial"/>
                <w:sz w:val="14"/>
                <w:szCs w:val="14"/>
                <w:color w:val="auto"/>
              </w:rPr>
              <w:t>Other income</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(136)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(186)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(487)</w:t>
            </w:r>
          </w:p>
        </w:tc>
      </w:tr>
      <w:tr>
        <w:trPr>
          <w:trHeight w:val="84"/>
        </w:trPr>
        <w:tc>
          <w:tcPr>
            <w:tcW w:w="68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r>
      <w:tr>
        <w:trPr>
          <w:trHeight w:val="102"/>
        </w:trPr>
        <w:tc>
          <w:tcPr>
            <w:tcW w:w="6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49"/>
        </w:trPr>
        <w:tc>
          <w:tcPr>
            <w:tcW w:w="6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Income before provision for income taxes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12,136</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11,819</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16,606</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10,607</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22,899</w:t>
            </w:r>
          </w:p>
        </w:tc>
        <w:tc>
          <w:tcPr>
            <w:tcW w:w="80" w:type="dxa"/>
            <w:vAlign w:val="bottom"/>
            <w:shd w:val="clear" w:color="auto" w:fill="CCEEFF"/>
          </w:tcPr>
          <w:p>
            <w:pPr>
              <w:spacing w:after="0"/>
              <w:rPr>
                <w:sz w:val="12"/>
                <w:szCs w:val="12"/>
                <w:color w:val="auto"/>
              </w:rPr>
            </w:pPr>
          </w:p>
        </w:tc>
      </w:tr>
      <w:tr>
        <w:trPr>
          <w:trHeight w:val="149"/>
        </w:trPr>
        <w:tc>
          <w:tcPr>
            <w:tcW w:w="6840" w:type="dxa"/>
            <w:vAlign w:val="bottom"/>
          </w:tcPr>
          <w:p>
            <w:pPr>
              <w:ind w:left="140"/>
              <w:spacing w:after="0" w:line="149" w:lineRule="exact"/>
              <w:rPr>
                <w:sz w:val="20"/>
                <w:szCs w:val="20"/>
                <w:color w:val="auto"/>
              </w:rPr>
            </w:pPr>
            <w:r>
              <w:rPr>
                <w:rFonts w:ascii="Arial" w:cs="Arial" w:eastAsia="Arial" w:hAnsi="Arial"/>
                <w:sz w:val="14"/>
                <w:szCs w:val="14"/>
                <w:color w:val="auto"/>
              </w:rPr>
              <w:t>Provision for income taxes</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4,480</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4,060</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5,959</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4,094</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6,457</w:t>
            </w:r>
          </w:p>
        </w:tc>
        <w:tc>
          <w:tcPr>
            <w:tcW w:w="80" w:type="dxa"/>
            <w:vAlign w:val="bottom"/>
          </w:tcPr>
          <w:p>
            <w:pPr>
              <w:spacing w:after="0"/>
              <w:rPr>
                <w:sz w:val="12"/>
                <w:szCs w:val="12"/>
                <w:color w:val="auto"/>
              </w:rPr>
            </w:pPr>
          </w:p>
        </w:tc>
      </w:tr>
      <w:tr>
        <w:trPr>
          <w:trHeight w:val="149"/>
        </w:trPr>
        <w:tc>
          <w:tcPr>
            <w:tcW w:w="6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Minority interest in income of consolidated subsidiary</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660</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1,753</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2,778</w:t>
            </w:r>
          </w:p>
        </w:tc>
        <w:tc>
          <w:tcPr>
            <w:tcW w:w="80" w:type="dxa"/>
            <w:vAlign w:val="bottom"/>
            <w:shd w:val="clear" w:color="auto" w:fill="CCEEFF"/>
          </w:tcPr>
          <w:p>
            <w:pPr>
              <w:spacing w:after="0"/>
              <w:rPr>
                <w:sz w:val="12"/>
                <w:szCs w:val="12"/>
                <w:color w:val="auto"/>
              </w:rPr>
            </w:pPr>
          </w:p>
        </w:tc>
      </w:tr>
      <w:tr>
        <w:trPr>
          <w:trHeight w:val="108"/>
        </w:trPr>
        <w:tc>
          <w:tcPr>
            <w:tcW w:w="6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6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49"/>
        </w:trPr>
        <w:tc>
          <w:tcPr>
            <w:tcW w:w="6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Income before cumulative effect of change in accounting principle</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7,656</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7,759</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9,987</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4,760</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13,664</w:t>
            </w:r>
          </w:p>
        </w:tc>
        <w:tc>
          <w:tcPr>
            <w:tcW w:w="80" w:type="dxa"/>
            <w:vAlign w:val="bottom"/>
            <w:shd w:val="clear" w:color="auto" w:fill="CCEEFF"/>
          </w:tcPr>
          <w:p>
            <w:pPr>
              <w:spacing w:after="0"/>
              <w:rPr>
                <w:sz w:val="12"/>
                <w:szCs w:val="12"/>
                <w:color w:val="auto"/>
              </w:rPr>
            </w:pPr>
          </w:p>
        </w:tc>
      </w:tr>
      <w:tr>
        <w:trPr>
          <w:trHeight w:val="138"/>
        </w:trPr>
        <w:tc>
          <w:tcPr>
            <w:tcW w:w="6840" w:type="dxa"/>
            <w:vAlign w:val="bottom"/>
          </w:tcPr>
          <w:p>
            <w:pPr>
              <w:ind w:left="140"/>
              <w:spacing w:after="0" w:line="138" w:lineRule="exact"/>
              <w:rPr>
                <w:sz w:val="20"/>
                <w:szCs w:val="20"/>
                <w:color w:val="auto"/>
              </w:rPr>
            </w:pPr>
            <w:r>
              <w:rPr>
                <w:rFonts w:ascii="Arial" w:cs="Arial" w:eastAsia="Arial" w:hAnsi="Arial"/>
                <w:sz w:val="14"/>
                <w:szCs w:val="14"/>
                <w:color w:val="auto"/>
                <w:w w:val="94"/>
              </w:rPr>
              <w:t>Cumulative effect of change in accounting principle, net of income tax benefit of $112 and related minority interest</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72"/>
        </w:trPr>
        <w:tc>
          <w:tcPr>
            <w:tcW w:w="6840" w:type="dxa"/>
            <w:vAlign w:val="bottom"/>
          </w:tcPr>
          <w:p>
            <w:pPr>
              <w:ind w:left="200"/>
              <w:spacing w:after="0"/>
              <w:rPr>
                <w:sz w:val="20"/>
                <w:szCs w:val="20"/>
                <w:color w:val="auto"/>
              </w:rPr>
            </w:pPr>
            <w:r>
              <w:rPr>
                <w:rFonts w:ascii="Arial" w:cs="Arial" w:eastAsia="Arial" w:hAnsi="Arial"/>
                <w:sz w:val="14"/>
                <w:szCs w:val="14"/>
                <w:color w:val="auto"/>
              </w:rPr>
              <w:t>impact of $84</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98</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95"/>
        </w:trPr>
        <w:tc>
          <w:tcPr>
            <w:tcW w:w="6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6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49"/>
        </w:trPr>
        <w:tc>
          <w:tcPr>
            <w:tcW w:w="6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7,656</w:t>
            </w: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7,759</w:t>
            </w:r>
          </w:p>
        </w:tc>
        <w:tc>
          <w:tcPr>
            <w:tcW w:w="4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9,987</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4,662</w:t>
            </w:r>
          </w:p>
        </w:tc>
        <w:tc>
          <w:tcPr>
            <w:tcW w:w="4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13,664</w:t>
            </w:r>
          </w:p>
        </w:tc>
        <w:tc>
          <w:tcPr>
            <w:tcW w:w="80" w:type="dxa"/>
            <w:vAlign w:val="bottom"/>
            <w:shd w:val="clear" w:color="auto" w:fill="CCEEFF"/>
          </w:tcPr>
          <w:p>
            <w:pPr>
              <w:spacing w:after="0"/>
              <w:rPr>
                <w:sz w:val="12"/>
                <w:szCs w:val="12"/>
                <w:color w:val="auto"/>
              </w:rPr>
            </w:pPr>
          </w:p>
        </w:tc>
      </w:tr>
      <w:tr>
        <w:trPr>
          <w:trHeight w:val="132"/>
        </w:trPr>
        <w:tc>
          <w:tcPr>
            <w:tcW w:w="6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86"/>
        </w:trPr>
        <w:tc>
          <w:tcPr>
            <w:tcW w:w="6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49"/>
        </w:trPr>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Earnings Per Share:</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6840" w:type="dxa"/>
            <w:vAlign w:val="bottom"/>
          </w:tcPr>
          <w:p>
            <w:pPr>
              <w:ind w:left="140"/>
              <w:spacing w:after="0" w:line="149" w:lineRule="exact"/>
              <w:rPr>
                <w:sz w:val="20"/>
                <w:szCs w:val="20"/>
                <w:color w:val="auto"/>
              </w:rPr>
            </w:pPr>
            <w:r>
              <w:rPr>
                <w:rFonts w:ascii="Arial" w:cs="Arial" w:eastAsia="Arial" w:hAnsi="Arial"/>
                <w:sz w:val="14"/>
                <w:szCs w:val="14"/>
                <w:color w:val="auto"/>
              </w:rPr>
              <w:t>Basic</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0.52</w:t>
            </w: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0.52</w:t>
            </w:r>
          </w:p>
        </w:tc>
        <w:tc>
          <w:tcPr>
            <w:tcW w:w="4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0.66</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0.31</w:t>
            </w:r>
          </w:p>
        </w:tc>
        <w:tc>
          <w:tcPr>
            <w:tcW w:w="400" w:type="dxa"/>
            <w:vAlign w:val="bottom"/>
          </w:tcPr>
          <w:p>
            <w:pPr>
              <w:spacing w:after="0"/>
              <w:rPr>
                <w:sz w:val="12"/>
                <w:szCs w:val="12"/>
                <w:color w:val="auto"/>
              </w:rPr>
            </w:pPr>
          </w:p>
        </w:tc>
        <w:tc>
          <w:tcPr>
            <w:tcW w:w="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0.89</w:t>
            </w:r>
          </w:p>
        </w:tc>
        <w:tc>
          <w:tcPr>
            <w:tcW w:w="80" w:type="dxa"/>
            <w:vAlign w:val="bottom"/>
          </w:tcPr>
          <w:p>
            <w:pPr>
              <w:spacing w:after="0"/>
              <w:rPr>
                <w:sz w:val="12"/>
                <w:szCs w:val="12"/>
                <w:color w:val="auto"/>
              </w:rPr>
            </w:pPr>
          </w:p>
        </w:tc>
      </w:tr>
      <w:tr>
        <w:trPr>
          <w:trHeight w:val="149"/>
        </w:trPr>
        <w:tc>
          <w:tcPr>
            <w:tcW w:w="6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0.52</w:t>
            </w: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0.52</w:t>
            </w:r>
          </w:p>
        </w:tc>
        <w:tc>
          <w:tcPr>
            <w:tcW w:w="4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0.64</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0.30</w:t>
            </w:r>
          </w:p>
        </w:tc>
        <w:tc>
          <w:tcPr>
            <w:tcW w:w="4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0.87</w:t>
            </w:r>
          </w:p>
        </w:tc>
        <w:tc>
          <w:tcPr>
            <w:tcW w:w="80" w:type="dxa"/>
            <w:vAlign w:val="bottom"/>
            <w:shd w:val="clear" w:color="auto" w:fill="CCEEFF"/>
          </w:tcPr>
          <w:p>
            <w:pPr>
              <w:spacing w:after="0"/>
              <w:rPr>
                <w:sz w:val="12"/>
                <w:szCs w:val="12"/>
                <w:color w:val="auto"/>
              </w:rPr>
            </w:pPr>
          </w:p>
        </w:tc>
      </w:tr>
      <w:tr>
        <w:trPr>
          <w:trHeight w:val="149"/>
        </w:trPr>
        <w:tc>
          <w:tcPr>
            <w:tcW w:w="6840" w:type="dxa"/>
            <w:vAlign w:val="bottom"/>
          </w:tcPr>
          <w:p>
            <w:pPr>
              <w:ind w:left="140"/>
              <w:spacing w:after="0" w:line="149" w:lineRule="exact"/>
              <w:rPr>
                <w:sz w:val="20"/>
                <w:szCs w:val="20"/>
                <w:color w:val="auto"/>
              </w:rPr>
            </w:pPr>
            <w:r>
              <w:rPr>
                <w:rFonts w:ascii="Arial" w:cs="Arial" w:eastAsia="Arial" w:hAnsi="Arial"/>
                <w:sz w:val="14"/>
                <w:szCs w:val="14"/>
                <w:color w:val="auto"/>
              </w:rPr>
              <w:t>Weighted average number of shares outstanding—Basic</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14,804</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15,021</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15,247</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15,259</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15,343</w:t>
            </w:r>
          </w:p>
        </w:tc>
        <w:tc>
          <w:tcPr>
            <w:tcW w:w="80" w:type="dxa"/>
            <w:vAlign w:val="bottom"/>
          </w:tcPr>
          <w:p>
            <w:pPr>
              <w:spacing w:after="0"/>
              <w:rPr>
                <w:sz w:val="12"/>
                <w:szCs w:val="12"/>
                <w:color w:val="auto"/>
              </w:rPr>
            </w:pPr>
          </w:p>
        </w:tc>
      </w:tr>
      <w:tr>
        <w:trPr>
          <w:trHeight w:val="149"/>
        </w:trPr>
        <w:tc>
          <w:tcPr>
            <w:tcW w:w="6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Weighted average number of shares outstanding—Diluted</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14,804</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15,038</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15,531</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15,540</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15,714</w:t>
            </w:r>
          </w:p>
        </w:tc>
        <w:tc>
          <w:tcPr>
            <w:tcW w:w="80" w:type="dxa"/>
            <w:vAlign w:val="bottom"/>
            <w:shd w:val="clear" w:color="auto" w:fill="CCEEFF"/>
          </w:tcPr>
          <w:p>
            <w:pPr>
              <w:spacing w:after="0"/>
              <w:rPr>
                <w:sz w:val="12"/>
                <w:szCs w:val="12"/>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4"/>
                <w:szCs w:val="14"/>
                <w:b w:val="1"/>
                <w:bCs w:val="1"/>
                <w:color w:val="auto"/>
              </w:rPr>
              <w:t>Other Data:</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49"/>
        </w:trPr>
        <w:tc>
          <w:tcPr>
            <w:tcW w:w="6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Dividends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w:t>
            </w: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w:t>
            </w:r>
          </w:p>
        </w:tc>
        <w:tc>
          <w:tcPr>
            <w:tcW w:w="4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w:t>
            </w:r>
          </w:p>
        </w:tc>
        <w:tc>
          <w:tcPr>
            <w:tcW w:w="4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w:t>
            </w:r>
          </w:p>
        </w:tc>
        <w:tc>
          <w:tcPr>
            <w:tcW w:w="8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4342130</wp:posOffset>
            </wp:positionH>
            <wp:positionV relativeFrom="paragraph">
              <wp:posOffset>-859155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-859155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-859155</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-859155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-859155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-859155</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-859155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-859155</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-859155</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-859155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-859155</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-859155</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-859155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-859155</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-859155</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left="9640"/>
        <w:spacing w:after="0"/>
        <w:rPr>
          <w:sz w:val="20"/>
          <w:szCs w:val="20"/>
          <w:color w:val="auto"/>
        </w:rPr>
      </w:pPr>
      <w:r>
        <w:rPr>
          <w:rFonts w:ascii="Arial" w:cs="Arial" w:eastAsia="Arial" w:hAnsi="Arial"/>
          <w:sz w:val="14"/>
          <w:szCs w:val="14"/>
          <w:b w:val="1"/>
          <w:bCs w:val="1"/>
          <w:color w:val="auto"/>
        </w:rPr>
        <w:t>(Unaudited)</w:t>
      </w:r>
    </w:p>
    <w:p>
      <w:pPr>
        <w:jc w:val="center"/>
        <w:ind w:left="9640"/>
        <w:spacing w:after="0" w:line="223" w:lineRule="auto"/>
        <w:rPr>
          <w:sz w:val="20"/>
          <w:szCs w:val="20"/>
          <w:color w:val="auto"/>
        </w:rPr>
      </w:pPr>
      <w:r>
        <w:rPr>
          <w:rFonts w:ascii="Arial" w:cs="Arial" w:eastAsia="Arial" w:hAnsi="Arial"/>
          <w:sz w:val="14"/>
          <w:szCs w:val="14"/>
          <w:b w:val="1"/>
          <w:bCs w:val="1"/>
          <w:color w:val="auto"/>
        </w:rPr>
        <w:t>Three Months Ended</w:t>
      </w:r>
    </w:p>
    <w:p>
      <w:pPr>
        <w:jc w:val="center"/>
        <w:ind w:left="96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6153785</wp:posOffset>
            </wp:positionH>
            <wp:positionV relativeFrom="paragraph">
              <wp:posOffset>60325</wp:posOffset>
            </wp:positionV>
            <wp:extent cx="10636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3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ind w:right="92"/>
              <w:spacing w:after="0"/>
              <w:rPr>
                <w:sz w:val="20"/>
                <w:szCs w:val="20"/>
                <w:color w:val="auto"/>
              </w:rPr>
            </w:pPr>
            <w:r>
              <w:rPr>
                <w:rFonts w:ascii="Arial" w:cs="Arial" w:eastAsia="Arial" w:hAnsi="Arial"/>
                <w:sz w:val="14"/>
                <w:szCs w:val="14"/>
                <w:b w:val="1"/>
                <w:bCs w:val="1"/>
                <w:color w:val="auto"/>
              </w:rPr>
              <w:t>2002</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ind w:right="112"/>
              <w:spacing w:after="0"/>
              <w:rPr>
                <w:sz w:val="20"/>
                <w:szCs w:val="20"/>
                <w:color w:val="auto"/>
              </w:rPr>
            </w:pPr>
            <w:r>
              <w:rPr>
                <w:rFonts w:ascii="Arial" w:cs="Arial" w:eastAsia="Arial" w:hAnsi="Arial"/>
                <w:sz w:val="14"/>
                <w:szCs w:val="14"/>
                <w:b w:val="1"/>
                <w:bCs w:val="1"/>
                <w:color w:val="auto"/>
                <w:w w:val="89"/>
              </w:rPr>
              <w:t>2003</w:t>
            </w:r>
          </w:p>
        </w:tc>
        <w:tc>
          <w:tcPr>
            <w:tcW w:w="60" w:type="dxa"/>
            <w:vAlign w:val="bottom"/>
          </w:tcPr>
          <w:p>
            <w:pPr>
              <w:spacing w:after="0"/>
              <w:rPr>
                <w:sz w:val="15"/>
                <w:szCs w:val="15"/>
                <w:color w:val="auto"/>
              </w:rPr>
            </w:pPr>
          </w:p>
        </w:tc>
      </w:tr>
      <w:tr>
        <w:trPr>
          <w:trHeight w:val="95"/>
        </w:trPr>
        <w:tc>
          <w:tcPr>
            <w:tcW w:w="63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gridSpan w:val="2"/>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r>
      <w:tr>
        <w:trPr>
          <w:trHeight w:val="237"/>
        </w:trPr>
        <w:tc>
          <w:tcPr>
            <w:tcW w:w="63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84"/>
              </w:rPr>
              <w:t>(in thousands, except per</w:t>
            </w:r>
          </w:p>
        </w:tc>
      </w:tr>
      <w:tr>
        <w:trPr>
          <w:trHeight w:val="161"/>
        </w:trPr>
        <w:tc>
          <w:tcPr>
            <w:tcW w:w="63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share data)</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Income Data:</w:t>
            </w: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6360" w:type="dxa"/>
            <w:vAlign w:val="bottom"/>
          </w:tcPr>
          <w:p>
            <w:pPr>
              <w:ind w:left="200"/>
              <w:spacing w:after="0" w:line="149" w:lineRule="exact"/>
              <w:rPr>
                <w:sz w:val="20"/>
                <w:szCs w:val="20"/>
                <w:color w:val="auto"/>
              </w:rPr>
            </w:pPr>
            <w:r>
              <w:rPr>
                <w:rFonts w:ascii="Arial" w:cs="Arial" w:eastAsia="Arial" w:hAnsi="Arial"/>
                <w:sz w:val="14"/>
                <w:szCs w:val="14"/>
                <w:color w:val="auto"/>
              </w:rPr>
              <w:t>Net sales</w:t>
            </w:r>
          </w:p>
        </w:tc>
        <w:tc>
          <w:tcPr>
            <w:tcW w:w="342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47,200</w:t>
            </w:r>
          </w:p>
        </w:tc>
        <w:tc>
          <w:tcPr>
            <w:tcW w:w="4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57,609</w:t>
            </w:r>
          </w:p>
        </w:tc>
        <w:tc>
          <w:tcPr>
            <w:tcW w:w="60" w:type="dxa"/>
            <w:vAlign w:val="bottom"/>
          </w:tcPr>
          <w:p>
            <w:pPr>
              <w:spacing w:after="0"/>
              <w:rPr>
                <w:sz w:val="12"/>
                <w:szCs w:val="12"/>
                <w:color w:val="auto"/>
              </w:rPr>
            </w:pPr>
          </w:p>
        </w:tc>
      </w:tr>
      <w:tr>
        <w:trPr>
          <w:trHeight w:val="149"/>
        </w:trPr>
        <w:tc>
          <w:tcPr>
            <w:tcW w:w="6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Cost of goods sold</w:t>
            </w: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35,532</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42,743</w:t>
            </w:r>
          </w:p>
        </w:tc>
        <w:tc>
          <w:tcPr>
            <w:tcW w:w="60" w:type="dxa"/>
            <w:vAlign w:val="bottom"/>
            <w:shd w:val="clear" w:color="auto" w:fill="CCEEFF"/>
          </w:tcPr>
          <w:p>
            <w:pPr>
              <w:spacing w:after="0"/>
              <w:rPr>
                <w:sz w:val="12"/>
                <w:szCs w:val="12"/>
                <w:color w:val="auto"/>
              </w:rPr>
            </w:pPr>
          </w:p>
        </w:tc>
      </w:tr>
      <w:tr>
        <w:trPr>
          <w:trHeight w:val="108"/>
        </w:trPr>
        <w:tc>
          <w:tcPr>
            <w:tcW w:w="636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3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6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Gross profit</w:t>
            </w: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11,668</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14,866</w:t>
            </w:r>
          </w:p>
        </w:tc>
        <w:tc>
          <w:tcPr>
            <w:tcW w:w="60" w:type="dxa"/>
            <w:vAlign w:val="bottom"/>
            <w:shd w:val="clear" w:color="auto" w:fill="CCEEFF"/>
          </w:tcPr>
          <w:p>
            <w:pPr>
              <w:spacing w:after="0"/>
              <w:rPr>
                <w:sz w:val="12"/>
                <w:szCs w:val="12"/>
                <w:color w:val="auto"/>
              </w:rPr>
            </w:pPr>
          </w:p>
        </w:tc>
      </w:tr>
      <w:tr>
        <w:trPr>
          <w:trHeight w:val="149"/>
        </w:trPr>
        <w:tc>
          <w:tcPr>
            <w:tcW w:w="6360" w:type="dxa"/>
            <w:vAlign w:val="bottom"/>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4,489</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4,632</w:t>
            </w:r>
          </w:p>
        </w:tc>
        <w:tc>
          <w:tcPr>
            <w:tcW w:w="60" w:type="dxa"/>
            <w:vAlign w:val="bottom"/>
          </w:tcPr>
          <w:p>
            <w:pPr>
              <w:spacing w:after="0"/>
              <w:rPr>
                <w:sz w:val="12"/>
                <w:szCs w:val="12"/>
                <w:color w:val="auto"/>
              </w:rPr>
            </w:pPr>
          </w:p>
        </w:tc>
      </w:tr>
      <w:tr>
        <w:trPr>
          <w:trHeight w:val="149"/>
        </w:trPr>
        <w:tc>
          <w:tcPr>
            <w:tcW w:w="6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2,825</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3,079</w:t>
            </w:r>
          </w:p>
        </w:tc>
        <w:tc>
          <w:tcPr>
            <w:tcW w:w="60" w:type="dxa"/>
            <w:vAlign w:val="bottom"/>
            <w:shd w:val="clear" w:color="auto" w:fill="CCEEFF"/>
          </w:tcPr>
          <w:p>
            <w:pPr>
              <w:spacing w:after="0"/>
              <w:rPr>
                <w:sz w:val="12"/>
                <w:szCs w:val="12"/>
                <w:color w:val="auto"/>
              </w:rPr>
            </w:pPr>
          </w:p>
        </w:tc>
      </w:tr>
      <w:tr>
        <w:trPr>
          <w:trHeight w:val="172"/>
        </w:trPr>
        <w:tc>
          <w:tcPr>
            <w:tcW w:w="6360" w:type="dxa"/>
            <w:vAlign w:val="bottom"/>
          </w:tcPr>
          <w:p>
            <w:pPr>
              <w:ind w:left="200"/>
              <w:spacing w:after="0"/>
              <w:rPr>
                <w:sz w:val="20"/>
                <w:szCs w:val="20"/>
                <w:color w:val="auto"/>
              </w:rPr>
            </w:pPr>
            <w:r>
              <w:rPr>
                <w:rFonts w:ascii="Arial" w:cs="Arial" w:eastAsia="Arial" w:hAnsi="Arial"/>
                <w:sz w:val="14"/>
                <w:szCs w:val="14"/>
                <w:color w:val="auto"/>
              </w:rPr>
              <w:t>Restructuring and impairment costs</w:t>
            </w: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78</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84"/>
        </w:trPr>
        <w:tc>
          <w:tcPr>
            <w:tcW w:w="6360" w:type="dxa"/>
            <w:vAlign w:val="bottom"/>
          </w:tcPr>
          <w:p>
            <w:pPr>
              <w:spacing w:after="0"/>
              <w:rPr>
                <w:sz w:val="7"/>
                <w:szCs w:val="7"/>
                <w:color w:val="auto"/>
              </w:rPr>
            </w:pPr>
          </w:p>
        </w:tc>
        <w:tc>
          <w:tcPr>
            <w:tcW w:w="3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102"/>
        </w:trPr>
        <w:tc>
          <w:tcPr>
            <w:tcW w:w="63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6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from operations</w:t>
            </w: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4,267</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7,155</w:t>
            </w:r>
          </w:p>
        </w:tc>
        <w:tc>
          <w:tcPr>
            <w:tcW w:w="60" w:type="dxa"/>
            <w:vAlign w:val="bottom"/>
            <w:shd w:val="clear" w:color="auto" w:fill="CCEEFF"/>
          </w:tcPr>
          <w:p>
            <w:pPr>
              <w:spacing w:after="0"/>
              <w:rPr>
                <w:sz w:val="12"/>
                <w:szCs w:val="12"/>
                <w:color w:val="auto"/>
              </w:rPr>
            </w:pPr>
          </w:p>
        </w:tc>
      </w:tr>
      <w:tr>
        <w:trPr>
          <w:trHeight w:val="149"/>
        </w:trPr>
        <w:tc>
          <w:tcPr>
            <w:tcW w:w="636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601</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513</w:t>
            </w:r>
          </w:p>
        </w:tc>
        <w:tc>
          <w:tcPr>
            <w:tcW w:w="60" w:type="dxa"/>
            <w:vAlign w:val="bottom"/>
          </w:tcPr>
          <w:p>
            <w:pPr>
              <w:spacing w:after="0"/>
              <w:rPr>
                <w:sz w:val="12"/>
                <w:szCs w:val="12"/>
                <w:color w:val="auto"/>
              </w:rPr>
            </w:pPr>
          </w:p>
        </w:tc>
      </w:tr>
      <w:tr>
        <w:trPr>
          <w:trHeight w:val="149"/>
        </w:trPr>
        <w:tc>
          <w:tcPr>
            <w:tcW w:w="6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income</w:t>
            </w: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(355)</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r>
      <w:tr>
        <w:trPr>
          <w:trHeight w:val="108"/>
        </w:trPr>
        <w:tc>
          <w:tcPr>
            <w:tcW w:w="636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3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6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before provision for income taxes</w:t>
            </w: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4,021</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6,649</w:t>
            </w:r>
          </w:p>
        </w:tc>
        <w:tc>
          <w:tcPr>
            <w:tcW w:w="60" w:type="dxa"/>
            <w:vAlign w:val="bottom"/>
            <w:shd w:val="clear" w:color="auto" w:fill="CCEEFF"/>
          </w:tcPr>
          <w:p>
            <w:pPr>
              <w:spacing w:after="0"/>
              <w:rPr>
                <w:sz w:val="12"/>
                <w:szCs w:val="12"/>
                <w:color w:val="auto"/>
              </w:rPr>
            </w:pPr>
          </w:p>
        </w:tc>
      </w:tr>
      <w:tr>
        <w:trPr>
          <w:trHeight w:val="149"/>
        </w:trPr>
        <w:tc>
          <w:tcPr>
            <w:tcW w:w="6360" w:type="dxa"/>
            <w:vAlign w:val="bottom"/>
          </w:tcPr>
          <w:p>
            <w:pPr>
              <w:ind w:left="200"/>
              <w:spacing w:after="0" w:line="149" w:lineRule="exact"/>
              <w:rPr>
                <w:sz w:val="20"/>
                <w:szCs w:val="20"/>
                <w:color w:val="auto"/>
              </w:rPr>
            </w:pPr>
            <w:r>
              <w:rPr>
                <w:rFonts w:ascii="Arial" w:cs="Arial" w:eastAsia="Arial" w:hAnsi="Arial"/>
                <w:sz w:val="14"/>
                <w:szCs w:val="14"/>
                <w:color w:val="auto"/>
              </w:rPr>
              <w:t>Provision for income taxes</w:t>
            </w: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1,505</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2,472</w:t>
            </w:r>
          </w:p>
        </w:tc>
        <w:tc>
          <w:tcPr>
            <w:tcW w:w="60" w:type="dxa"/>
            <w:vAlign w:val="bottom"/>
          </w:tcPr>
          <w:p>
            <w:pPr>
              <w:spacing w:after="0"/>
              <w:rPr>
                <w:sz w:val="12"/>
                <w:szCs w:val="12"/>
                <w:color w:val="auto"/>
              </w:rPr>
            </w:pPr>
          </w:p>
        </w:tc>
      </w:tr>
      <w:tr>
        <w:trPr>
          <w:trHeight w:val="149"/>
        </w:trPr>
        <w:tc>
          <w:tcPr>
            <w:tcW w:w="6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Minority interest in income of consolidated subsidiary</w:t>
            </w: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668</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534</w:t>
            </w:r>
          </w:p>
        </w:tc>
        <w:tc>
          <w:tcPr>
            <w:tcW w:w="60" w:type="dxa"/>
            <w:vAlign w:val="bottom"/>
            <w:shd w:val="clear" w:color="auto" w:fill="CCEEFF"/>
          </w:tcPr>
          <w:p>
            <w:pPr>
              <w:spacing w:after="0"/>
              <w:rPr>
                <w:sz w:val="12"/>
                <w:szCs w:val="12"/>
                <w:color w:val="auto"/>
              </w:rPr>
            </w:pPr>
          </w:p>
        </w:tc>
      </w:tr>
      <w:tr>
        <w:trPr>
          <w:trHeight w:val="108"/>
        </w:trPr>
        <w:tc>
          <w:tcPr>
            <w:tcW w:w="636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3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6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342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1,848</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3,643</w:t>
            </w:r>
          </w:p>
        </w:tc>
        <w:tc>
          <w:tcPr>
            <w:tcW w:w="60" w:type="dxa"/>
            <w:vAlign w:val="bottom"/>
            <w:shd w:val="clear" w:color="auto" w:fill="CCEEFF"/>
          </w:tcPr>
          <w:p>
            <w:pPr>
              <w:spacing w:after="0"/>
              <w:rPr>
                <w:sz w:val="12"/>
                <w:szCs w:val="12"/>
                <w:color w:val="auto"/>
              </w:rPr>
            </w:pPr>
          </w:p>
        </w:tc>
      </w:tr>
      <w:tr>
        <w:trPr>
          <w:trHeight w:val="132"/>
        </w:trPr>
        <w:tc>
          <w:tcPr>
            <w:tcW w:w="636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86"/>
        </w:trPr>
        <w:tc>
          <w:tcPr>
            <w:tcW w:w="63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49"/>
        </w:trPr>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Diluted Earnings Per Share</w:t>
            </w:r>
            <w:r>
              <w:rPr>
                <w:rFonts w:ascii="Arial" w:cs="Arial" w:eastAsia="Arial" w:hAnsi="Arial"/>
                <w:sz w:val="14"/>
                <w:szCs w:val="14"/>
                <w:color w:val="auto"/>
              </w:rPr>
              <w:t>:</w:t>
            </w:r>
          </w:p>
        </w:tc>
        <w:tc>
          <w:tcPr>
            <w:tcW w:w="342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0.12</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0.23</w:t>
            </w:r>
          </w:p>
        </w:tc>
        <w:tc>
          <w:tcPr>
            <w:tcW w:w="60" w:type="dxa"/>
            <w:vAlign w:val="bottom"/>
            <w:shd w:val="clear" w:color="auto" w:fill="CCEEFF"/>
          </w:tcPr>
          <w:p>
            <w:pPr>
              <w:spacing w:after="0"/>
              <w:rPr>
                <w:sz w:val="12"/>
                <w:szCs w:val="12"/>
                <w:color w:val="auto"/>
              </w:rPr>
            </w:pPr>
          </w:p>
        </w:tc>
      </w:tr>
      <w:tr>
        <w:trPr>
          <w:trHeight w:val="203"/>
        </w:trPr>
        <w:tc>
          <w:tcPr>
            <w:tcW w:w="63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4"/>
          </w:tcPr>
          <w:p>
            <w:pPr>
              <w:jc w:val="center"/>
              <w:ind w:left="292"/>
              <w:spacing w:after="0"/>
              <w:rPr>
                <w:sz w:val="20"/>
                <w:szCs w:val="20"/>
                <w:color w:val="auto"/>
              </w:rPr>
            </w:pPr>
            <w:r>
              <w:rPr>
                <w:rFonts w:ascii="Arial" w:cs="Arial" w:eastAsia="Arial" w:hAnsi="Arial"/>
                <w:sz w:val="14"/>
                <w:szCs w:val="14"/>
                <w:b w:val="1"/>
                <w:bCs w:val="1"/>
                <w:color w:val="auto"/>
                <w:w w:val="89"/>
              </w:rPr>
              <w:t>(Unaudited)</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74"/>
        </w:trPr>
        <w:tc>
          <w:tcPr>
            <w:tcW w:w="63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9"/>
              </w:rPr>
              <w:t>As of March 31, 2003</w:t>
            </w:r>
          </w:p>
        </w:tc>
      </w:tr>
      <w:tr>
        <w:trPr>
          <w:trHeight w:val="95"/>
        </w:trPr>
        <w:tc>
          <w:tcPr>
            <w:tcW w:w="63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840" w:type="dxa"/>
            <w:vAlign w:val="bottom"/>
            <w:tcBorders>
              <w:bottom w:val="single" w:sz="8" w:color="auto"/>
            </w:tcBorders>
            <w:gridSpan w:val="9"/>
          </w:tcPr>
          <w:p>
            <w:pPr>
              <w:spacing w:after="0"/>
              <w:rPr>
                <w:sz w:val="8"/>
                <w:szCs w:val="8"/>
                <w:color w:val="auto"/>
              </w:rPr>
            </w:pPr>
          </w:p>
        </w:tc>
      </w:tr>
      <w:tr>
        <w:trPr>
          <w:trHeight w:val="237"/>
        </w:trPr>
        <w:tc>
          <w:tcPr>
            <w:tcW w:w="63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840" w:type="dxa"/>
            <w:vAlign w:val="bottom"/>
            <w:gridSpan w:val="9"/>
          </w:tcPr>
          <w:p>
            <w:pPr>
              <w:jc w:val="center"/>
              <w:spacing w:after="0"/>
              <w:rPr>
                <w:sz w:val="20"/>
                <w:szCs w:val="20"/>
                <w:color w:val="auto"/>
              </w:rPr>
            </w:pPr>
            <w:r>
              <w:rPr>
                <w:rFonts w:ascii="Arial" w:cs="Arial" w:eastAsia="Arial" w:hAnsi="Arial"/>
                <w:sz w:val="14"/>
                <w:szCs w:val="14"/>
                <w:b w:val="1"/>
                <w:bCs w:val="1"/>
                <w:color w:val="auto"/>
                <w:w w:val="85"/>
              </w:rPr>
              <w:t>(in thousands, except per share</w:t>
            </w:r>
          </w:p>
        </w:tc>
      </w:tr>
      <w:tr>
        <w:trPr>
          <w:trHeight w:val="161"/>
        </w:trPr>
        <w:tc>
          <w:tcPr>
            <w:tcW w:w="63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data)</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6360" w:type="dxa"/>
            <w:vAlign w:val="bottom"/>
          </w:tcPr>
          <w:p>
            <w:pPr>
              <w:ind w:left="380"/>
              <w:spacing w:after="0" w:line="149" w:lineRule="exact"/>
              <w:rPr>
                <w:sz w:val="20"/>
                <w:szCs w:val="20"/>
                <w:color w:val="auto"/>
              </w:rPr>
            </w:pPr>
            <w:r>
              <w:rPr>
                <w:rFonts w:ascii="Arial" w:cs="Arial" w:eastAsia="Arial" w:hAnsi="Arial"/>
                <w:sz w:val="14"/>
                <w:szCs w:val="14"/>
                <w:color w:val="auto"/>
              </w:rPr>
              <w:t>Working capital</w:t>
            </w:r>
          </w:p>
        </w:tc>
        <w:tc>
          <w:tcPr>
            <w:tcW w:w="3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26,124</w:t>
            </w:r>
          </w:p>
        </w:tc>
      </w:tr>
      <w:tr>
        <w:trPr>
          <w:trHeight w:val="149"/>
        </w:trPr>
        <w:tc>
          <w:tcPr>
            <w:tcW w:w="63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Total assets</w:t>
            </w: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212,096</w:t>
            </w:r>
          </w:p>
        </w:tc>
      </w:tr>
      <w:tr>
        <w:trPr>
          <w:trHeight w:val="149"/>
        </w:trPr>
        <w:tc>
          <w:tcPr>
            <w:tcW w:w="6360" w:type="dxa"/>
            <w:vAlign w:val="bottom"/>
          </w:tcPr>
          <w:p>
            <w:pPr>
              <w:ind w:left="380"/>
              <w:spacing w:after="0" w:line="149" w:lineRule="exact"/>
              <w:rPr>
                <w:sz w:val="20"/>
                <w:szCs w:val="20"/>
                <w:color w:val="auto"/>
              </w:rPr>
            </w:pPr>
            <w:r>
              <w:rPr>
                <w:rFonts w:ascii="Arial" w:cs="Arial" w:eastAsia="Arial" w:hAnsi="Arial"/>
                <w:sz w:val="14"/>
                <w:szCs w:val="14"/>
                <w:color w:val="auto"/>
              </w:rPr>
              <w:t>Total debt</w:t>
            </w: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53,236</w:t>
            </w:r>
          </w:p>
        </w:tc>
      </w:tr>
      <w:tr>
        <w:trPr>
          <w:trHeight w:val="149"/>
        </w:trPr>
        <w:tc>
          <w:tcPr>
            <w:tcW w:w="63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Total stockholders’ equity</w:t>
            </w: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78,389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-1279525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-1279525</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-1279525</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-1279525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-1279525</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-1279525</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i w:val="1"/>
          <w:iCs w:val="1"/>
          <w:color w:val="auto"/>
        </w:rPr>
        <w:t>You should carefully consider the following risks and uncertainties, and all other information contained in this prospectus supplement and accompanying prospectus or incorporated by reference in this prospectus supplement and accompanying prospectus, before making an investment in our common stock. Any of the following risks could have a material adverse effect on our business, financial condition or operating results. In such case, the trading price of our common stock could decline and you may lose all or part of your investment.</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demand for our products is cyclical, which could adversely impact our revenues.</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end markets for fully assembled bearings are cyclical and tend to decline in response to overall declines in industrial production. As a result, the market for bearing components is also cyclical and impacted by overall levels of industrial production. Our sales in the past have been negatively affected, and in the future will be negatively affected, by adverse conditions in the industrial production sector of the economy or by adverse global or national economic conditions generally.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depend on a very limited number of foreign sources for our primary raw material and are subject to risks of shortages and price fluctuation.</w:t>
      </w:r>
    </w:p>
    <w:p>
      <w:pPr>
        <w:spacing w:after="0" w:line="10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steel that we use to manufacture precision balls and rollers is of an extremely high quality and is available from a limited number of producers on a global basis. Due to quality constraints in the U.S. steel industry, we obtain substantially all of the steel used in our U.S. ball and roller production from overseas suppliers. In addition, we obtain substantially all of the steel used in our European ball production from a single European source. If we had to obtain steel from sources other than our current suppliers, particularly in the case of our European operations, we could face higher prices and transportation costs, increased duties or taxes, and shortages of steel. Problems in obtaining steel, and particularly 52100 chrome steel, in the quantities that we require and on commercially reasonable terms, could increase our costs, negatively impact our ability to operate our business efficiently and have a material adverse effect on the operating and financial results of our Company.</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operate in and sell products to customers outside the U.S. and are subject to several related risks.</w:t>
      </w:r>
    </w:p>
    <w:p>
      <w:pPr>
        <w:spacing w:after="0" w:line="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37" w:lineRule="exact"/>
        <w:rPr>
          <w:sz w:val="20"/>
          <w:szCs w:val="20"/>
          <w:color w:val="auto"/>
        </w:rPr>
      </w:pPr>
    </w:p>
    <w:p>
      <w:pPr>
        <w:ind w:left="760" w:hanging="306"/>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foreign currency fluctuations;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trade, monetary and fiscal policies, laws and regulations, and other activities of governments, agencies and similar organizations;</w:t>
      </w:r>
    </w:p>
    <w:p>
      <w:pPr>
        <w:spacing w:after="0" w:line="126" w:lineRule="exact"/>
        <w:rPr>
          <w:rFonts w:ascii="Arial" w:cs="Arial" w:eastAsia="Arial" w:hAnsi="Arial"/>
          <w:sz w:val="16"/>
          <w:szCs w:val="16"/>
          <w:color w:val="auto"/>
        </w:rPr>
      </w:pPr>
    </w:p>
    <w:p>
      <w:pPr>
        <w:ind w:left="760" w:hanging="306"/>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imposition of trade restrictions or prohibitions;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 tax rates that discourage the repatriation of funds to the U.S.;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imposition of import or other duties or taxes; and</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unstable governments or legal systems in countries in which our suppliers, manufacturing operations, and customers are located.</w:t>
      </w:r>
    </w:p>
    <w:p>
      <w:pPr>
        <w:spacing w:after="0" w:line="18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We do not have a hedging program in place associated with consolidating the operating results of our foreign businesses into U.S. dollars. An increase in the value of the U.S. dollar and/or the Euro relative to other currencies may adversely affect our ability to compete with our foreign-based competitors for international, as well as domestic, sales. In the first quarter of 2003, approximately 50% of the $10.4 million increase in revenues was attributable to favorable currency fluctuations. Also, a decline in the value of the Euro relative to the U.S. dollar will negatively impact our consolidated financial results, which are denominated in U.S. dollars.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addition, due to the typical slower summer manufacturing season in Europe, we expect that revenues in the third fiscal quarter will reflect lower sales as compared to other quarters, as our sales to European customers have increased as a percentage of net sales.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depend heavily on a relatively limited number of customers, and the loss of any major customer would have a material adverse effect on our business.</w:t>
      </w:r>
    </w:p>
    <w:p>
      <w:pPr>
        <w:spacing w:after="0" w:line="11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Sales to various U.S. and foreign divisions of SKF, which is one of the largest bearing manufacturers in the world, accounted for approximately 33% of consolidated net sales in 2002, and sales to INA/FAG accounted for approximately 19% of consolidated net sales in 2002. Our recent acquisition of SKF’s tapered roller and metal cage production facility, along with the related long-term supply agreement with SKF, will increase our dependence on SKF in the future. During 2002, our ten largest customers accounted for approximately 73% of our consolidated net sales. None of our other customers individually accounted for more than 5% of our consolidated net sales for 2002. Recent consolidation of certain of our bearing customers, including the acquisition of the Torrington Company by Timken, will increase our dependence on a smaller number of customers. The loss of all or a substantial portion of sales to these customers would cause us to lose a substantial portion of our revenue and would lower our profit margin and cash flows from operations.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costs and difficulties of integrating acquired business could impede our future growth.</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cannot assure you that any future acquisition will enhance our financial performance. Our ability to effectively integrate any future acquisitions will depend on, among other things, the adequacy of our implementation plans, the ability of our management to oversee and operate effectively the combined operations and our ability to achieve desired operating efficiencies and sales goals. The integration of any acquired businesses might cause us to incur unforeseen costs, which would lower our profit margin and future earnings and would prevent us from realizing the expected benefits of these acquisitions.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able to continue to make the acquisitions necessary for us to realize our growth strategy.</w:t>
      </w:r>
    </w:p>
    <w:p>
      <w:pPr>
        <w:spacing w:after="0" w:line="7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Acquiring businesses that complement or expand our operations has been and continues to be an important element of our business strategy. This strategy calls for growth through acquisitions constituting approximately two-thirds of our future growth, with the remainder resulting from internal growth and market penetration. We bought our plastic bearing component business in 1999, formed Euroball with our two largest bearing customers, SKF and INA/FAG, in 2000 and acquired our bearing seal operations in 2001. During 2002, we purchased INA/FAG’s minority interest in Euroball and on May 2, 2003, we acquired SKF’s minority interest in Euroball, to become the sole owner of Euroball. On May 2, 2003 we acquired SKF’s tapered roller and metal cage manufacturing operations in Veenendaal, The Netherlands. We cannot assure you that we will be successful in identifying attractive acquisition candidates or completing acquisitions on favorable terms in the future. In addition, we may borrow funds to acquire other businesses, increasing our interest expense and debt levels. Our inability to acquire businesses, or to operate them profitably once acquired, could have a material adverse effect on our business, financial position, results of operations and cash flows.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growth strategy depends on outsourcing, and if the industry trend toward outsourcing does not continue, our business could be adversely affected.</w:t>
      </w:r>
    </w:p>
    <w:p>
      <w:pPr>
        <w:spacing w:after="0" w:line="111"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Our growth strategy depends in significant part on major bearing manufacturers continuing to outsource components, and expanding the number of components being outsourced. This requires manufacturers to depart significantly from their traditional methods of operations. If major bearing manufacturers do not continue to expand outsourcing efforts or determine to reduce their use of outsourcing, our ability to grow our business could be materially adversely affected.</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market is highly competitive and many of our competitors have significant advantages that could adversely affect our business.</w:t>
      </w:r>
    </w:p>
    <w:p>
      <w:pPr>
        <w:spacing w:after="0" w:line="10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global market for bearing components is highly competitive, with a majority of production represented by the captive production operations of certain large bearing manufacturers and the balance represented by independent manufacturers. Captive manufacturers make components for internal use and for sale to third parties. All of the captive manufacturers, and many independent manufacturers, are significantly larger and have greater resources than do we.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pacing w:after="0" w:line="102" w:lineRule="exact"/>
        <w:rPr>
          <w:sz w:val="20"/>
          <w:szCs w:val="20"/>
          <w:color w:val="auto"/>
        </w:rPr>
      </w:pPr>
    </w:p>
    <w:p>
      <w:pPr>
        <w:ind w:left="240" w:right="120"/>
        <w:spacing w:after="0" w:line="268" w:lineRule="auto"/>
        <w:rPr>
          <w:sz w:val="20"/>
          <w:szCs w:val="20"/>
          <w:color w:val="auto"/>
        </w:rPr>
      </w:pPr>
      <w:r>
        <w:rPr>
          <w:rFonts w:ascii="Arial" w:cs="Arial" w:eastAsia="Arial" w:hAnsi="Arial"/>
          <w:sz w:val="18"/>
          <w:szCs w:val="18"/>
          <w:b w:val="1"/>
          <w:bCs w:val="1"/>
          <w:i w:val="1"/>
          <w:iCs w:val="1"/>
          <w:color w:val="auto"/>
        </w:rPr>
        <w:t>The production capacity we have added over the last several years has at times resulted in our having more capacity than we need, causing our operating costs to be higher than expected.</w:t>
      </w:r>
    </w:p>
    <w:p>
      <w:pPr>
        <w:spacing w:after="0" w:line="3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expanded our ball and roller production facilities and capacity over the last several years. During 1997, we built an additional manufacturing plant in Kilkenny, Ireland, and we continued this expansion in 2000 through the formation of Euroball with SKF and INA/FAG. Our ball and roller facilities have not always operated at full capacity and from time to time our results of operations have been adversely affected by the under-utilization of our production facilities, and we face risks of further under-utilization or inefficient utilization of our production facilities in future years.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market price of our common stock could be subject to significant fluctuations and may decline. Among the factors that could affect our stock price are:</w:t>
      </w:r>
    </w:p>
    <w:p>
      <w:pPr>
        <w:spacing w:after="0" w:line="100" w:lineRule="exact"/>
        <w:rPr>
          <w:sz w:val="20"/>
          <w:szCs w:val="20"/>
          <w:color w:val="auto"/>
        </w:rPr>
      </w:pPr>
    </w:p>
    <w:p>
      <w:pPr>
        <w:ind w:left="760" w:hanging="306"/>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quarterly variations in the rate of growth of our financial indicators, such as earnings per share, net income and revenues;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revenue or earnings estimates or publication of research reports by analysts;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any member of our senior management team;</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of our common stock by stockholders;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market conditions; and</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w:t>
      </w:r>
    </w:p>
    <w:p>
      <w:pPr>
        <w:spacing w:after="0" w:line="1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stock markets in general have experienced extreme volatility that has often been unrelated to the operating performance of particular companies. These broad market fluctuations may adversely affect the trading price of our common stock.</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Provisions in our charter documents and Delaware law may inhibit a takeover, which could adversely affect the value of our common stock.</w:t>
      </w:r>
    </w:p>
    <w:p>
      <w:pPr>
        <w:spacing w:after="0" w:line="100"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Our certificate of incorporation and bylaws, as well as Delaware corporate law, contain provisions that could delay or prevent a change of control or changes in our management that a stockholder might consider favorable and may prevent you from receiving a takeover premium for your shares. These provisions include, for example, a classified board of directors and the authorization of our board of directors to issue up to 5,000,000</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preferred shares without a stockholder vote. In addition, our restated certificate of incorporation provides that stockholders may not call a special meeting.</w:t>
      </w:r>
    </w:p>
    <w:p>
      <w:pPr>
        <w:spacing w:after="0" w:line="18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13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proceeds from the sale of the shares of common stock by the selling stockholders.</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the over-allotment option is exercised in full, we estimate that the net proceeds we will receive from this offering, after deducting underwriting discounts, commissions and our estimated offering expenses, based on an assumed offering price to the public of $10.99 (the last reported sale price on May 1, 2003), will be approximately $5.4 million. We intend to use the net proceeds from this offering for working capital, general corporate purposes and to repay a portion of our borrowings under the U.S. term loan portion of our credit facility, as required under that facility. The U.S. term loan under our credit facility expires on May 1, 2008 and bears interest at a floating rate equal to LIBOR (1.31% on April 30, 2003) plus an applicable margin of 1.25% to 2.0%, based on calculated financial ratios. Approximately $30.4 million was outstanding under the U.S. term loan as of May 2, 2003.</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64"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following table sets forth certain information regarding the beneficial ownership of our common stock as of May 1, 2003, and as by the stockholders who are selling 3,556,895 shares of common stock in this offering, and as adjusted to reflect the sale of shares offered in this prospectus supplement. Unless otherwise noted, to our knowledge each selling stockholder has sole voting and investment power over the shares shown.</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3"/>
          </w:tcPr>
          <w:p>
            <w:pPr>
              <w:jc w:val="center"/>
              <w:ind w:right="1240"/>
              <w:spacing w:after="0"/>
              <w:rPr>
                <w:sz w:val="20"/>
                <w:szCs w:val="20"/>
                <w:color w:val="auto"/>
              </w:rPr>
            </w:pPr>
            <w:r>
              <w:rPr>
                <w:rFonts w:ascii="Arial" w:cs="Arial" w:eastAsia="Arial" w:hAnsi="Arial"/>
                <w:sz w:val="14"/>
                <w:szCs w:val="14"/>
                <w:b w:val="1"/>
                <w:bCs w:val="1"/>
                <w:color w:val="auto"/>
                <w:w w:val="85"/>
              </w:rPr>
              <w:t>Shares</w:t>
            </w: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center"/>
              <w:ind w:left="684"/>
              <w:spacing w:after="0"/>
              <w:rPr>
                <w:sz w:val="20"/>
                <w:szCs w:val="20"/>
                <w:color w:val="auto"/>
              </w:rPr>
            </w:pPr>
            <w:r>
              <w:rPr>
                <w:rFonts w:ascii="Arial" w:cs="Arial" w:eastAsia="Arial" w:hAnsi="Arial"/>
                <w:sz w:val="14"/>
                <w:szCs w:val="14"/>
                <w:b w:val="1"/>
                <w:bCs w:val="1"/>
                <w:color w:val="auto"/>
                <w:w w:val="85"/>
              </w:rPr>
              <w:t>Shares</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62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0" w:type="dxa"/>
            <w:vAlign w:val="bottom"/>
          </w:tcPr>
          <w:p>
            <w:pPr>
              <w:spacing w:after="0"/>
              <w:rPr>
                <w:sz w:val="1"/>
                <w:szCs w:val="1"/>
                <w:color w:val="auto"/>
              </w:rPr>
            </w:pPr>
          </w:p>
        </w:tc>
      </w:tr>
      <w:tr>
        <w:trPr>
          <w:trHeight w:val="174"/>
        </w:trPr>
        <w:tc>
          <w:tcPr>
            <w:tcW w:w="34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6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0"/>
              </w:rPr>
              <w:t>Prior to Offering</w:t>
            </w: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After Offering</w:t>
            </w:r>
          </w:p>
        </w:tc>
        <w:tc>
          <w:tcPr>
            <w:tcW w:w="0" w:type="dxa"/>
            <w:vAlign w:val="bottom"/>
          </w:tcPr>
          <w:p>
            <w:pPr>
              <w:spacing w:after="0"/>
              <w:rPr>
                <w:sz w:val="1"/>
                <w:szCs w:val="1"/>
                <w:color w:val="auto"/>
              </w:rPr>
            </w:pPr>
          </w:p>
        </w:tc>
      </w:tr>
      <w:tr>
        <w:trPr>
          <w:trHeight w:val="95"/>
        </w:trPr>
        <w:tc>
          <w:tcPr>
            <w:tcW w:w="34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319"/>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Percent (%)</w:t>
            </w:r>
          </w:p>
        </w:tc>
        <w:tc>
          <w:tcPr>
            <w:tcW w:w="0" w:type="dxa"/>
            <w:vAlign w:val="bottom"/>
          </w:tcPr>
          <w:p>
            <w:pPr>
              <w:spacing w:after="0"/>
              <w:rPr>
                <w:sz w:val="1"/>
                <w:szCs w:val="1"/>
                <w:color w:val="auto"/>
              </w:rPr>
            </w:pPr>
          </w:p>
        </w:tc>
      </w:tr>
      <w:tr>
        <w:trPr>
          <w:trHeight w:val="174"/>
        </w:trPr>
        <w:tc>
          <w:tcPr>
            <w:tcW w:w="34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5"/>
                <w:szCs w:val="15"/>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Percent (%)(1)</w:t>
            </w:r>
          </w:p>
        </w:tc>
        <w:tc>
          <w:tcPr>
            <w:tcW w:w="1200" w:type="dxa"/>
            <w:vAlign w:val="bottom"/>
          </w:tcPr>
          <w:p>
            <w:pPr>
              <w:jc w:val="right"/>
              <w:ind w:right="119"/>
              <w:spacing w:after="0"/>
              <w:rPr>
                <w:sz w:val="20"/>
                <w:szCs w:val="20"/>
                <w:color w:val="auto"/>
              </w:rPr>
            </w:pPr>
            <w:r>
              <w:rPr>
                <w:rFonts w:ascii="Arial" w:cs="Arial" w:eastAsia="Arial" w:hAnsi="Arial"/>
                <w:sz w:val="14"/>
                <w:szCs w:val="14"/>
                <w:b w:val="1"/>
                <w:bCs w:val="1"/>
                <w:color w:val="auto"/>
              </w:rPr>
              <w:t>Being Offered</w:t>
            </w:r>
          </w:p>
        </w:tc>
        <w:tc>
          <w:tcPr>
            <w:tcW w:w="300" w:type="dxa"/>
            <w:vAlign w:val="bottom"/>
          </w:tcPr>
          <w:p>
            <w:pPr>
              <w:spacing w:after="0"/>
              <w:rPr>
                <w:sz w:val="15"/>
                <w:szCs w:val="15"/>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Number</w:t>
            </w:r>
          </w:p>
        </w:tc>
        <w:tc>
          <w:tcPr>
            <w:tcW w:w="760" w:type="dxa"/>
            <w:vAlign w:val="bottom"/>
          </w:tcPr>
          <w:p>
            <w:pPr>
              <w:jc w:val="right"/>
              <w:ind w:right="219"/>
              <w:spacing w:after="0"/>
              <w:rPr>
                <w:sz w:val="20"/>
                <w:szCs w:val="20"/>
                <w:color w:val="auto"/>
              </w:rPr>
            </w:pPr>
            <w:r>
              <w:rPr>
                <w:rFonts w:ascii="Arial" w:cs="Arial" w:eastAsia="Arial" w:hAnsi="Arial"/>
                <w:sz w:val="14"/>
                <w:szCs w:val="14"/>
                <w:b w:val="1"/>
                <w:bCs w:val="1"/>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4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4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Richard D. Ennen (2)</w:t>
            </w:r>
          </w:p>
        </w:tc>
        <w:tc>
          <w:tcPr>
            <w:tcW w:w="2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2,844,668(3)</w:t>
            </w:r>
          </w:p>
        </w:tc>
        <w:tc>
          <w:tcPr>
            <w:tcW w:w="16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2,844,668</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0"/>
              <w:spacing w:after="0"/>
              <w:rPr>
                <w:sz w:val="20"/>
                <w:szCs w:val="20"/>
                <w:color w:val="auto"/>
              </w:rPr>
            </w:pPr>
            <w:r>
              <w:rPr>
                <w:rFonts w:ascii="Arial" w:cs="Arial" w:eastAsia="Arial" w:hAnsi="Arial"/>
                <w:sz w:val="18"/>
                <w:szCs w:val="18"/>
                <w:color w:val="auto"/>
              </w:rPr>
              <w:t>Michael D. Huff (4)</w:t>
            </w:r>
          </w:p>
        </w:tc>
        <w:tc>
          <w:tcPr>
            <w:tcW w:w="2840" w:type="dxa"/>
            <w:vAlign w:val="bottom"/>
            <w:gridSpan w:val="3"/>
          </w:tcPr>
          <w:p>
            <w:pPr>
              <w:jc w:val="right"/>
              <w:ind w:right="40"/>
              <w:spacing w:after="0"/>
              <w:rPr>
                <w:sz w:val="20"/>
                <w:szCs w:val="20"/>
                <w:color w:val="auto"/>
              </w:rPr>
            </w:pPr>
            <w:r>
              <w:rPr>
                <w:rFonts w:ascii="Arial" w:cs="Arial" w:eastAsia="Arial" w:hAnsi="Arial"/>
                <w:sz w:val="18"/>
                <w:szCs w:val="18"/>
                <w:color w:val="auto"/>
              </w:rPr>
              <w:t>662,227(5)</w:t>
            </w:r>
          </w:p>
        </w:tc>
        <w:tc>
          <w:tcPr>
            <w:tcW w:w="1680" w:type="dxa"/>
            <w:vAlign w:val="bottom"/>
            <w:gridSpan w:val="3"/>
          </w:tcPr>
          <w:p>
            <w:pPr>
              <w:jc w:val="right"/>
              <w:ind w:right="300"/>
              <w:spacing w:after="0"/>
              <w:rPr>
                <w:sz w:val="20"/>
                <w:szCs w:val="20"/>
                <w:color w:val="auto"/>
              </w:rPr>
            </w:pPr>
            <w:r>
              <w:rPr>
                <w:rFonts w:ascii="Arial" w:cs="Arial" w:eastAsia="Arial" w:hAnsi="Arial"/>
                <w:sz w:val="18"/>
                <w:szCs w:val="18"/>
                <w:color w:val="auto"/>
              </w:rPr>
              <w:t>4.1</w:t>
            </w:r>
          </w:p>
        </w:tc>
        <w:tc>
          <w:tcPr>
            <w:tcW w:w="1200" w:type="dxa"/>
            <w:vAlign w:val="bottom"/>
          </w:tcPr>
          <w:p>
            <w:pPr>
              <w:jc w:val="right"/>
              <w:spacing w:after="0"/>
              <w:rPr>
                <w:sz w:val="20"/>
                <w:szCs w:val="20"/>
                <w:color w:val="auto"/>
              </w:rPr>
            </w:pPr>
            <w:r>
              <w:rPr>
                <w:rFonts w:ascii="Arial" w:cs="Arial" w:eastAsia="Arial" w:hAnsi="Arial"/>
                <w:sz w:val="18"/>
                <w:szCs w:val="18"/>
                <w:color w:val="auto"/>
              </w:rPr>
              <w:t>662,227</w:t>
            </w:r>
          </w:p>
        </w:tc>
        <w:tc>
          <w:tcPr>
            <w:tcW w:w="3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Janet M. Huff</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24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40" w:type="dxa"/>
            <w:vAlign w:val="bottom"/>
          </w:tcPr>
          <w:p>
            <w:pPr>
              <w:ind w:left="20"/>
              <w:spacing w:after="0"/>
              <w:rPr>
                <w:sz w:val="20"/>
                <w:szCs w:val="20"/>
                <w:color w:val="auto"/>
              </w:rPr>
            </w:pPr>
            <w:r>
              <w:rPr>
                <w:rFonts w:ascii="Arial" w:cs="Arial" w:eastAsia="Arial" w:hAnsi="Arial"/>
                <w:sz w:val="18"/>
                <w:szCs w:val="18"/>
                <w:color w:val="auto"/>
              </w:rPr>
              <w:t>Deborah E. Bagierek</w:t>
            </w:r>
          </w:p>
        </w:tc>
        <w:tc>
          <w:tcPr>
            <w:tcW w:w="2840" w:type="dxa"/>
            <w:vAlign w:val="bottom"/>
            <w:gridSpan w:val="3"/>
          </w:tcPr>
          <w:p>
            <w:pPr>
              <w:jc w:val="right"/>
              <w:ind w:right="40"/>
              <w:spacing w:after="0"/>
              <w:rPr>
                <w:sz w:val="20"/>
                <w:szCs w:val="20"/>
                <w:color w:val="auto"/>
              </w:rPr>
            </w:pPr>
            <w:r>
              <w:rPr>
                <w:rFonts w:ascii="Arial" w:cs="Arial" w:eastAsia="Arial" w:hAnsi="Arial"/>
                <w:sz w:val="18"/>
                <w:szCs w:val="18"/>
                <w:color w:val="auto"/>
              </w:rPr>
              <w:t>79,169(6)</w:t>
            </w:r>
          </w:p>
        </w:tc>
        <w:tc>
          <w:tcPr>
            <w:tcW w:w="16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26,169</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08"/>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Amounts are less than one percent.</w:t>
      </w:r>
    </w:p>
    <w:p>
      <w:pPr>
        <w:spacing w:after="0" w:line="1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16,081,441 shares of NN’s common stock outstanding on May 1, 2003.</w:t>
      </w:r>
    </w:p>
    <w:p>
      <w:pPr>
        <w:spacing w:after="0" w:line="9" w:lineRule="exact"/>
        <w:rPr>
          <w:rFonts w:ascii="Arial" w:cs="Arial" w:eastAsia="Arial" w:hAnsi="Arial"/>
          <w:sz w:val="18"/>
          <w:szCs w:val="18"/>
          <w:color w:val="auto"/>
        </w:rPr>
      </w:pPr>
    </w:p>
    <w:p>
      <w:pPr>
        <w:ind w:left="460" w:right="28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Ennen currently sits on the Company’s Board of Directors and has since the Company’s formation in 1980. He was Chairman of the Board from the formation of the Company until September of 2001. Mr. Ennen has agreed not to stand for re-election to the Board of Directors at NN’s 2003 Annual Meeting of Stockholders.</w:t>
      </w:r>
    </w:p>
    <w:p>
      <w:pPr>
        <w:spacing w:after="0" w:line="1"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1,800,000 shares held by the Richard D. Ennen Charitable Remainder Unitrust of which Mr. Ennen is the trustee and 200,000 shares held by the Ennen Charitable Trust of which Mr. Ennen is the trustee. Mr. Ennen disclaims beneficial ownership to the shares held by his former spouse, Monica Ennen, and his daughter, Deborah E. Bagierek.</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Huff currently sits on the Company’s Board of Directors and has since the Company’s formation in 1980.</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(i) 23,000 shares subject to presently exercisable options, and (ii) 225,000 shares held directly by Mr. Huff’s spouse, for which Mr. Huff disclaims beneficial ownership.</w:t>
      </w: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of Ms. Bagierek’s shares are held by the Deborah Ennen Bagierek Trust, of which Ms. Bagierek is a trustee.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Subject to the terms and conditions set forth in an underwriting agreement by and among the selling stockholders, us and McDonald Investments Inc. and Legg Mason Wood Walker, Incorporated, as representatives for the underwriters named in the agreement, we and the selling stockholders have agreed to sell to each underwriter, and each underwriter has severally agreed to purchase from the selling stockholders and us, the number of shares of common stock set forth opposite its name in the table below.</w:t>
      </w:r>
    </w:p>
    <w:p>
      <w:pPr>
        <w:sectPr>
          <w:pgSz w:w="11900" w:h="16838" w:orient="portrait"/>
          <w:cols w:equalWidth="0" w:num="1">
            <w:col w:w="11420"/>
          </w:cols>
          <w:pgMar w:left="240" w:top="459" w:right="2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43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Number of Shares</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74295</wp:posOffset>
            </wp:positionV>
            <wp:extent cx="94361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40" w:space="720"/>
            <w:col w:w="1260"/>
          </w:cols>
          <w:pgMar w:left="240" w:top="459" w:right="239" w:bottom="1440" w:gutter="0" w:footer="0" w:header="0"/>
          <w:type w:val="continuous"/>
        </w:sectPr>
      </w:pP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McDonald Investments Inc., a KeyCorp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Legg Mason Wood Walker,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946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7246620" cy="946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384175</wp:posOffset>
            </wp:positionV>
            <wp:extent cx="7246620" cy="946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572770</wp:posOffset>
            </wp:positionV>
            <wp:extent cx="7246620" cy="946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762000</wp:posOffset>
            </wp:positionV>
            <wp:extent cx="7246620" cy="946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950595</wp:posOffset>
            </wp:positionV>
            <wp:extent cx="7246620" cy="946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1139190</wp:posOffset>
            </wp:positionV>
            <wp:extent cx="7246620" cy="946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1327785</wp:posOffset>
            </wp:positionV>
            <wp:extent cx="7246620" cy="946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1516380</wp:posOffset>
            </wp:positionV>
            <wp:extent cx="7246620" cy="946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1704975</wp:posOffset>
            </wp:positionV>
            <wp:extent cx="7246620" cy="946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1893570</wp:posOffset>
            </wp:positionV>
            <wp:extent cx="7246620" cy="946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2082165</wp:posOffset>
            </wp:positionV>
            <wp:extent cx="7246620" cy="946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2271395</wp:posOffset>
            </wp:positionV>
            <wp:extent cx="7246620" cy="946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6308090</wp:posOffset>
            </wp:positionH>
            <wp:positionV relativeFrom="paragraph">
              <wp:posOffset>2528570</wp:posOffset>
            </wp:positionV>
            <wp:extent cx="94361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3,556,895</w:t>
            </w:r>
          </w:p>
        </w:tc>
      </w:tr>
      <w:tr>
        <w:trPr>
          <w:trHeight w:val="132"/>
        </w:trPr>
        <w:tc>
          <w:tcPr>
            <w:tcW w:w="9940" w:type="dxa"/>
            <w:vAlign w:val="bottom"/>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Under the terms of the underwriting agreement, the underwriters are committed to purchase all of the shares of common stock if any are purchased. If an underwriter defaults, the underwriting agreement provides that the purchase commitments of the nondefaulting underwriters may be increased or the underwriting agreement may be terminated.</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and the selling stockholders have agreed to indemnify the underwriters against certain liabilities, including liabilities under the Securities Act of 1933, as amended, or to contribute to payments the underwriters may be required to make in respect thereof.</w:t>
      </w:r>
    </w:p>
    <w:p>
      <w:pPr>
        <w:spacing w:after="0" w:line="118"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The underwriting agreement provides that the underwriters’ obligations to purchase the shares of common stock depend on the satisfaction of the conditions contained in the underwriting agreement. The conditions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0"/>
        <w:spacing w:after="0" w:line="370" w:lineRule="auto"/>
        <w:rPr>
          <w:sz w:val="20"/>
          <w:szCs w:val="20"/>
          <w:color w:val="auto"/>
        </w:rPr>
      </w:pPr>
      <w:r>
        <w:rPr>
          <w:rFonts w:ascii="Arial" w:cs="Arial" w:eastAsia="Arial" w:hAnsi="Arial"/>
          <w:sz w:val="15"/>
          <w:szCs w:val="15"/>
          <w:color w:val="auto"/>
        </w:rPr>
        <w:t>contained in the underwriting agreement include the requirement that the representations and warranties made by the selling stockholders and us to the underwriters are true, that there is no material change in the financial markets and that we deliver to the underwriters customary closing documents.</w:t>
      </w:r>
    </w:p>
    <w:p>
      <w:pPr>
        <w:spacing w:after="0" w:line="4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underwriters propose to offer the selling stockholders’ and our shares of common stock directly to the public at $ per share and to certain dealers at such price less a concession not in excess of $ per share. The underwriters may allow, and such dealers may reallow, a concession not in excess of $ per share to certain dealers.</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 shows the per share and total underwriting discount that the selling stockholders and we will pay to the underwriters. Such amounts are shown assuming both no exercise and full exercise of the underwriters’ option to purchase 533,600 additional shares of common stock.</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jc w:val="right"/>
              <w:ind w:right="112"/>
              <w:spacing w:after="0"/>
              <w:rPr>
                <w:sz w:val="20"/>
                <w:szCs w:val="20"/>
                <w:color w:val="auto"/>
              </w:rPr>
            </w:pPr>
            <w:r>
              <w:rPr>
                <w:rFonts w:ascii="Arial" w:cs="Arial" w:eastAsia="Arial" w:hAnsi="Arial"/>
                <w:sz w:val="14"/>
                <w:szCs w:val="14"/>
                <w:b w:val="1"/>
                <w:bCs w:val="1"/>
                <w:color w:val="auto"/>
              </w:rPr>
              <w:t>Total Without Option</w:t>
            </w:r>
          </w:p>
        </w:tc>
        <w:tc>
          <w:tcPr>
            <w:tcW w:w="280" w:type="dxa"/>
            <w:vAlign w:val="bottom"/>
          </w:tcPr>
          <w:p>
            <w:pPr>
              <w:spacing w:after="0"/>
              <w:rPr>
                <w:sz w:val="14"/>
                <w:szCs w:val="14"/>
                <w:color w:val="auto"/>
              </w:rPr>
            </w:pPr>
          </w:p>
        </w:tc>
        <w:tc>
          <w:tcPr>
            <w:tcW w:w="1440" w:type="dxa"/>
            <w:vAlign w:val="bottom"/>
          </w:tcPr>
          <w:p>
            <w:pPr>
              <w:jc w:val="right"/>
              <w:ind w:right="132"/>
              <w:spacing w:after="0"/>
              <w:rPr>
                <w:sz w:val="20"/>
                <w:szCs w:val="20"/>
                <w:color w:val="auto"/>
              </w:rPr>
            </w:pPr>
            <w:r>
              <w:rPr>
                <w:rFonts w:ascii="Arial" w:cs="Arial" w:eastAsia="Arial" w:hAnsi="Arial"/>
                <w:sz w:val="14"/>
                <w:szCs w:val="14"/>
                <w:b w:val="1"/>
                <w:bCs w:val="1"/>
                <w:color w:val="auto"/>
              </w:rPr>
              <w:t>Total With Option</w:t>
            </w: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60" w:type="dxa"/>
            <w:vAlign w:val="bottom"/>
            <w:gridSpan w:val="2"/>
          </w:tcPr>
          <w:p>
            <w:pPr>
              <w:ind w:left="2480"/>
              <w:spacing w:after="0"/>
              <w:rPr>
                <w:sz w:val="20"/>
                <w:szCs w:val="20"/>
                <w:color w:val="auto"/>
              </w:rPr>
            </w:pPr>
            <w:r>
              <w:rPr>
                <w:rFonts w:ascii="Arial" w:cs="Arial" w:eastAsia="Arial" w:hAnsi="Arial"/>
                <w:sz w:val="14"/>
                <w:szCs w:val="14"/>
                <w:b w:val="1"/>
                <w:bCs w:val="1"/>
                <w:color w:val="auto"/>
                <w:w w:val="85"/>
              </w:rPr>
              <w:t>Per Share</w:t>
            </w:r>
          </w:p>
        </w:tc>
        <w:tc>
          <w:tcPr>
            <w:tcW w:w="280" w:type="dxa"/>
            <w:vAlign w:val="bottom"/>
          </w:tcPr>
          <w:p>
            <w:pPr>
              <w:spacing w:after="0"/>
              <w:rPr>
                <w:sz w:val="15"/>
                <w:szCs w:val="15"/>
                <w:color w:val="auto"/>
              </w:rPr>
            </w:pPr>
          </w:p>
        </w:tc>
        <w:tc>
          <w:tcPr>
            <w:tcW w:w="1600" w:type="dxa"/>
            <w:vAlign w:val="bottom"/>
          </w:tcPr>
          <w:p>
            <w:pPr>
              <w:jc w:val="right"/>
              <w:ind w:right="452"/>
              <w:spacing w:after="0"/>
              <w:rPr>
                <w:sz w:val="20"/>
                <w:szCs w:val="20"/>
                <w:color w:val="auto"/>
              </w:rPr>
            </w:pPr>
            <w:r>
              <w:rPr>
                <w:rFonts w:ascii="Arial" w:cs="Arial" w:eastAsia="Arial" w:hAnsi="Arial"/>
                <w:sz w:val="14"/>
                <w:szCs w:val="14"/>
                <w:b w:val="1"/>
                <w:bCs w:val="1"/>
                <w:color w:val="auto"/>
              </w:rPr>
              <w:t>Exercised</w:t>
            </w:r>
          </w:p>
        </w:tc>
        <w:tc>
          <w:tcPr>
            <w:tcW w:w="280" w:type="dxa"/>
            <w:vAlign w:val="bottom"/>
          </w:tcPr>
          <w:p>
            <w:pPr>
              <w:spacing w:after="0"/>
              <w:rPr>
                <w:sz w:val="15"/>
                <w:szCs w:val="15"/>
                <w:color w:val="auto"/>
              </w:rPr>
            </w:pPr>
          </w:p>
        </w:tc>
        <w:tc>
          <w:tcPr>
            <w:tcW w:w="1440" w:type="dxa"/>
            <w:vAlign w:val="bottom"/>
          </w:tcPr>
          <w:p>
            <w:pPr>
              <w:jc w:val="right"/>
              <w:ind w:right="372"/>
              <w:spacing w:after="0"/>
              <w:rPr>
                <w:sz w:val="20"/>
                <w:szCs w:val="20"/>
                <w:color w:val="auto"/>
              </w:rPr>
            </w:pPr>
            <w:r>
              <w:rPr>
                <w:rFonts w:ascii="Arial" w:cs="Arial" w:eastAsia="Arial" w:hAnsi="Arial"/>
                <w:sz w:val="14"/>
                <w:szCs w:val="14"/>
                <w:b w:val="1"/>
                <w:bCs w:val="1"/>
                <w:color w:val="auto"/>
              </w:rPr>
              <w:t>Exercised</w:t>
            </w:r>
          </w:p>
        </w:tc>
        <w:tc>
          <w:tcPr>
            <w:tcW w:w="0" w:type="dxa"/>
            <w:vAlign w:val="bottom"/>
          </w:tcPr>
          <w:p>
            <w:pPr>
              <w:spacing w:after="0"/>
              <w:rPr>
                <w:sz w:val="1"/>
                <w:szCs w:val="1"/>
                <w:color w:val="auto"/>
              </w:rPr>
            </w:pPr>
          </w:p>
        </w:tc>
      </w:tr>
      <w:tr>
        <w:trPr>
          <w:trHeight w:val="95"/>
        </w:trPr>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40" w:type="dxa"/>
            <w:vAlign w:val="bottom"/>
          </w:tcPr>
          <w:p>
            <w:pPr>
              <w:spacing w:after="0"/>
              <w:rPr>
                <w:sz w:val="8"/>
                <w:szCs w:val="8"/>
                <w:color w:val="auto"/>
              </w:rPr>
            </w:pPr>
          </w:p>
        </w:tc>
        <w:tc>
          <w:tcPr>
            <w:tcW w:w="54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04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452"/>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2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Underwriting discount(1)</w:t>
            </w:r>
          </w:p>
        </w:tc>
        <w:tc>
          <w:tcPr>
            <w:tcW w:w="10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Payable by us</w:t>
            </w:r>
          </w:p>
        </w:tc>
        <w:tc>
          <w:tcPr>
            <w:tcW w:w="104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452"/>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2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20" w:type="dxa"/>
            <w:vAlign w:val="bottom"/>
            <w:gridSpan w:val="3"/>
          </w:tcPr>
          <w:p>
            <w:pPr>
              <w:ind w:left="260"/>
              <w:spacing w:after="0"/>
              <w:rPr>
                <w:sz w:val="20"/>
                <w:szCs w:val="20"/>
                <w:color w:val="auto"/>
              </w:rPr>
            </w:pPr>
            <w:r>
              <w:rPr>
                <w:rFonts w:ascii="Arial" w:cs="Arial" w:eastAsia="Arial" w:hAnsi="Arial"/>
                <w:sz w:val="18"/>
                <w:szCs w:val="18"/>
                <w:color w:val="auto"/>
                <w:w w:val="97"/>
              </w:rPr>
              <w:t>Payable by the selling stockholders</w:t>
            </w:r>
          </w:p>
        </w:tc>
        <w:tc>
          <w:tcPr>
            <w:tcW w:w="3060" w:type="dxa"/>
            <w:vAlign w:val="bottom"/>
            <w:gridSpan w:val="2"/>
          </w:tcPr>
          <w:p>
            <w:pPr>
              <w:ind w:left="248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45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2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w:t>
            </w:r>
          </w:p>
        </w:tc>
        <w:tc>
          <w:tcPr>
            <w:tcW w:w="10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20" w:type="dxa"/>
            <w:vAlign w:val="bottom"/>
            <w:gridSpan w:val="3"/>
          </w:tcPr>
          <w:p>
            <w:pPr>
              <w:ind w:left="260"/>
              <w:spacing w:after="0"/>
              <w:rPr>
                <w:sz w:val="20"/>
                <w:szCs w:val="20"/>
                <w:color w:val="auto"/>
              </w:rPr>
            </w:pPr>
            <w:r>
              <w:rPr>
                <w:rFonts w:ascii="Arial" w:cs="Arial" w:eastAsia="Arial" w:hAnsi="Arial"/>
                <w:sz w:val="18"/>
                <w:szCs w:val="18"/>
                <w:color w:val="auto"/>
              </w:rPr>
              <w:t>Proceeds to us (before expenses)</w:t>
            </w:r>
          </w:p>
        </w:tc>
        <w:tc>
          <w:tcPr>
            <w:tcW w:w="3060" w:type="dxa"/>
            <w:vAlign w:val="bottom"/>
            <w:gridSpan w:val="2"/>
          </w:tcPr>
          <w:p>
            <w:pPr>
              <w:ind w:left="248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45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2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5"/>
              </w:rPr>
              <w:t>Proceeds to the selling stockholders</w:t>
            </w:r>
          </w:p>
        </w:tc>
        <w:tc>
          <w:tcPr>
            <w:tcW w:w="2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88"/>
              </w:rPr>
              <w:t>(before expenses)</w:t>
            </w:r>
          </w:p>
        </w:tc>
        <w:tc>
          <w:tcPr>
            <w:tcW w:w="104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452"/>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2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3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gridSpan w:val="2"/>
          </w:tcPr>
          <w:p>
            <w:pPr>
              <w:spacing w:after="0"/>
              <w:rPr>
                <w:sz w:val="9"/>
                <w:szCs w:val="9"/>
                <w:color w:val="auto"/>
              </w:rPr>
            </w:pPr>
          </w:p>
        </w:tc>
        <w:tc>
          <w:tcPr>
            <w:tcW w:w="1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90"/>
              </w:rPr>
              <w:t>(1)</w:t>
            </w:r>
          </w:p>
        </w:tc>
        <w:tc>
          <w:tcPr>
            <w:tcW w:w="2520" w:type="dxa"/>
            <w:vAlign w:val="bottom"/>
            <w:gridSpan w:val="3"/>
          </w:tcPr>
          <w:p>
            <w:pPr>
              <w:jc w:val="right"/>
              <w:ind w:right="292"/>
              <w:spacing w:after="0"/>
              <w:rPr>
                <w:sz w:val="20"/>
                <w:szCs w:val="20"/>
                <w:color w:val="auto"/>
              </w:rPr>
            </w:pPr>
            <w:r>
              <w:rPr>
                <w:rFonts w:ascii="Arial" w:cs="Arial" w:eastAsia="Arial" w:hAnsi="Arial"/>
                <w:sz w:val="18"/>
                <w:szCs w:val="18"/>
                <w:color w:val="auto"/>
                <w:w w:val="94"/>
              </w:rPr>
              <w:t>The underwriting discount is</w:t>
            </w:r>
          </w:p>
        </w:tc>
        <w:tc>
          <w:tcPr>
            <w:tcW w:w="1040" w:type="dxa"/>
            <w:vAlign w:val="bottom"/>
          </w:tcPr>
          <w:p>
            <w:pPr>
              <w:ind w:left="180"/>
              <w:spacing w:after="0"/>
              <w:rPr>
                <w:sz w:val="20"/>
                <w:szCs w:val="20"/>
                <w:color w:val="auto"/>
              </w:rPr>
            </w:pPr>
            <w:r>
              <w:rPr>
                <w:rFonts w:ascii="Arial" w:cs="Arial" w:eastAsia="Arial" w:hAnsi="Arial"/>
                <w:sz w:val="18"/>
                <w:szCs w:val="18"/>
                <w:color w:val="auto"/>
              </w:rPr>
              <w:t>%, or $</w:t>
            </w:r>
          </w:p>
        </w:tc>
        <w:tc>
          <w:tcPr>
            <w:tcW w:w="3060" w:type="dxa"/>
            <w:vAlign w:val="bottom"/>
            <w:gridSpan w:val="2"/>
          </w:tcPr>
          <w:p>
            <w:pPr>
              <w:ind w:left="240"/>
              <w:spacing w:after="0"/>
              <w:rPr>
                <w:sz w:val="20"/>
                <w:szCs w:val="20"/>
                <w:color w:val="auto"/>
              </w:rPr>
            </w:pPr>
            <w:r>
              <w:rPr>
                <w:rFonts w:ascii="Arial" w:cs="Arial" w:eastAsia="Arial" w:hAnsi="Arial"/>
                <w:sz w:val="18"/>
                <w:szCs w:val="18"/>
                <w:color w:val="auto"/>
              </w:rPr>
              <w:t>per share.</w:t>
            </w: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incur expenses of approximately $100,000 in connection with this offering.</w:t>
      </w:r>
    </w:p>
    <w:p>
      <w:pPr>
        <w:spacing w:after="0" w:line="15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granted the underwriters an option to purchase up to 533,600 additional shares of common stock at the public offering price less the underwriting discount. The underwriters may exercise the option for 30 days from the date of this prospectus supplement solely to cover any over-allotments. If the underwriters exercise this option, each will be obligated, subject to conditions contained in the underwriting agreement, to purchase a number of additional shares of common stock proportionate to that underwriter’s initial amount reflected in the above table.</w:t>
      </w:r>
    </w:p>
    <w:p>
      <w:pPr>
        <w:spacing w:after="0" w:line="9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Each of the selling stockholders has agreed with the underwriters, for a period of 90 days after the date of this prospectus supplement, subject to certain exceptions, not to sell any shares of common stock or any securities convertible into or exchangeable for shares of common stock owned by the holders, without the prior written consent of the underwriters. However, the underwriters may, in their sole discretion and at any time without notice, release all or any portion of the securities subject to these agreements.</w:t>
      </w:r>
    </w:p>
    <w:p>
      <w:pPr>
        <w:spacing w:after="0" w:line="13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Until the distribution of the shares of common stock is completed, Securities and Exchange Commission rules may limit the underwriters and selling group members from bidding for and purchasing our shares of common stock. However, the underwriters may engage in transactions that stabilize the price of the common stock, such as bids or purchases to peg, fix, or maintain that price.</w:t>
      </w:r>
    </w:p>
    <w:p>
      <w:pPr>
        <w:spacing w:after="0" w:line="127"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If the underwriters create a short position in the shares of common stock in connection with the offering, i.e., if they sell more shares than are listed on the cover of this prospectus supplement, the underwriters may reduce that short position by purchasing shares in the open market. The underwriters may also elect to reduce any short position by exercising all or part of the over-allotment option described above. Purchases of the shares of</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common stock to stabilize its price or to reduce a short position may cause the price of the shares of common stock to be higher than it might be in the absence of such purchases.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Neither we nor the underwriters makes any representation or prediction as to the effect the transactions described above may have on the price of the shares of common stock. These transactions may occur on the Nasdaq National Market or otherwise. If such transactions are commenced, they may be discontinued without notice at any time.</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in connection with this offering, some of the underwriters may engage in passive market making transactions in the common stock on the Nasdaq National Market, prior to the pricing and completion of the offering. Passive market making consists of displaying bids on the Nasdaq National Market no higher than the bid prices of independent market makers and making purchases at prices no higher than those independent bids and effected in response to order flow. Net purchases by a passive market maker on each day are limited to a specified percentage of the passive market maker’s average daily trading volume in the common stock during a specified period and must be discontinued when that limit is reached. Passive market making may cause the price of the common stock to be higher than the price that otherwise would exist in the open market in the absence of those transactions. If the underwriters commence passive market making transactions, they may discontinue them at any time.</w:t>
      </w:r>
    </w:p>
    <w:p>
      <w:pPr>
        <w:spacing w:after="0" w:line="105"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Royce &amp; Associates, LLC, an affiliate of Legg Mason Wood Walker, Incorporated, manages accounts that beneficially own 849,200 shares of our common stock as of April 30, 2003. Additionally, Legg Mason Wood Walker, Incorporated manages accounts that beneficially own 75,116 shares of our common stock as of April 1, 2003, and Legg Mason Trust FSB, an affiliate of Legg Mason Wood Walker, Incorporated, manages accounts that beneficially own 2,000 shares of our common stock as of April 1, 2003. In addition, some of the underwriters and their affiliates have engaged in, and may in the future engage in, investment banking and other commercial dealings in the ordinary course of business with us. They have received customary fees and commissions for these transactions.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validity of the common stock offered hereby will be passed upon for us by Blackwell Sanders Peper Martin LLP, Two Pershing Square, 2300 Main Street, Suite 1000, Kansas City, Missouri 64108. Certain legal matters will be passed upon for the underwriters by Calfee, Halter &amp; Griswold LLP, 1400 McDonald Investment Center, 800 Superior Avenue, Cleveland, Ohio, 44114.</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file annual, quarterly and special reports, proxy statements and other information with the SEC. You may read and copy any of these materials at the SEC’s Public Reference Room, 450 Fifth Street, N.W., Washington, D.C. 20549. You may obtain information on the operation of the Public Reference Room by calling the SEC at 1-800-SEC-0330. Our SEC filings, including the registration statement, will also be available to you on the SEC’s website. The address of this website is http://www.sec.gov.</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filed a registration statement on Form S-3 with the SEC to register shares of our common stock. This prospectus supplement and the accompanying prospectus are part of that registration statement and, as permitted by the SEC’s rules, does not contain all of the information included in the registration statement. For further information about us and this offering, you may refer to the registration statement and its exhibits. You can review and copy the registration statement and its exhibits at the public reference rooms maintained by the SEC or on the SEC’s website described above.</w:t>
      </w:r>
    </w:p>
    <w:p>
      <w:pPr>
        <w:spacing w:after="0" w:line="9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prospectus supplement and accompanying prospectus may contain summaries of contracts or other documents. Because they are summaries, they will not contain all of the information that may be important to you. If you would like complete information about a contract or other document, you should read the copy filed as an exhibit to the registration statement.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to those documents. The information we incorporate by reference is considered to be a part of this prospectus, and information that we file with the SEC at a later date will automatically update or supersede this information. We incorporate by reference the following documents as well as any future filing we will make with the SEC under Sections 13(a), 13(c), 14 or 15(d) of the Securities Exchange Act of 1934:</w:t>
      </w:r>
    </w:p>
    <w:p>
      <w:pPr>
        <w:spacing w:after="0" w:line="18" w:lineRule="exact"/>
        <w:rPr>
          <w:sz w:val="20"/>
          <w:szCs w:val="20"/>
          <w:color w:val="auto"/>
        </w:rPr>
      </w:pPr>
    </w:p>
    <w:p>
      <w:pPr>
        <w:ind w:left="760" w:hanging="306"/>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2002;</w:t>
      </w:r>
    </w:p>
    <w:p>
      <w:pPr>
        <w:spacing w:after="0" w:line="103" w:lineRule="exact"/>
        <w:rPr>
          <w:rFonts w:ascii="Arial" w:cs="Arial" w:eastAsia="Arial" w:hAnsi="Arial"/>
          <w:sz w:val="18"/>
          <w:szCs w:val="18"/>
          <w:color w:val="auto"/>
        </w:rPr>
      </w:pPr>
    </w:p>
    <w:p>
      <w:pPr>
        <w:ind w:left="760" w:right="140" w:hanging="306"/>
        <w:spacing w:after="0" w:line="268"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February 25, 2003, March 11, 2003, April 24, 2003, as amended on Form 8-K/A on May 1, 2003, and May 2, 2003; and</w:t>
      </w:r>
    </w:p>
    <w:p>
      <w:pPr>
        <w:spacing w:after="0" w:line="37" w:lineRule="exact"/>
        <w:rPr>
          <w:rFonts w:ascii="Arial" w:cs="Arial" w:eastAsia="Arial" w:hAnsi="Arial"/>
          <w:sz w:val="18"/>
          <w:szCs w:val="18"/>
          <w:color w:val="auto"/>
        </w:rPr>
      </w:pPr>
    </w:p>
    <w:p>
      <w:pPr>
        <w:ind w:left="760" w:hanging="306"/>
        <w:spacing w:after="0"/>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description of our common stock contained in the amended registration statement on Form 8-A/A filed with the SEC on November 22, 2002.</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request a copy of these filings, at no cost, by written or telephone request to:</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NN, Inc.</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2000 Waters Edge Drive</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Johnson City, Tennessee 37604</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(423) 743-9151</w:t>
      </w:r>
    </w:p>
    <w:p>
      <w:pPr>
        <w:spacing w:after="0" w:line="1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This prospectus supplement may contain information that updates, modifies or is contrary to information in one or more of the documents incorporated by reference in this prospectus supplement. Reports we file with the SEC after the date of this prospectus supplement may also contain information that updates, modifies or is contrary to information in this prospectus supplement or in documents incorporated by reference in this prospectus supplement. Investors should review these reports as they may disclose a change in our business, prospects, financial condition or other affairs after the date of this prospectus supplement.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320"/>
          </w:cols>
          <w:pgMar w:left="24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109220</wp:posOffset>
            </wp:positionV>
            <wp:extent cx="1012190" cy="10204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1219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NN,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$36,000,000 of Company Shares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3,733,664 of Selling Stockholders Shares</w:t>
      </w:r>
    </w:p>
    <w:p>
      <w:pPr>
        <w:spacing w:after="0" w:line="15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By this prospectus from time to time, we may offer and sell shares of our common stock, par value $.01 per share, having an aggregate offering price of up to $36,000,000.</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Up to 3,733,664 shares of common stock may be sold from time to time in one or more offerings by the selling stockholders identified on page 7. We will not receive any proceeds from sales of shares of our common stock by the selling stockholders.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provide you with a prospectus supplement before we or any of the selling stockholders sell any common stock under this prospectus. Any prospectus supplement will inform you about the specific terms of an offering by us or any selling stockholder, will list the names of any underwriters or agents, and may also add, update or change information contained in this prospectus. You should read this prospectus, the documents that are incorporated by reference in this prospectus and any prospectus supplement carefully before investing. This prospectus may not be used to sell any common stock unless it is accompanied by a prospectus supplement.</w:t>
      </w:r>
    </w:p>
    <w:p>
      <w:pPr>
        <w:spacing w:after="0" w:line="129"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may offer these securities directly to investors, or through agents, underwriters or dealers. See “Plan of Distribution” on page 8. Each prospectus supplement will provide the terms of the plan of distribution relating to each offering of common stock.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National Market under the symbol “NNBR.”</w:t>
      </w:r>
    </w:p>
    <w:p>
      <w:pPr>
        <w:spacing w:after="0" w:line="152"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Investing in our common stock involves risks. See “Risk Factors” beginning on page 4 to read about the risks you should consider before buying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145415</wp:posOffset>
            </wp:positionV>
            <wp:extent cx="15347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116205</wp:posOffset>
            </wp:positionV>
            <wp:extent cx="15347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February 11, 2003</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3559"/>
        <w:spacing w:after="0"/>
        <w:rPr>
          <w:sz w:val="20"/>
          <w:szCs w:val="20"/>
          <w:color w:val="auto"/>
        </w:rPr>
      </w:pPr>
      <w:r>
        <w:rPr>
          <w:rFonts w:ascii="Arial" w:cs="Arial" w:eastAsia="Arial" w:hAnsi="Arial"/>
          <w:sz w:val="18"/>
          <w:szCs w:val="18"/>
          <w:b w:val="1"/>
          <w:bCs w:val="1"/>
          <w:color w:val="auto"/>
        </w:rPr>
        <w:t>TABLE OF CONTENTS</w:t>
      </w:r>
    </w:p>
    <w:p>
      <w:pPr>
        <w:spacing w:after="0" w:line="164" w:lineRule="exact"/>
        <w:rPr>
          <w:sz w:val="20"/>
          <w:szCs w:val="20"/>
          <w:color w:val="auto"/>
        </w:rPr>
      </w:pPr>
    </w:p>
    <w:p>
      <w:pPr>
        <w:ind w:left="20"/>
        <w:spacing w:after="0"/>
        <w:rPr>
          <w:rFonts w:ascii="Arial" w:cs="Arial" w:eastAsia="Arial" w:hAnsi="Arial"/>
          <w:sz w:val="18"/>
          <w:szCs w:val="18"/>
          <w:color w:val="0000EE"/>
        </w:rPr>
      </w:pPr>
      <w:hyperlink w:anchor="page23">
        <w:r>
          <w:rPr>
            <w:rFonts w:ascii="Arial" w:cs="Arial" w:eastAsia="Arial" w:hAnsi="Arial"/>
            <w:sz w:val="18"/>
            <w:szCs w:val="18"/>
            <w:u w:val="single" w:color="auto"/>
            <w:color w:val="0000EE"/>
          </w:rPr>
          <w:t>ABOUT THIS PROSPECTUS</w:t>
        </w:r>
        <w:r>
          <w:rPr>
            <w:rFonts w:ascii="Arial" w:cs="Arial" w:eastAsia="Arial" w:hAnsi="Arial"/>
            <w:sz w:val="18"/>
            <w:szCs w:val="18"/>
            <w:color w:val="0000EE"/>
          </w:rPr>
          <w:t xml:space="preserve"> </w:t>
        </w:r>
      </w:hyperlink>
      <w:r>
        <w:rPr>
          <w:rFonts w:ascii="Arial" w:cs="Arial" w:eastAsia="Arial" w:hAnsi="Arial"/>
          <w:sz w:val="18"/>
          <w:szCs w:val="18"/>
          <w:color w:val="000000"/>
        </w:rPr>
        <w:t>1</w:t>
      </w:r>
    </w:p>
    <w:p>
      <w:pPr>
        <w:spacing w:after="0" w:line="15" w:lineRule="exact"/>
        <w:rPr>
          <w:sz w:val="20"/>
          <w:szCs w:val="20"/>
          <w:color w:val="auto"/>
        </w:rPr>
      </w:pPr>
    </w:p>
    <w:p>
      <w:pPr>
        <w:ind w:left="2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RECENT DEVELOPMENTS1</w:t>
        </w:r>
      </w:hyperlink>
    </w:p>
    <w:p>
      <w:pPr>
        <w:spacing w:after="0" w:line="9" w:lineRule="exact"/>
        <w:rPr>
          <w:sz w:val="20"/>
          <w:szCs w:val="20"/>
          <w:color w:val="auto"/>
        </w:rPr>
      </w:pPr>
    </w:p>
    <w:p>
      <w:pPr>
        <w:ind w:left="20"/>
        <w:spacing w:after="0"/>
        <w:rPr>
          <w:rFonts w:ascii="Arial" w:cs="Arial" w:eastAsia="Arial" w:hAnsi="Arial"/>
          <w:sz w:val="18"/>
          <w:szCs w:val="18"/>
          <w:color w:val="0000EE"/>
        </w:rPr>
      </w:pPr>
      <w:hyperlink w:anchor="page24">
        <w:r>
          <w:rPr>
            <w:rFonts w:ascii="Arial" w:cs="Arial" w:eastAsia="Arial" w:hAnsi="Arial"/>
            <w:sz w:val="18"/>
            <w:szCs w:val="18"/>
            <w:u w:val="single" w:color="auto"/>
            <w:color w:val="0000EE"/>
          </w:rPr>
          <w:t>RISK FACTORS</w:t>
        </w:r>
        <w:r>
          <w:rPr>
            <w:rFonts w:ascii="Arial" w:cs="Arial" w:eastAsia="Arial" w:hAnsi="Arial"/>
            <w:sz w:val="18"/>
            <w:szCs w:val="18"/>
            <w:color w:val="0000EE"/>
          </w:rPr>
          <w:t xml:space="preserve"> </w:t>
        </w:r>
      </w:hyperlink>
      <w:r>
        <w:rPr>
          <w:rFonts w:ascii="Arial" w:cs="Arial" w:eastAsia="Arial" w:hAnsi="Arial"/>
          <w:sz w:val="18"/>
          <w:szCs w:val="18"/>
          <w:color w:val="000000"/>
        </w:rPr>
        <w:t>2</w:t>
      </w:r>
    </w:p>
    <w:p>
      <w:pPr>
        <w:spacing w:after="0" w:line="9" w:lineRule="exact"/>
        <w:rPr>
          <w:sz w:val="20"/>
          <w:szCs w:val="20"/>
          <w:color w:val="auto"/>
        </w:rPr>
      </w:pPr>
    </w:p>
    <w:p>
      <w:pPr>
        <w:ind w:left="20"/>
        <w:spacing w:after="0"/>
        <w:rPr>
          <w:rFonts w:ascii="Arial" w:cs="Arial" w:eastAsia="Arial" w:hAnsi="Arial"/>
          <w:sz w:val="18"/>
          <w:szCs w:val="18"/>
          <w:color w:val="0000EE"/>
        </w:rPr>
      </w:pPr>
      <w:hyperlink w:anchor="page27">
        <w:r>
          <w:rPr>
            <w:rFonts w:ascii="Arial" w:cs="Arial" w:eastAsia="Arial" w:hAnsi="Arial"/>
            <w:sz w:val="18"/>
            <w:szCs w:val="18"/>
            <w:u w:val="single" w:color="auto"/>
            <w:color w:val="0000EE"/>
          </w:rPr>
          <w:t>NN, INC.</w:t>
        </w:r>
        <w:r>
          <w:rPr>
            <w:rFonts w:ascii="Arial" w:cs="Arial" w:eastAsia="Arial" w:hAnsi="Arial"/>
            <w:sz w:val="18"/>
            <w:szCs w:val="18"/>
            <w:color w:val="0000EE"/>
          </w:rPr>
          <w:t xml:space="preserve"> </w:t>
        </w:r>
      </w:hyperlink>
      <w:r>
        <w:rPr>
          <w:rFonts w:ascii="Arial" w:cs="Arial" w:eastAsia="Arial" w:hAnsi="Arial"/>
          <w:sz w:val="18"/>
          <w:szCs w:val="18"/>
          <w:color w:val="000000"/>
        </w:rPr>
        <w:t>5</w:t>
      </w:r>
    </w:p>
    <w:p>
      <w:pPr>
        <w:spacing w:after="0" w:line="9" w:lineRule="exact"/>
        <w:rPr>
          <w:sz w:val="20"/>
          <w:szCs w:val="20"/>
          <w:color w:val="auto"/>
        </w:rPr>
      </w:pPr>
    </w:p>
    <w:p>
      <w:pPr>
        <w:ind w:left="20"/>
        <w:spacing w:after="0"/>
        <w:rPr>
          <w:rFonts w:ascii="Arial" w:cs="Arial" w:eastAsia="Arial" w:hAnsi="Arial"/>
          <w:sz w:val="18"/>
          <w:szCs w:val="18"/>
          <w:color w:val="0000EE"/>
        </w:rPr>
      </w:pPr>
      <w:hyperlink w:anchor="page28">
        <w:r>
          <w:rPr>
            <w:rFonts w:ascii="Arial" w:cs="Arial" w:eastAsia="Arial" w:hAnsi="Arial"/>
            <w:sz w:val="18"/>
            <w:szCs w:val="18"/>
            <w:u w:val="single" w:color="auto"/>
            <w:color w:val="0000EE"/>
          </w:rPr>
          <w:t>USE OF PROCEEDS</w:t>
        </w:r>
        <w:r>
          <w:rPr>
            <w:rFonts w:ascii="Arial" w:cs="Arial" w:eastAsia="Arial" w:hAnsi="Arial"/>
            <w:sz w:val="18"/>
            <w:szCs w:val="18"/>
            <w:color w:val="0000EE"/>
          </w:rPr>
          <w:t xml:space="preserve"> </w:t>
        </w:r>
      </w:hyperlink>
      <w:r>
        <w:rPr>
          <w:rFonts w:ascii="Arial" w:cs="Arial" w:eastAsia="Arial" w:hAnsi="Arial"/>
          <w:sz w:val="18"/>
          <w:szCs w:val="18"/>
          <w:color w:val="000000"/>
        </w:rPr>
        <w:t>6</w:t>
      </w:r>
    </w:p>
    <w:p>
      <w:pPr>
        <w:spacing w:after="0" w:line="9" w:lineRule="exact"/>
        <w:rPr>
          <w:sz w:val="20"/>
          <w:szCs w:val="20"/>
          <w:color w:val="auto"/>
        </w:rPr>
      </w:pPr>
    </w:p>
    <w:p>
      <w:pPr>
        <w:ind w:left="20"/>
        <w:spacing w:after="0"/>
        <w:rPr>
          <w:rFonts w:ascii="Arial" w:cs="Arial" w:eastAsia="Arial" w:hAnsi="Arial"/>
          <w:sz w:val="18"/>
          <w:szCs w:val="18"/>
          <w:color w:val="0000EE"/>
        </w:rPr>
      </w:pPr>
      <w:hyperlink w:anchor="page29">
        <w:r>
          <w:rPr>
            <w:rFonts w:ascii="Arial" w:cs="Arial" w:eastAsia="Arial" w:hAnsi="Arial"/>
            <w:sz w:val="18"/>
            <w:szCs w:val="18"/>
            <w:u w:val="single" w:color="auto"/>
            <w:color w:val="0000EE"/>
          </w:rPr>
          <w:t>SELLING STOCKHOLDERS</w:t>
        </w:r>
        <w:r>
          <w:rPr>
            <w:rFonts w:ascii="Arial" w:cs="Arial" w:eastAsia="Arial" w:hAnsi="Arial"/>
            <w:sz w:val="18"/>
            <w:szCs w:val="18"/>
            <w:color w:val="0000EE"/>
          </w:rPr>
          <w:t xml:space="preserve"> </w:t>
        </w:r>
      </w:hyperlink>
      <w:r>
        <w:rPr>
          <w:rFonts w:ascii="Arial" w:cs="Arial" w:eastAsia="Arial" w:hAnsi="Arial"/>
          <w:sz w:val="18"/>
          <w:szCs w:val="18"/>
          <w:color w:val="000000"/>
        </w:rPr>
        <w:t>7</w:t>
      </w:r>
    </w:p>
    <w:p>
      <w:pPr>
        <w:spacing w:after="0" w:line="9" w:lineRule="exact"/>
        <w:rPr>
          <w:sz w:val="20"/>
          <w:szCs w:val="20"/>
          <w:color w:val="auto"/>
        </w:rPr>
      </w:pPr>
    </w:p>
    <w:p>
      <w:pPr>
        <w:ind w:left="20"/>
        <w:spacing w:after="0"/>
        <w:rPr>
          <w:rFonts w:ascii="Arial" w:cs="Arial" w:eastAsia="Arial" w:hAnsi="Arial"/>
          <w:sz w:val="18"/>
          <w:szCs w:val="18"/>
          <w:color w:val="0000EE"/>
        </w:rPr>
      </w:pPr>
      <w:hyperlink w:anchor="page30">
        <w:r>
          <w:rPr>
            <w:rFonts w:ascii="Arial" w:cs="Arial" w:eastAsia="Arial" w:hAnsi="Arial"/>
            <w:sz w:val="18"/>
            <w:szCs w:val="18"/>
            <w:u w:val="single" w:color="auto"/>
            <w:color w:val="0000EE"/>
          </w:rPr>
          <w:t>PLAN OF DISTRIBUTION</w:t>
        </w:r>
        <w:r>
          <w:rPr>
            <w:rFonts w:ascii="Arial" w:cs="Arial" w:eastAsia="Arial" w:hAnsi="Arial"/>
            <w:sz w:val="18"/>
            <w:szCs w:val="18"/>
            <w:color w:val="0000EE"/>
          </w:rPr>
          <w:t xml:space="preserve"> </w:t>
        </w:r>
      </w:hyperlink>
      <w:r>
        <w:rPr>
          <w:rFonts w:ascii="Arial" w:cs="Arial" w:eastAsia="Arial" w:hAnsi="Arial"/>
          <w:sz w:val="18"/>
          <w:szCs w:val="18"/>
          <w:color w:val="000000"/>
        </w:rPr>
        <w:t>8</w:t>
      </w:r>
    </w:p>
    <w:p>
      <w:pPr>
        <w:spacing w:after="0" w:line="9" w:lineRule="exact"/>
        <w:rPr>
          <w:sz w:val="20"/>
          <w:szCs w:val="20"/>
          <w:color w:val="auto"/>
        </w:rPr>
      </w:pPr>
    </w:p>
    <w:p>
      <w:pPr>
        <w:ind w:left="20"/>
        <w:spacing w:after="0"/>
        <w:rPr>
          <w:rFonts w:ascii="Arial" w:cs="Arial" w:eastAsia="Arial" w:hAnsi="Arial"/>
          <w:sz w:val="18"/>
          <w:szCs w:val="18"/>
          <w:color w:val="0000EE"/>
        </w:rPr>
      </w:pPr>
      <w:hyperlink w:anchor="page33">
        <w:r>
          <w:rPr>
            <w:rFonts w:ascii="Arial" w:cs="Arial" w:eastAsia="Arial" w:hAnsi="Arial"/>
            <w:sz w:val="18"/>
            <w:szCs w:val="18"/>
            <w:u w:val="single" w:color="auto"/>
            <w:color w:val="0000EE"/>
          </w:rPr>
          <w:t>LEGAL MATTERS</w:t>
        </w:r>
        <w:r>
          <w:rPr>
            <w:rFonts w:ascii="Arial" w:cs="Arial" w:eastAsia="Arial" w:hAnsi="Arial"/>
            <w:sz w:val="18"/>
            <w:szCs w:val="18"/>
            <w:color w:val="0000EE"/>
          </w:rPr>
          <w:t xml:space="preserve"> </w:t>
        </w:r>
      </w:hyperlink>
      <w:r>
        <w:rPr>
          <w:rFonts w:ascii="Arial" w:cs="Arial" w:eastAsia="Arial" w:hAnsi="Arial"/>
          <w:sz w:val="18"/>
          <w:szCs w:val="18"/>
          <w:color w:val="000000"/>
        </w:rPr>
        <w:t>11</w:t>
      </w:r>
    </w:p>
    <w:p>
      <w:pPr>
        <w:spacing w:after="0" w:line="9" w:lineRule="exact"/>
        <w:rPr>
          <w:sz w:val="20"/>
          <w:szCs w:val="20"/>
          <w:color w:val="auto"/>
        </w:rPr>
      </w:pPr>
    </w:p>
    <w:p>
      <w:pPr>
        <w:ind w:left="20"/>
        <w:spacing w:after="0"/>
        <w:rPr>
          <w:rFonts w:ascii="Arial" w:cs="Arial" w:eastAsia="Arial" w:hAnsi="Arial"/>
          <w:sz w:val="18"/>
          <w:szCs w:val="18"/>
          <w:color w:val="0000EE"/>
        </w:rPr>
      </w:pPr>
      <w:hyperlink w:anchor="page33">
        <w:r>
          <w:rPr>
            <w:rFonts w:ascii="Arial" w:cs="Arial" w:eastAsia="Arial" w:hAnsi="Arial"/>
            <w:sz w:val="18"/>
            <w:szCs w:val="18"/>
            <w:u w:val="single" w:color="auto"/>
            <w:color w:val="0000EE"/>
          </w:rPr>
          <w:t>EXPERTS</w:t>
        </w:r>
        <w:r>
          <w:rPr>
            <w:rFonts w:ascii="Arial" w:cs="Arial" w:eastAsia="Arial" w:hAnsi="Arial"/>
            <w:sz w:val="18"/>
            <w:szCs w:val="18"/>
            <w:color w:val="0000EE"/>
          </w:rPr>
          <w:t xml:space="preserve"> </w:t>
        </w:r>
      </w:hyperlink>
      <w:r>
        <w:rPr>
          <w:rFonts w:ascii="Arial" w:cs="Arial" w:eastAsia="Arial" w:hAnsi="Arial"/>
          <w:sz w:val="18"/>
          <w:szCs w:val="18"/>
          <w:color w:val="000000"/>
        </w:rPr>
        <w:t>11</w:t>
      </w:r>
    </w:p>
    <w:p>
      <w:pPr>
        <w:spacing w:after="0" w:line="9" w:lineRule="exact"/>
        <w:rPr>
          <w:sz w:val="20"/>
          <w:szCs w:val="20"/>
          <w:color w:val="auto"/>
        </w:rPr>
      </w:pPr>
    </w:p>
    <w:p>
      <w:pPr>
        <w:ind w:left="20" w:right="5059"/>
        <w:spacing w:after="0" w:line="323" w:lineRule="auto"/>
        <w:rPr>
          <w:rFonts w:ascii="Arial" w:cs="Arial" w:eastAsia="Arial" w:hAnsi="Arial"/>
          <w:sz w:val="16"/>
          <w:szCs w:val="16"/>
          <w:color w:val="0000EE"/>
        </w:rPr>
      </w:pPr>
      <w:hyperlink w:anchor="page33">
        <w:r>
          <w:rPr>
            <w:rFonts w:ascii="Arial" w:cs="Arial" w:eastAsia="Arial" w:hAnsi="Arial"/>
            <w:sz w:val="16"/>
            <w:szCs w:val="16"/>
            <w:u w:val="single" w:color="auto"/>
            <w:color w:val="0000EE"/>
          </w:rPr>
          <w:t>WHERE YOU CAN FIND MORE INFORMATION</w:t>
        </w:r>
        <w:r>
          <w:rPr>
            <w:rFonts w:ascii="Arial" w:cs="Arial" w:eastAsia="Arial" w:hAnsi="Arial"/>
            <w:sz w:val="16"/>
            <w:szCs w:val="16"/>
            <w:color w:val="0000EE"/>
          </w:rPr>
          <w:t xml:space="preserve"> </w:t>
        </w:r>
      </w:hyperlink>
      <w:r>
        <w:rPr>
          <w:rFonts w:ascii="Arial" w:cs="Arial" w:eastAsia="Arial" w:hAnsi="Arial"/>
          <w:sz w:val="16"/>
          <w:szCs w:val="16"/>
          <w:color w:val="000000"/>
        </w:rPr>
        <w:t>11</w:t>
      </w:r>
      <w:r>
        <w:rPr>
          <w:rFonts w:ascii="Arial" w:cs="Arial" w:eastAsia="Arial" w:hAnsi="Arial"/>
          <w:sz w:val="16"/>
          <w:szCs w:val="16"/>
          <w:color w:val="0000EE"/>
        </w:rPr>
        <w:t xml:space="preserve"> </w:t>
      </w:r>
      <w:hyperlink w:anchor="page33">
        <w:r>
          <w:rPr>
            <w:rFonts w:ascii="Arial" w:cs="Arial" w:eastAsia="Arial" w:hAnsi="Arial"/>
            <w:sz w:val="16"/>
            <w:szCs w:val="16"/>
            <w:u w:val="single" w:color="auto"/>
            <w:color w:val="0000EE"/>
          </w:rPr>
          <w:t>INCORPORATION OF CERTAIN DOCUMENTS BY REFERENCE</w:t>
        </w:r>
        <w:r>
          <w:rPr>
            <w:rFonts w:ascii="Arial" w:cs="Arial" w:eastAsia="Arial" w:hAnsi="Arial"/>
            <w:sz w:val="16"/>
            <w:szCs w:val="16"/>
            <w:color w:val="0000EE"/>
          </w:rPr>
          <w:t xml:space="preserve"> </w:t>
        </w:r>
      </w:hyperlink>
      <w:r>
        <w:rPr>
          <w:rFonts w:ascii="Arial" w:cs="Arial" w:eastAsia="Arial" w:hAnsi="Arial"/>
          <w:sz w:val="16"/>
          <w:szCs w:val="16"/>
          <w:color w:val="000000"/>
        </w:rPr>
        <w:t>11</w:t>
      </w:r>
    </w:p>
    <w:p>
      <w:pPr>
        <w:sectPr>
          <w:pgSz w:w="11900" w:h="16838" w:orient="portrait"/>
          <w:cols w:equalWidth="0" w:num="1">
            <w:col w:w="10219"/>
          </w:cols>
          <w:pgMar w:left="240" w:top="45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64"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This prospectus is part of a registration statement on Form S-3 that we filed with the Securities and Exchange Commission using a “shelf” registration process. Under the shelf registration process, we may, from time to time, offer and sell shares of our common stock described in this prospectus in one or more offerings up to a total dollar amount of $36,000,000. In addition, up to 3,733,664 shares of our common stock may be sold from time to time in one or more offerings by several of our stockholders. We will not receive any proceeds from any sale of the shares by the selling stockholders.</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or the selling stockholders sell common stock, we will provide a prospectus supplement that will contain specific information about the method and terms of that offering. The prospectus supplement may also add, update or change information contained in this prospectus. If there is any inconsistency between the information in this prospectus and a prospectus supplement, you should rely on the information in that prospectus supplement. You should read both this prospectus and any applicable prospectus supplement together with additional information described below under the heading “Where You Can Find More Information.”</w:t>
      </w:r>
    </w:p>
    <w:p>
      <w:pPr>
        <w:spacing w:after="0" w:line="10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When acquiring any securities discussed in this prospectus, you should rely upon the information contained in this prospectus and the prospectus supplement, including the information incorporated by reference. We have not authorized any other person to provide you with different information. If anyone provides you with different or inconsistent information, you should not rely on it. We are not making an offer to sell these securities in any jurisdiction where the offer or sale is not permitted.</w:t>
      </w:r>
    </w:p>
    <w:p>
      <w:pPr>
        <w:spacing w:after="0" w:line="13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and the selling stockholders may sell the common stock to or through underwriters, dealers or agents or directly to purchasers. The applicable prospectus supplement will provide the names of any underwriters, dealers or agents involved in the sale of the common stock, and any applicable fee, commission or discount arrangements with them. For a more detailed description of the various means by which we may distribute the common stock, you should read the information under the heading “Plan of Distribution.”</w:t>
      </w:r>
    </w:p>
    <w:p>
      <w:pPr>
        <w:spacing w:after="0" w:line="13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As used in this prospectus and any prospectus supplement, the terms “we,” “us,” “our,” “NN” or the “Company,” refer collectively to NN, Inc. and its subsidiaries.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DEVELOPMENTS</w:t>
      </w:r>
    </w:p>
    <w:p>
      <w:pPr>
        <w:spacing w:after="0" w:line="16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December 20, 2002, we acquired the 23 percent interest in NN Euroball, ApS (“Euroball”) held by INA/FAG. Euroball was formed in 2000 by the Company, FAG Kugelfischer Georg Schaefler AG, which was subsequently acquired by INA – Schaeffler KG (collectively, “INA/FAG”) and AB SKF (“SKF”). INA/FAG is a global bearing manufacturer and one of our largest customers. We paid approximately 13.4 million Euros for INA/FAG’s interest in Euroball. Following the closing of the transaction, we own 77 percent of the outstanding shares of Euroball and SKF owns the remaining 23 percent. SKF consented to our purchase of INA/FAG’s interest pursuant to the terms of the Euroball Shareholder Agreement. SKF has the right, beginning January 1, 2003 to require us to purchase its interest in Euroball, based on a formula price detailed in the Euroball Shareholder Agreement.</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December 9, 2002, we announced that we had signed a letter of intent to acquire certain component manufacturing operations of SKF in Veenendaal, The Netherlands. SKF, a Swedish corporation, is a global bearing manufacturer and one of our major customers. The transaction, which is expected to close in the first quarter of 2003, is subject to a number of conditions, including the execution of a definitive asset acquisition agreement, completion of due diligence, approval of NN and SKF’s boards of directors and any necessary approval of relevant government agencies. The on-going negotations between the parties have included the possibility of offering shares of our common stock under this prospectus as all or part of the purchase price for the assets.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You should carefully consider the following risks and uncertainties and any risks and uncertainties contained in the accompanying prospectus supplement, and all other information contained in or incorporated by reference in this prospectus and the prospectus supplement, before making an investment in our common stock. Any of the following risks could have a material adverse effect on our business, financial condition or operating results. In such case, the trading price of our common stock could decline and you may lose all or part of your investment.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demand for our products is cyclical, which could adversely impact our revenues.</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end markets for fully assembled bearings are cyclical and tend to decline in response to overall declines in industrial production. As a result, the market for bearing components is also cyclical and impacted by overall levels of industrial production. Our sales in the past have been negatively affected, and in the future will be negatively affected, by adverse conditions in the industrial production sector of the economy or by adverse global or national economic conditions generally.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depend on a very limited number of foreign sources for our primary raw material and are subject to risks of shortages and price fluctuation.</w:t>
      </w:r>
    </w:p>
    <w:p>
      <w:pPr>
        <w:spacing w:after="0" w:line="10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steel that we use to manufacture precision balls and rollers is of an extremely high quality and is available from a limited number of producers on a global basis. Due to quality constraints in the U.S. steel industry, we obtain substantially all of the steel used in our U.S. ball and roller production from overseas suppliers. In addition, we obtain substantially all of the steel used in our European ball production from a single European source. If we had to obtain steel from sources other than our current suppliers, particularly in the case of our European operations, we could face higher prices and transportation costs, increased duties or taxes, and shortages of steel. Problems in obtaining steel, and particularly 52100 chrome steel, in the quantities that we require and on commercially reasonable terms, could increase our costs, negatively impact our ability to operate our business efficiently and have a material adverse effect on the operating and financial results of our Company.</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operate in and sell products to customers outside the U.S. and are subject to several related risks.</w:t>
      </w:r>
    </w:p>
    <w:p>
      <w:pPr>
        <w:spacing w:after="0" w:line="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37" w:lineRule="exact"/>
        <w:rPr>
          <w:sz w:val="20"/>
          <w:szCs w:val="20"/>
          <w:color w:val="auto"/>
        </w:rPr>
      </w:pPr>
    </w:p>
    <w:p>
      <w:pPr>
        <w:ind w:left="760" w:hanging="306"/>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foreign currency fluctuations;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in trade, monetary and fiscal policies, laws and regulations, and other activities of governments, agencies and similar organizations;</w:t>
      </w:r>
    </w:p>
    <w:p>
      <w:pPr>
        <w:spacing w:after="0" w:line="126" w:lineRule="exact"/>
        <w:rPr>
          <w:rFonts w:ascii="Arial" w:cs="Arial" w:eastAsia="Arial" w:hAnsi="Arial"/>
          <w:sz w:val="16"/>
          <w:szCs w:val="16"/>
          <w:color w:val="auto"/>
        </w:rPr>
      </w:pPr>
    </w:p>
    <w:p>
      <w:pPr>
        <w:ind w:left="760" w:hanging="306"/>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imposition of trade restrictions or prohibitions;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 tax rates that discourage the repatriation of funds to the U.S.;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imposition of import or other duties or taxes; and</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unstable governments or legal systems in countries in which our suppliers, manufacturing operations, and customers are located.</w:t>
      </w:r>
    </w:p>
    <w:p>
      <w:pPr>
        <w:spacing w:after="0" w:line="1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do not have a hedging program in place to help limit the risk associated with consolidating the operating results of our foreign businesses into U.S. dollars. An increase in the value of the U.S. dollar and/or the Euro relative to other currencies may adversely affect our ability to compete with our foreign-based competitors for international, as well as domestic, sales. Also, a decline in the value of the Euro relative to the U.S. dollar will negatively impact our consolidated financial results, which are denominated in U.S. dollars.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due to the typical slower summer manufacturing season in Europe, we expect that revenues in the third fiscal quarter will reflect lower sales, as our sales to foreign customers have increased as a percentage of net sales.</w:t>
      </w:r>
    </w:p>
    <w:p>
      <w:pPr>
        <w:spacing w:after="0" w:line="118" w:lineRule="exact"/>
        <w:rPr>
          <w:sz w:val="20"/>
          <w:szCs w:val="20"/>
          <w:color w:val="auto"/>
        </w:rPr>
      </w:pPr>
    </w:p>
    <w:p>
      <w:pPr>
        <w:ind w:left="460" w:right="580"/>
        <w:spacing w:after="0" w:line="268" w:lineRule="auto"/>
        <w:rPr>
          <w:sz w:val="20"/>
          <w:szCs w:val="20"/>
          <w:color w:val="auto"/>
        </w:rPr>
      </w:pPr>
      <w:r>
        <w:rPr>
          <w:rFonts w:ascii="Arial" w:cs="Arial" w:eastAsia="Arial" w:hAnsi="Arial"/>
          <w:sz w:val="18"/>
          <w:szCs w:val="18"/>
          <w:b w:val="1"/>
          <w:bCs w:val="1"/>
          <w:i w:val="1"/>
          <w:iCs w:val="1"/>
          <w:color w:val="auto"/>
        </w:rPr>
        <w:t>We depend heavily on a relatively limited number of customers, and the loss of any major customer would have a material adverse effect on our business.</w:t>
      </w:r>
    </w:p>
    <w:p>
      <w:pPr>
        <w:spacing w:after="0" w:line="3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Sales to various U.S. and foreign divisions of SKF, which is one of the largest bearing manufacturers in the world, accounted for approximately 35% of consolidated net sales in 2001, and sales to INA/FAG accounted for approximately 19% of consolidated net sales in 2001. During 2001, our ten largest customers accounted for approximately 73% of our consolidated net sales. None of our other customers individually accounted for more than 5% of our consolidated net sales for 2001. The loss of all or a substantial portion of sales to these customers would cause us to lose a substantial portion of our revenue and would lower our profit margin and cash flows from operations.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costs and difficulties of integrating acquired business could impede our future growth.</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cannot assure you that any future acquisition will enhance our financial performance. Our ability to effectively integrate any future acquisitions will depend on, among other things, the adequacy of our implementation plans, the ability of our management to oversee and operate effectively the combined operations and our ability to achieve desired operating efficiencies and sales goals. The integration of any acquired businesses might cause us to incur unforeseen costs, which would lower our profit margin and future earnings and would prevent us from realizing the expected benefits of these acquisitions.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be able to continue to make the acquisitions necessary for us to realize our growth strategy.</w:t>
      </w:r>
    </w:p>
    <w:p>
      <w:pPr>
        <w:spacing w:after="0" w:line="7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Acquiring businesses that complement or expand our operations has been and continues to be an important element of our business strategy. This strategy calls for growth through acquisitions constituting approximately two-thirds of our future growth, with the remainder resulting from internal growth and market penetration. We bought our plastic bearing component business in 1999, formed Euroball with our two largest bearing customers, SKF and INA/FAG, in 2000 and acquired our bearing seal operations in 2001. We cannot assure you that we will be successful in identifying attractive acquisition candidates or completing acquisitions on favorable terms in the future. In addition, we may borrow funds to acquire other businesses, increasing our interest expense and debt levels. Our inability to acquire businesses, or to operate them profitably once acquired, could have a material adverse effect on our business, financial position, results of operations and cash flows.</w:t>
      </w:r>
    </w:p>
    <w:p>
      <w:pPr>
        <w:spacing w:after="0" w:line="10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Additionally, SKF, the minority shareholder in Euroball, has the right to require us to purchase its interest beginning in January 2003. The Company may need to borrow funds to pay for all or a portion of the purchase of SKF’s interest or may be required to make a purchase at a time that is less favorable to the Company.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Our growth strategy depends on outsourcing, and if the industry trend toward outsourcing does not continue, our business could be adversely affected.</w:t>
      </w:r>
    </w:p>
    <w:p>
      <w:pPr>
        <w:spacing w:after="0" w:line="111"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Our growth strategy depends in significant part on major bearing manufacturers continuing to outsource components, and expanding the number of components being outsourced. This requires manufacturers to depart significantly from their traditional methods of operations. If major bearing manufacturers do not continue to expand outsourcing efforts or determine to reduce their use of outsourcing, our ability to grow our business could be materially adversely affected.</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market is highly competitive and many of our competitors have significant advantages that could adversely affect our business.</w:t>
      </w:r>
    </w:p>
    <w:p>
      <w:pPr>
        <w:spacing w:after="0" w:line="10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global market for bearing components is highly competitive, with a majority of production represented by the captive production operations of certain large bearing manufacturers and the balance represented by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independent manufacturers. Captive manufacturers make components for internal use and for sale to third parties. All of the captive manufacturers, and many independent manufacturers, are significantly larger and have greater resources than do we.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pacing w:after="0" w:line="99" w:lineRule="exact"/>
        <w:rPr>
          <w:sz w:val="20"/>
          <w:szCs w:val="20"/>
          <w:color w:val="auto"/>
        </w:rPr>
      </w:pPr>
    </w:p>
    <w:p>
      <w:pPr>
        <w:ind w:left="460" w:right="640"/>
        <w:spacing w:after="0" w:line="268" w:lineRule="auto"/>
        <w:rPr>
          <w:sz w:val="20"/>
          <w:szCs w:val="20"/>
          <w:color w:val="auto"/>
        </w:rPr>
      </w:pPr>
      <w:r>
        <w:rPr>
          <w:rFonts w:ascii="Arial" w:cs="Arial" w:eastAsia="Arial" w:hAnsi="Arial"/>
          <w:sz w:val="18"/>
          <w:szCs w:val="18"/>
          <w:b w:val="1"/>
          <w:bCs w:val="1"/>
          <w:i w:val="1"/>
          <w:iCs w:val="1"/>
          <w:color w:val="auto"/>
        </w:rPr>
        <w:t>The production capacity we have added over the last several years has at times resulted in our having more capacity than we need, causing our operating costs to be higher than expected.</w:t>
      </w:r>
    </w:p>
    <w:p>
      <w:pPr>
        <w:spacing w:after="0" w:line="3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significantly expanded our ball and roller production facilities and capacity over the last several years. During 1997, we built an additional manufacturing plant in Kilkenny, Ireland, and we continued this expansion in 2000 through the formation of Euroball with SKF and INA/FAG. Our ball and roller facilities currently are not operating at full capacity and our results of operations for 2001 and the first and second quarters of 2002 were adversely affected by the under-utilization of our production facilities, and we face risks of further under-utilization or inefficient utilization of our production facilities in future years.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market price of our common stock could be subject to significant fluctuations after this offering, and may decline below the public offering price.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Among the factors that could affect our stock price are:</w:t>
      </w:r>
    </w:p>
    <w:p>
      <w:pPr>
        <w:spacing w:after="0" w:line="70" w:lineRule="exact"/>
        <w:rPr>
          <w:sz w:val="20"/>
          <w:szCs w:val="20"/>
          <w:color w:val="auto"/>
        </w:rPr>
      </w:pPr>
    </w:p>
    <w:p>
      <w:pPr>
        <w:ind w:left="760" w:hanging="306"/>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quarterly variations in the rate of growth of our financial indicators, such as earnings per share, net income and revenues;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revenue or earnings estimates or publication of research reports by analysts;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of any member of our senior management team;</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of our common stock by stockholders;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market conditions; and</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w:t>
      </w:r>
    </w:p>
    <w:p>
      <w:pPr>
        <w:spacing w:after="0" w:line="1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stock markets in general have experienced extreme volatility that has often been unrelated to the operating performance of particular companies. These broad market fluctuations may adversely affect the trading price of our common stock.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Provisions in our charter documents and Delaware law may inhibit a takeover, which could adversely affect the value of our common stock.</w:t>
      </w:r>
    </w:p>
    <w:p>
      <w:pPr>
        <w:spacing w:after="0" w:line="10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certificate of incorporation and bylaws, as well as Delaware corporate law, contain provisions that could delay or prevent a change of control or changes in our management that a stockholder might consider favorable and may prevent you from receiving a takeover premium for your shares. These provisions include, for example, a classified board of directors and the authorization of our board of directors to issue up to 5,000,000 preferred shares without a stockholder vote. In addition, our restated certificate of incorporation provides that stockholders may not call a special meeting.</w:t>
      </w:r>
    </w:p>
    <w:p>
      <w:pPr>
        <w:spacing w:after="0" w:line="99"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are a Delaware corporation subject to the provisions of Section 203 of the Delaware General Corporation Law, an anti-takeover law. Generally, this statute prohibits a publicly-held Delaware corporation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10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164" w:lineRule="exact"/>
        <w:rPr>
          <w:sz w:val="20"/>
          <w:szCs w:val="20"/>
          <w:color w:val="auto"/>
        </w:rPr>
      </w:pPr>
    </w:p>
    <w:p>
      <w:pPr>
        <w:ind w:right="20" w:firstLine="464"/>
        <w:spacing w:after="0" w:line="290" w:lineRule="auto"/>
        <w:tabs>
          <w:tab w:leader="none" w:pos="754"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manufactures and supplies high precision bearing components, consisting of balls, rollers, seals and retainers, for leading bearing manufacturers on a global basis. We are the leading independent manufacturer of precision steel bearing balls for the North American and European markets. In 1998, we began implementing a strategic plan designed to position us as a worldwide supplier of a broad line of bearing components. Through a series of acquisitions executed as part of that plan, we have built on our strong core ball business and greatly expanded our bearing component product offering. Today, we offer the industry’s most complete line of bearing components. We emphasize engineered products that take advantage of our competencies in product design and high tolerance manufacturing processes. Our bearing customers use our components in fully assembled ball and roller bearings, which serve a wide variety of industrial applications in the transportation, electrical, agricultural, construction, machinery, mining and aerospace markets.</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bearing component products presently account for approximately 90% of our consolidated revenue and sales of high precision plastic products account for the balance. We estimate that the size of the global market for balls, rollers, seals and plastic retainers is $3.5 billion. Captive component production of bearing manufacturers accounts for approximately 65% of this market, while independent manufacturers currently serve approximately 35% of the market. We believe that we are a leader in the independent manufacturers segment of the market with a 14% market share. We also believe that the percentage of the market served by independent manufacturers is growing due to the ongoing component outsourcing trend among our major customers. Outsourcing components enables our global bearing customers to focus on their core competencies in the design and engineering of finished bearing technologies. In addition, it provides them with significant financial advantages, including lower long-term component costs and improved returns on invested capital.</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intend to continue to capitalize on this growing trend of outsourcing within our global bearing customer base. Recent successes include joining with our two largest bearing customers, SKF and INA/FAG, to create our majority-owned subsidiary, Euroball. In forming Euroball, we contributed our Ireland ball manufacturing facility, while SKF and INA/FAG contributed their captive ball manufacturing facilities in Italy and Germany. On December 20, 2002, we purchased all of INA/FAG’s interest in Euroball, increasing our holdings in Euroball to 77 percent. This transaction is described in the Section entitled “Recent Developments” beginning on page 1. Both SKF and INA/FAG independently entered into long-term supply agreements designating Euroball as their primary supplier of ball products in Europe. Through Euroball, we are Europe’s leading provider of precision balls.</w:t>
      </w:r>
    </w:p>
    <w:p>
      <w:pPr>
        <w:spacing w:after="0" w:line="10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operate eight North American and European manufacturing facilities. Our two U. S. ball and roller production facilities are located in Tennessee and our Euroball subsidiary operates three manufacturing facilities located in Ireland, Germany and Italy. Our seal, retainer and other plastic products are manufactured in three facilities located in Connecticut, Texas and Mexico.</w:t>
      </w:r>
    </w:p>
    <w:p>
      <w:pPr>
        <w:spacing w:after="0" w:line="12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Our principal executive offices are located at 2000 Waters Edge Drive, Johnson City, Tennessee 37604 and our telephone number is (423) 743-9151. Our Internet website address is </w:t>
      </w:r>
      <w:r>
        <w:rPr>
          <w:rFonts w:ascii="Arial" w:cs="Arial" w:eastAsia="Arial" w:hAnsi="Arial"/>
          <w:sz w:val="18"/>
          <w:szCs w:val="18"/>
          <w:i w:val="1"/>
          <w:iCs w:val="1"/>
          <w:color w:val="auto"/>
        </w:rPr>
        <w:t>www.nnbr.com</w:t>
      </w:r>
      <w:r>
        <w:rPr>
          <w:rFonts w:ascii="Arial" w:cs="Arial" w:eastAsia="Arial" w:hAnsi="Arial"/>
          <w:sz w:val="18"/>
          <w:szCs w:val="18"/>
          <w:color w:val="auto"/>
        </w:rPr>
        <w:t>. Information contained on our website is not part of this prospectus.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64"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This prospectus includes and incorporates by reference “forward-looking statements” as that term is defined in the Private Securities Litigation Reform Act of 1995. These forward-looking statements are based on our current expectations, estimates and projections about the industry and markets in which we operate. Words such as “expects,” “anticipates,” “intends,” “plans,” “believes,” “seeks,” “estimates” and variations of such words and similar expressions are intended to identify such forward-looking statements. These statements are not guarantees of future performance and involve risks, uncertainties and assumptions, which are difficult to predict and many of which are beyond our control, including those described in “Risk Factors” on pages 2 through 5 of this prospectus. Therefore, actual outcomes and results may differ materially from what is expressed, forecasted or implied in such forward-looking statements. We undertake no obligation to publicly update any forward-looking statements, whether as a result of new information, future events or otherwise, expect as required by applicable law.</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Unless otherwise indicated in a prospectus supplement, we intend to use the net cash proceeds from this offering to repay a portion of the borrowings outstanding under the term loan portion of our existing credit facilities as required under those arrangements. The term loan under our credit facility expires on July 1, 2006 and bears interest at a floating rate equal to LIBOR (1.38% at December 31, 2002) plus an applicable margin of 0.75% to 2.00% based upon calculated financial ratios. Additionally, we may receive certain non-cash manufacturing assets in connection with the potential asset acquisition from SKF in Veenendaal, The Netherlands (as described in “Recent Developments beginning on page 1) as proceeds from this offering, which we intend to use in our business operations.</w:t>
      </w:r>
    </w:p>
    <w:p>
      <w:pPr>
        <w:spacing w:after="0" w:line="13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To the extent that the net cash proceeds of any offering pursuant to this prospectus are not used to repay indebtedness under our credit facilities, we anticipate that the proceeds will be used for general operational purposes, which may include, but are not limited to, working capital, capital expenditures and future acquisitions. In addition, the minority shareholder in Euroball, SKF, has the right to require us to purchase its interest beginning January 2003 based on a formula price. The purchase price would be determined at the time SKF exercises such right based on multiples of the annualized average monthly income and average monthly EBITDA of Euroball, reduced by its short and long term borrowings. Under this formula, which is set forth in detail in the Euroball Shareholder Agreement, the purchase price increases as Euroball’s annualized average monthly income and average monthly EBITDA increase and decreases as its short and long term borrowings increase. If SKF were to exercise that right, we may use a portion of the shares in this offering to raise funds to purchase the interest or we may issue shares of common stock directly as all or a portion of the payment.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of the proceeds from sales of common stock by the selling stockholders.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64"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following table sets forth certain information regarding the beneficial ownership of our common stock as of December 31, 2002, and as by the stockholders who are selling shares of common stock in this offering, and as adjusted to reflect the sale of shares offered in this prospectus. Unless otherwise noted, to our knowledge each selling stockholder has sole voting and investment power over the shares shown.</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852"/>
              <w:spacing w:after="0"/>
              <w:rPr>
                <w:sz w:val="20"/>
                <w:szCs w:val="20"/>
                <w:color w:val="auto"/>
              </w:rPr>
            </w:pPr>
            <w:r>
              <w:rPr>
                <w:rFonts w:ascii="Arial" w:cs="Arial" w:eastAsia="Arial" w:hAnsi="Arial"/>
                <w:sz w:val="14"/>
                <w:szCs w:val="14"/>
                <w:b w:val="1"/>
                <w:bCs w:val="1"/>
                <w:color w:val="auto"/>
                <w:w w:val="81"/>
              </w:rPr>
              <w:t>Shares</w:t>
            </w: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3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Shares Beneficially Owned</w:t>
            </w: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3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Prior to Offering</w:t>
            </w: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3"/>
          </w:tcPr>
          <w:p>
            <w:pPr>
              <w:jc w:val="center"/>
              <w:ind w:left="500"/>
              <w:spacing w:after="0"/>
              <w:rPr>
                <w:sz w:val="20"/>
                <w:szCs w:val="20"/>
                <w:color w:val="auto"/>
              </w:rPr>
            </w:pPr>
            <w:r>
              <w:rPr>
                <w:rFonts w:ascii="Arial" w:cs="Arial" w:eastAsia="Arial" w:hAnsi="Arial"/>
                <w:sz w:val="14"/>
                <w:szCs w:val="14"/>
                <w:b w:val="1"/>
                <w:bCs w:val="1"/>
                <w:color w:val="auto"/>
                <w:w w:val="92"/>
              </w:rPr>
              <w:t>After Offering</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Shares Being</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5"/>
                <w:szCs w:val="15"/>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b w:val="1"/>
                <w:bCs w:val="1"/>
                <w:color w:val="auto"/>
                <w:w w:val="99"/>
              </w:rPr>
              <w:t>Percent (%)(1)</w:t>
            </w:r>
          </w:p>
        </w:tc>
        <w:tc>
          <w:tcPr>
            <w:tcW w:w="320" w:type="dxa"/>
            <w:vAlign w:val="bottom"/>
          </w:tcPr>
          <w:p>
            <w:pPr>
              <w:spacing w:after="0"/>
              <w:rPr>
                <w:sz w:val="15"/>
                <w:szCs w:val="15"/>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Offered</w:t>
            </w:r>
          </w:p>
        </w:tc>
        <w:tc>
          <w:tcPr>
            <w:tcW w:w="1420" w:type="dxa"/>
            <w:vAlign w:val="bottom"/>
            <w:gridSpan w:val="3"/>
          </w:tcPr>
          <w:p>
            <w:pPr>
              <w:ind w:left="260"/>
              <w:spacing w:after="0"/>
              <w:rPr>
                <w:sz w:val="20"/>
                <w:szCs w:val="20"/>
                <w:color w:val="auto"/>
              </w:rPr>
            </w:pPr>
            <w:r>
              <w:rPr>
                <w:rFonts w:ascii="Arial" w:cs="Arial" w:eastAsia="Arial" w:hAnsi="Arial"/>
                <w:sz w:val="14"/>
                <w:szCs w:val="14"/>
                <w:b w:val="1"/>
                <w:bCs w:val="1"/>
                <w:color w:val="auto"/>
              </w:rPr>
              <w:t>Number</w:t>
            </w:r>
          </w:p>
        </w:tc>
        <w:tc>
          <w:tcPr>
            <w:tcW w:w="560" w:type="dxa"/>
            <w:vAlign w:val="bottom"/>
          </w:tcPr>
          <w:p>
            <w:pPr>
              <w:jc w:val="right"/>
              <w:ind w:right="58"/>
              <w:spacing w:after="0"/>
              <w:rPr>
                <w:sz w:val="20"/>
                <w:szCs w:val="20"/>
                <w:color w:val="auto"/>
              </w:rPr>
            </w:pPr>
            <w:r>
              <w:rPr>
                <w:rFonts w:ascii="Arial" w:cs="Arial" w:eastAsia="Arial" w:hAnsi="Arial"/>
                <w:sz w:val="14"/>
                <w:szCs w:val="14"/>
                <w:b w:val="1"/>
                <w:bCs w:val="1"/>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Richard D. Ennen (2)</w:t>
            </w:r>
          </w:p>
        </w:tc>
        <w:tc>
          <w:tcPr>
            <w:tcW w:w="2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2,844,668(3)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2,844,668</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Michael D. Huff (4)</w:t>
            </w:r>
          </w:p>
        </w:tc>
        <w:tc>
          <w:tcPr>
            <w:tcW w:w="2720" w:type="dxa"/>
            <w:vAlign w:val="bottom"/>
            <w:gridSpan w:val="3"/>
          </w:tcPr>
          <w:p>
            <w:pPr>
              <w:jc w:val="right"/>
              <w:ind w:right="20"/>
              <w:spacing w:after="0"/>
              <w:rPr>
                <w:sz w:val="20"/>
                <w:szCs w:val="20"/>
                <w:color w:val="auto"/>
              </w:rPr>
            </w:pPr>
            <w:r>
              <w:rPr>
                <w:rFonts w:ascii="Arial" w:cs="Arial" w:eastAsia="Arial" w:hAnsi="Arial"/>
                <w:sz w:val="18"/>
                <w:szCs w:val="18"/>
                <w:color w:val="auto"/>
              </w:rPr>
              <w:t>662,227(5)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662,227</w:t>
            </w:r>
          </w:p>
        </w:tc>
        <w:tc>
          <w:tcPr>
            <w:tcW w:w="3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Janet M. Huff</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Monica C. Ennen</w:t>
            </w:r>
          </w:p>
        </w:tc>
        <w:tc>
          <w:tcPr>
            <w:tcW w:w="2720" w:type="dxa"/>
            <w:vAlign w:val="bottom"/>
            <w:gridSpan w:val="3"/>
          </w:tcPr>
          <w:p>
            <w:pPr>
              <w:jc w:val="right"/>
              <w:ind w:right="20"/>
              <w:spacing w:after="0"/>
              <w:rPr>
                <w:sz w:val="20"/>
                <w:szCs w:val="20"/>
                <w:color w:val="auto"/>
              </w:rPr>
            </w:pPr>
            <w:r>
              <w:rPr>
                <w:rFonts w:ascii="Arial" w:cs="Arial" w:eastAsia="Arial" w:hAnsi="Arial"/>
                <w:sz w:val="18"/>
                <w:szCs w:val="18"/>
                <w:color w:val="auto"/>
              </w:rPr>
              <w:t>129,900(6)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129,900</w:t>
            </w:r>
          </w:p>
        </w:tc>
        <w:tc>
          <w:tcPr>
            <w:tcW w:w="3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Deborah E. Bagierek</w:t>
            </w:r>
          </w:p>
        </w:tc>
        <w:tc>
          <w:tcPr>
            <w:tcW w:w="2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96,869(7)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96,869</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21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are less than one percent.</w:t>
      </w:r>
    </w:p>
    <w:p>
      <w:pPr>
        <w:spacing w:after="0" w:line="15" w:lineRule="exact"/>
        <w:rPr>
          <w:sz w:val="20"/>
          <w:szCs w:val="20"/>
          <w:color w:val="auto"/>
        </w:rPr>
      </w:pPr>
    </w:p>
    <w:p>
      <w:pPr>
        <w:ind w:left="46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15,369,807 shares of NN’s common stock outstanding on December 31, 2002. The percentage of shares owned after the offering assumes that NN sells 3,830,000 shares pursuant to this prospectus.</w:t>
      </w:r>
    </w:p>
    <w:p>
      <w:pPr>
        <w:ind w:left="460" w:right="28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Ennen currently sits on the Company’s Board of Directors and has since the Company’s formation in 1980. He was Chairman of the Board from the formation of the Company until September of 2001.</w:t>
      </w:r>
    </w:p>
    <w:p>
      <w:pPr>
        <w:ind w:left="460" w:right="20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1,800,000 shares held by the Richard D. Ennen Charitable Remainder Unitrust of which Mr. Ennen is the trustee and 200,000 shares held by the Ennen Charitable Trust of which Mr. Ennen is the trustee. Mr. Ennen disclaims beneficial ownership to the shares held by his former spouse, Monica Ennen, and his daughter, Deborah E. Bagierek.</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Huff currently sits on the Company’s Board of Directors and has since the Company’s formation in 1980.</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(i) 23,000 shares subject to presently exercisable options, and (ii) 225,000 shares held directly by Mr. Huff’s spouse, for which Mr. Huff disclaims beneficial ownership.</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of Ms. Ennen’s shares are held by the Monica Conway Ennen Trust, of which Ms. Ennen is a trustee.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of Ms. Bagierek’s shares are held by the Deborah Ennen Bagierek Trust, of which Ms. Bagierek is a trustee.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Offering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offer and sell the shares being offered by this prospectus and any accompanying prospectus supplement:</w:t>
      </w:r>
    </w:p>
    <w:p>
      <w:pPr>
        <w:spacing w:after="0" w:line="77" w:lineRule="exact"/>
        <w:rPr>
          <w:sz w:val="20"/>
          <w:szCs w:val="20"/>
          <w:color w:val="auto"/>
        </w:rPr>
      </w:pPr>
    </w:p>
    <w:p>
      <w:pPr>
        <w:ind w:left="760" w:hanging="306"/>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one or more underwriters or dealers;</w:t>
      </w:r>
    </w:p>
    <w:p>
      <w:pPr>
        <w:spacing w:after="0" w:line="103" w:lineRule="exact"/>
        <w:rPr>
          <w:rFonts w:ascii="Arial" w:cs="Arial" w:eastAsia="Arial" w:hAnsi="Arial"/>
          <w:sz w:val="18"/>
          <w:szCs w:val="18"/>
          <w:color w:val="auto"/>
        </w:rPr>
      </w:pPr>
    </w:p>
    <w:p>
      <w:pPr>
        <w:ind w:left="760" w:right="340" w:hanging="306"/>
        <w:spacing w:after="0" w:line="268"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a block trade in which the broker or dealer engaged to handle the block trade will attempt to sell the shares as agent, but may position and resell a portion of the block as principal to facilitate the transaction;</w:t>
      </w:r>
    </w:p>
    <w:p>
      <w:pPr>
        <w:spacing w:after="0" w:line="37" w:lineRule="exact"/>
        <w:rPr>
          <w:rFonts w:ascii="Arial" w:cs="Arial" w:eastAsia="Arial" w:hAnsi="Arial"/>
          <w:sz w:val="18"/>
          <w:szCs w:val="18"/>
          <w:color w:val="auto"/>
        </w:rPr>
      </w:pPr>
    </w:p>
    <w:p>
      <w:pPr>
        <w:ind w:left="760" w:hanging="306"/>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Directly to one or more purchasers in exchange for cash or other assets; or</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85" w:lineRule="exact"/>
        <w:rPr>
          <w:sz w:val="20"/>
          <w:szCs w:val="20"/>
          <w:color w:val="auto"/>
        </w:rPr>
      </w:pPr>
    </w:p>
    <w:p>
      <w:pPr>
        <w:ind w:right="1740"/>
        <w:spacing w:after="0" w:line="375" w:lineRule="auto"/>
        <w:rPr>
          <w:sz w:val="20"/>
          <w:szCs w:val="20"/>
          <w:color w:val="auto"/>
        </w:rPr>
      </w:pPr>
      <w:r>
        <w:rPr>
          <w:rFonts w:ascii="Arial" w:cs="Arial" w:eastAsia="Arial" w:hAnsi="Arial"/>
          <w:sz w:val="18"/>
          <w:szCs w:val="18"/>
          <w:color w:val="auto"/>
        </w:rPr>
        <w:t xml:space="preserve">To the extent required, this prospectus may be amended and/or supplemented from time to time to describe a specific plan of distribution. </w:t>
      </w:r>
      <w:r>
        <w:rPr>
          <w:rFonts w:ascii="Arial" w:cs="Arial" w:eastAsia="Arial" w:hAnsi="Arial"/>
          <w:sz w:val="18"/>
          <w:szCs w:val="18"/>
          <w:b w:val="1"/>
          <w:bCs w:val="1"/>
          <w:color w:val="auto"/>
        </w:rPr>
        <w:t>Selling Stockholders Offering</w:t>
      </w:r>
    </w:p>
    <w:p>
      <w:pPr>
        <w:spacing w:after="0" w:line="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selling stockholders, separately or together, may offer and sell their portion of the shares being offered by this prospectus and any accompanying prospectus supplement only on the following terms and conditions:</w:t>
      </w:r>
    </w:p>
    <w:p>
      <w:pPr>
        <w:spacing w:after="0" w:line="37" w:lineRule="exact"/>
        <w:rPr>
          <w:sz w:val="20"/>
          <w:szCs w:val="20"/>
          <w:color w:val="auto"/>
        </w:rPr>
      </w:pPr>
    </w:p>
    <w:p>
      <w:pPr>
        <w:ind w:left="1080" w:hanging="177"/>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shares may be offered or sold by any selling stockholder prior to March 31, 2003 unless the Company agrees otherwise.</w:t>
      </w:r>
    </w:p>
    <w:p>
      <w:pPr>
        <w:spacing w:after="0" w:line="76" w:lineRule="exact"/>
        <w:rPr>
          <w:rFonts w:ascii="Arial" w:cs="Arial" w:eastAsia="Arial" w:hAnsi="Arial"/>
          <w:sz w:val="18"/>
          <w:szCs w:val="18"/>
          <w:color w:val="auto"/>
        </w:rPr>
      </w:pPr>
    </w:p>
    <w:p>
      <w:pPr>
        <w:ind w:left="460" w:right="20" w:firstLine="443"/>
        <w:spacing w:after="0" w:line="268" w:lineRule="auto"/>
        <w:tabs>
          <w:tab w:leader="none" w:pos="107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shares offered or sold by any selling stockholder prior to December 31, 2003 must be offered or sold through McDonald Investments Inc. and Legg Mason Wood Walker Incorporated together or with one or more underwriters or dealers.</w:t>
      </w:r>
    </w:p>
    <w:p>
      <w:pPr>
        <w:spacing w:after="0" w:line="37" w:lineRule="exact"/>
        <w:rPr>
          <w:rFonts w:ascii="Arial" w:cs="Arial" w:eastAsia="Arial" w:hAnsi="Arial"/>
          <w:sz w:val="18"/>
          <w:szCs w:val="18"/>
          <w:color w:val="auto"/>
        </w:rPr>
      </w:pPr>
    </w:p>
    <w:p>
      <w:pPr>
        <w:ind w:left="1080" w:hanging="177"/>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sale by any selling stockholder must include a minimum of 500,000 shares in aggregate unless the Company agrees otherwise.</w:t>
      </w:r>
    </w:p>
    <w:p>
      <w:pPr>
        <w:spacing w:after="0" w:line="99" w:lineRule="exact"/>
        <w:rPr>
          <w:rFonts w:ascii="Arial" w:cs="Arial" w:eastAsia="Arial" w:hAnsi="Arial"/>
          <w:sz w:val="16"/>
          <w:szCs w:val="16"/>
          <w:color w:val="auto"/>
        </w:rPr>
      </w:pPr>
    </w:p>
    <w:p>
      <w:pPr>
        <w:ind w:left="1080" w:hanging="177"/>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must receive at least five business days prior written notice of any proposed sale by any selling stockholder.</w:t>
      </w:r>
    </w:p>
    <w:p>
      <w:pPr>
        <w:spacing w:after="0" w:line="76" w:lineRule="exact"/>
        <w:rPr>
          <w:rFonts w:ascii="Arial" w:cs="Arial" w:eastAsia="Arial" w:hAnsi="Arial"/>
          <w:sz w:val="18"/>
          <w:szCs w:val="18"/>
          <w:color w:val="auto"/>
        </w:rPr>
      </w:pPr>
    </w:p>
    <w:p>
      <w:pPr>
        <w:ind w:left="1080" w:hanging="177"/>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may delay any sale by any selling stockholder for up to 90 days by written notice to the selling stockholder.</w:t>
      </w:r>
    </w:p>
    <w:p>
      <w:pPr>
        <w:spacing w:after="0" w:line="76" w:lineRule="exact"/>
        <w:rPr>
          <w:rFonts w:ascii="Arial" w:cs="Arial" w:eastAsia="Arial" w:hAnsi="Arial"/>
          <w:sz w:val="18"/>
          <w:szCs w:val="18"/>
          <w:color w:val="auto"/>
        </w:rPr>
      </w:pPr>
    </w:p>
    <w:p>
      <w:pPr>
        <w:ind w:left="460" w:firstLine="443"/>
        <w:spacing w:after="0" w:line="268" w:lineRule="auto"/>
        <w:tabs>
          <w:tab w:leader="none" w:pos="1074"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event the Company and any selling stockholder participates together in an offering under this prospectus, the Company will have the right to choose to sell shares from its portion of this offering in priority to sales by the selling stockholders.</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selling stockholders and any underwriters, dealers or agents that the selling stockholders use to sell their shares may be deemed to be “underwriters” within the meaning of the Securities Act of 1933, as amended, and any discount, commission or concession received by them and any profit on the resale of shares as principal may be deemed to be underwriting discounts or commissions under the Securities Act. Because the selling stockholders may be deemed to be underwriters, the selling stockholders may be subject to the prospectus delivery requirements of the Securities Act.</w:t>
      </w:r>
    </w:p>
    <w:p>
      <w:pPr>
        <w:spacing w:after="0" w:line="99"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selling stockholders may also transfer the common stock held by them by gift or other non-sale related transfer, in which case the donees, transferees or other successors-in-interest will be deemed to be selling stockholders. The number of shares offered by a particular selling stockholder under this prospectus will decrease as and when it takes any of the above actions, although the aggregate number of shares offered by the selling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stockholders will remain unchanged. The plan of distribution for that selling stockholder’s shares will otherwise remain unchanged. In addition, any offered shares by the selling stockholders covered by this prospectus that qualify for sale pursuant to Rule 144 may be sold under Rule 144 under the Securities Act rather than pursuant to this prospectus.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Matters</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have agreed to pay the majority of the costs and expenses incurred in connection with the registration under the Securities Act of the offered shares, including:</w:t>
      </w:r>
    </w:p>
    <w:p>
      <w:pPr>
        <w:spacing w:after="0" w:line="37" w:lineRule="exact"/>
        <w:rPr>
          <w:sz w:val="20"/>
          <w:szCs w:val="20"/>
          <w:color w:val="auto"/>
        </w:rPr>
      </w:pPr>
    </w:p>
    <w:p>
      <w:pPr>
        <w:ind w:left="760" w:hanging="306"/>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registration and filing fees related to the company’s portion of the offering;</w:t>
      </w:r>
    </w:p>
    <w:p>
      <w:pPr>
        <w:spacing w:after="0" w:line="103" w:lineRule="exact"/>
        <w:rPr>
          <w:rFonts w:ascii="Arial" w:cs="Arial" w:eastAsia="Arial" w:hAnsi="Arial"/>
          <w:sz w:val="18"/>
          <w:szCs w:val="18"/>
          <w:color w:val="auto"/>
        </w:rPr>
      </w:pPr>
    </w:p>
    <w:p>
      <w:pPr>
        <w:ind w:left="760" w:right="200" w:hanging="306"/>
        <w:spacing w:after="0" w:line="268"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Printing fees and expenses related to the company’s portion of the offering or to an offering including both Company shares and shares owned by the selling stockholders; and</w:t>
      </w:r>
    </w:p>
    <w:p>
      <w:pPr>
        <w:spacing w:after="0" w:line="37" w:lineRule="exact"/>
        <w:rPr>
          <w:rFonts w:ascii="Arial" w:cs="Arial" w:eastAsia="Arial" w:hAnsi="Arial"/>
          <w:sz w:val="18"/>
          <w:szCs w:val="18"/>
          <w:color w:val="auto"/>
        </w:rPr>
      </w:pPr>
    </w:p>
    <w:p>
      <w:pPr>
        <w:ind w:left="760" w:hanging="306"/>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Fees and disbursements of counsel, accountants and underwriters for us.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selling stockholders will pay:</w:t>
      </w:r>
    </w:p>
    <w:p>
      <w:pPr>
        <w:spacing w:after="0" w:line="77" w:lineRule="exact"/>
        <w:rPr>
          <w:sz w:val="20"/>
          <w:szCs w:val="20"/>
          <w:color w:val="auto"/>
        </w:rPr>
      </w:pPr>
    </w:p>
    <w:p>
      <w:pPr>
        <w:ind w:left="760" w:hanging="306"/>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registration and filing fees related to their portion of an offering;</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Printing fees and expenses related to any offering exclusively of their shares;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underwriting discounts and commissions with respect to the shares of common stock they sell hereunder;</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Fees and disbursements of any counsel retained by the selling stockholders; and</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Transfer taxes, if any.</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distribution of the common stock may be effected from time to time in one or more transactions:</w:t>
      </w:r>
    </w:p>
    <w:p>
      <w:pPr>
        <w:spacing w:after="0" w:line="77" w:lineRule="exact"/>
        <w:rPr>
          <w:sz w:val="20"/>
          <w:szCs w:val="20"/>
          <w:color w:val="auto"/>
        </w:rPr>
      </w:pPr>
    </w:p>
    <w:p>
      <w:pPr>
        <w:ind w:left="760" w:hanging="306"/>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prices related to the market prices prevailing at the time of sale; or</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85"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Offers to purchase the common stock may be solicited by agents designated by us from time to time. Any agent involved in the offer or sale of the common stock will be named, and any commissions payable by us to the agent will be described, in the applicable prospectus supplement. Any agent may be deemed to be an underwriter, as such term is defined in the Securities Act of 1933, of the common stock so offered and sold.</w:t>
      </w:r>
    </w:p>
    <w:p>
      <w:pPr>
        <w:spacing w:after="0" w:line="9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If we and/or any selling stockholders offer and sell common stock through an underwriter or underwriters, we and/or the selling stockholders will execute an underwriting agreement with the underwriter or underwriters at the time the common stock is sold to them. The names of the specific managing underwriter or underwriters, as well as any other underwriters, and the terms of the transactions, including compensation of the underwriters and dealers, which may be in the form of discounts, concessions or commissions, if any, will be described in the applicable prospectus supplement, which will be used by the underwriters to make resales of the common stock. That prospectus supplement and this prospectus will be used by the underwriters to make resales of the common stock. If underwriters are used in the sale of any common stock in connection with this prospectus, the common stock will be acquired by the underwriters for their own account and may be resold from time to time in one or more transactions, including negotiated transactions, at fixed public offering prices or at varying prices determined by the underwriters and us at the time of sale. Common stock may be offered to the public either through underwriting syndicates represented by managing underwriters or directly by one or more underwriters. If any underwriter or underwriters are used in the sale of common stock, unless otherwise indicated in a related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prospectus supplement, the underwriting agreement will provide that the obligations of the underwriters are subject to some conditions precedent and that with respect to a sale of the common stock the underwriters will be obligated to purchase all such common stock if any are purchased.</w:t>
      </w:r>
    </w:p>
    <w:p>
      <w:pPr>
        <w:spacing w:after="0" w:line="7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If any underwriters are involved in the offer and sale, they will be permitted to engage in transactions that maintain or otherwise affect the price of the common stock. These transactions may include over-allotment transactions, purchases to cover short positions created by the underwriter in connection with the offering and the imposition of penalty bids. If an underwriter creates a short position in the common stock in connection with the offering, i.e., if it sells more common stock than set forth on the cover page of the applicable prospectus supplement, the underwriter may reduce that short position by purchasing the common stock in the open market. In general, purchases of common stock to reduce a short position could cause the price of the common stock to be higher than it might be in the absence of such purchases. As noted above, underwriters may also choose to impose penalty bids on other underwriters and/or selling group members. This means that if underwriters purchase common stock on the open market to reduce their short position or to stabilize the price of the common stock, they may reclaim the amount of the selling concession from those underwriters and/or selling group members who sold such common stock as part of the offering.</w:t>
      </w:r>
    </w:p>
    <w:p>
      <w:pPr>
        <w:spacing w:after="0" w:line="10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Neither we nor any underwriter make any representation or prediction as to the direction or magnitude of any effect that the transactions described above may have on the price of the common stock. In addition, neither we nor any underwriter make any representation that such underwriter will engage in such transactions or that such transactions, once commenced, will not be discontinued without notice.</w:t>
      </w:r>
    </w:p>
    <w:p>
      <w:pPr>
        <w:spacing w:after="0" w:line="9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If we and/or the selling stockholders offer and sell common stock through a dealer, we, the selling stockholders or an underwriter will sell the common stock to the dealer, as principal. The dealer may then resell the common stock to the public at varying prices to be determined by the dealer at the time of resale. Any such dealer may be deemed to be an underwriter, as such term is defined in the Securities Act of 1933, of the common stock so offered and sold. The name of the dealer and the terms of the transactions will be set forth in the applicable prospectus supplement.</w:t>
      </w:r>
    </w:p>
    <w:p>
      <w:pPr>
        <w:spacing w:after="0" w:line="99"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and/or the selling stockholders may solicit offers to purchase the common stock directly and we and/or the selling stockholders may sell the common stock directly to institutional or other investors, who may be deemed an underwriter within the meaning of the Securities Act of 1933 with respect to any resales of the common stock. The terms of these sales will be described in the applicable prospectus supplement.</w:t>
      </w:r>
    </w:p>
    <w:p>
      <w:pPr>
        <w:spacing w:after="0" w:line="12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and/or the selling stockholders may enter into agreements with agents, underwriters and dealers under which we and/or the selling stockholders may agree to indemnify the agents, underwriters and dealers against certain liabilities, including liabilities under the Securities Act of 1933, or to contribute to payments they may be required to make with respect to these liabilities. The terms and conditions of this indemnification or contribution will be described in the applicable prospectus supplement. Some of the agents, underwriters or dealers, or their affiliates may be customers of, engage in transactions with or perform services for us and/or the selling stockholders in the ordinary course of business.</w:t>
      </w:r>
    </w:p>
    <w:p>
      <w:pPr>
        <w:spacing w:after="0" w:line="10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and/or the selling stockholders may authorize our respective agents, dealers or underwriters to solicit offers to purchase common stock at the public offering price under delayed delivery contracts. The terms of these delayed delivery contracts, including when payment for and delivery of the common stock sold will be made under the contracts and any conditions to each party’s performance set forth in the contracts, will be described in the applicable prospectus supplement. The compensation received by underwriters or agents soliciting purchases of common stock under delayed delivery contracts will also be described in the applicable prospectus supplement.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validity of the common stock offered hereby will be passed upon for us by Blackwell Sanders Peper Martin LLP, Two Pershing Square, 2300 Main Street, Suite 1000, Kansas City, Missouri 64108.</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consolidated financial statements as of December 31, 2001 and 2000, and for each of the years in the two-year period ended December 31, 2001, have been incorporated by reference in this prospectus and the registration statement on Form S-3 in reliance upon the report of KPMG LLP, independent accountants incorporated by reference herein, and upon the authority of said firm as experts in accounting and auditing. The audit report covering the December 31, 2001 financial statements refers to a change in the Company’s method of accounting for derivative instruments and hedging activities.</w:t>
      </w:r>
    </w:p>
    <w:p>
      <w:pPr>
        <w:spacing w:after="0" w:line="99" w:lineRule="exact"/>
        <w:rPr>
          <w:sz w:val="20"/>
          <w:szCs w:val="20"/>
          <w:color w:val="auto"/>
        </w:rPr>
      </w:pPr>
    </w:p>
    <w:p>
      <w:pPr>
        <w:ind w:right="540" w:firstLine="456"/>
        <w:spacing w:after="0" w:line="306" w:lineRule="auto"/>
        <w:rPr>
          <w:sz w:val="20"/>
          <w:szCs w:val="20"/>
          <w:color w:val="auto"/>
        </w:rPr>
      </w:pPr>
      <w:r>
        <w:rPr>
          <w:rFonts w:ascii="Arial" w:cs="Arial" w:eastAsia="Arial" w:hAnsi="Arial"/>
          <w:sz w:val="16"/>
          <w:szCs w:val="16"/>
          <w:color w:val="auto"/>
        </w:rPr>
        <w:t>Our consolidated financial statements as of December 31, 1999 and for the year then ended have been incorporated in this registration statement by reference to the Annual Report on Form 10-K for the year ended December 31, 2001, and have been so incorporated in reliance on the report of PricewaterhouseCoopers LLP, independent accountants, given on the authority of said firm as experts in auditing and accounting.</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file annual, quarterly and special reports, proxy statements and other information with the SEC. You may read and copy any of these materials at the SEC’s Public Reference Room, 450 Fifth Street, N.W., Washington, D.C. 20549. You may obtain information on the operation of the Public Reference Room by calling the SEC at 1-800-SEC-0330. Our SEC filings, including the registration statement, will also be available to you on the SEC’s website. The address of this website is http://www.sec.gov.</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filed a registration statement on Form S-3 with the SEC to register shares of our common stock. This prospectus is part of that registration statement and, as permitted by the SEC’s rules, does not contain all of the information included in the registration statement. For further information about us and this offering, you may refer to the registration statement and its exhibits. You can review and copy the registration statement and its exhibits at the public reference rooms maintained by the SEC or on the SEC’s website described above.</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prospectus may contain summaries of contracts or other documents. Because they are summaries, they will not contain all of the information that may be important to you. If you would like complete information about a contract or other document, you should read the copy filed as an exhibit to the registration statement.</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6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to those documents. The information we incorporate by reference is considered to be a part of this prospectus, and information that we file with the SEC at a later date will automatically update or supersede this information. We incorporate by reference the following documents as well as any future filing we will make with the SEC under Sections 13(a), 13(c), 14 or 15(d) of the Securities Exchange Act of 1934:</w:t>
      </w:r>
    </w:p>
    <w:p>
      <w:pPr>
        <w:spacing w:after="0" w:line="18" w:lineRule="exact"/>
        <w:rPr>
          <w:sz w:val="20"/>
          <w:szCs w:val="20"/>
          <w:color w:val="auto"/>
        </w:rPr>
      </w:pPr>
    </w:p>
    <w:p>
      <w:pPr>
        <w:ind w:left="760" w:hanging="306"/>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2001, as amended by Form 10-K/A;</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2002, June 30, 2002 and September 30, 2002;</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83" w:lineRule="exact"/>
        <w:rPr>
          <w:sz w:val="20"/>
          <w:szCs w:val="20"/>
          <w:color w:val="auto"/>
        </w:rPr>
      </w:pPr>
    </w:p>
    <w:p>
      <w:pPr>
        <w:ind w:left="760" w:right="560" w:hanging="306"/>
        <w:spacing w:after="0" w:line="268"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June 7, 2002, July 18, 2002, August 6, 2002, September 27, 2002, November 1, 2002, November 5, 2002, December 9, 2002 and December 20, 2002;</w:t>
      </w:r>
    </w:p>
    <w:p>
      <w:pPr>
        <w:spacing w:after="0" w:line="37" w:lineRule="exact"/>
        <w:rPr>
          <w:rFonts w:ascii="Arial" w:cs="Arial" w:eastAsia="Arial" w:hAnsi="Arial"/>
          <w:sz w:val="18"/>
          <w:szCs w:val="18"/>
          <w:color w:val="auto"/>
        </w:rPr>
      </w:pPr>
    </w:p>
    <w:p>
      <w:pPr>
        <w:ind w:left="760" w:hanging="306"/>
        <w:spacing w:after="0"/>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description of our common stock contained in the amended registration statement on Form 8-A/A filed with the SEC on November 22, 2002.</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request a copy of these filings, at no cost, by written or telephone request to:</w:t>
      </w:r>
    </w:p>
    <w:p>
      <w:pPr>
        <w:spacing w:after="0" w:line="7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NN, Inc.</w:t>
      </w:r>
    </w:p>
    <w:p>
      <w:pPr>
        <w:spacing w:after="0" w:line="1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2000 Waters Edge Drive</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Johnson City, Tennessee 37604</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(423) 743-9151</w:t>
      </w:r>
    </w:p>
    <w:p>
      <w:pPr>
        <w:spacing w:after="0" w:line="15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This prospectus may contain information that updates, modifies or is contrary to information in one or more of the documents incorporated by reference in this prospectus. Reports we file with the SEC after the date of this prospectus may also contain information that updates, modifies or is contrary to information in this prospectus or in documents incorporated by reference in this prospectus. Investors should review these reports as they may disclose a change in our business, prospects, financial condition or other affairs after the date of this prospectus.</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314325</wp:posOffset>
            </wp:positionV>
            <wp:extent cx="1809750" cy="18268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09750" cy="182689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upperLetter"/>
      <w:start w:val="40"/>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upperLetter"/>
      <w:start w:val="40"/>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2019-12-14T03:15:08Z</dcterms:created>
  <dcterms:modified xsi:type="dcterms:W3CDTF">2019-12-14T03:15:08Z</dcterms:modified>
</cp:coreProperties>
</file>