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4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Corre Partners Management, LLC</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960" w:type="dxa"/>
            <w:vAlign w:val="bottom"/>
          </w:tcPr>
          <w:p>
            <w:pPr>
              <w:ind w:left="14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NN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NNBR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382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05/05/2023</w:t>
            </w: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4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 or</w:t>
            </w:r>
          </w:p>
        </w:tc>
        <w:tc>
          <w:tcPr>
            <w:tcW w:w="500" w:type="dxa"/>
            <w:vAlign w:val="bottom"/>
          </w:tcPr>
          <w:p>
            <w:pPr>
              <w:spacing w:after="0"/>
              <w:rPr>
                <w:sz w:val="11"/>
                <w:szCs w:val="11"/>
                <w:color w:val="auto"/>
              </w:rPr>
            </w:pP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840" w:type="dxa"/>
            <w:vAlign w:val="bottom"/>
            <w:gridSpan w:val="2"/>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jc w:val="center"/>
              <w:ind w:right="53"/>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5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05/05/2023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50,000</w:t>
            </w:r>
          </w:p>
        </w:tc>
        <w:tc>
          <w:tcPr>
            <w:tcW w:w="100" w:type="dxa"/>
            <w:vAlign w:val="bottom"/>
          </w:tcPr>
          <w:p>
            <w:pPr>
              <w:spacing w:after="0"/>
              <w:rPr>
                <w:sz w:val="21"/>
                <w:szCs w:val="21"/>
                <w:color w:val="auto"/>
              </w:rPr>
            </w:pPr>
          </w:p>
        </w:tc>
        <w:tc>
          <w:tcPr>
            <w:tcW w:w="380" w:type="dxa"/>
            <w:vAlign w:val="bottom"/>
            <w:vMerge w:val="restart"/>
          </w:tcPr>
          <w:p>
            <w:pPr>
              <w:jc w:val="center"/>
              <w:ind w:right="113"/>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1.0148</w:t>
            </w:r>
            <w:r>
              <w:rPr>
                <w:rFonts w:ascii="Times New Roman" w:cs="Times New Roman" w:eastAsia="Times New Roman" w:hAnsi="Times New Roman"/>
                <w:sz w:val="22"/>
                <w:szCs w:val="22"/>
                <w:color w:val="008000"/>
                <w:vertAlign w:val="superscript"/>
              </w:rPr>
              <w:t>(1)</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5,567,802</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05/08/2023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52,807</w:t>
            </w:r>
          </w:p>
        </w:tc>
        <w:tc>
          <w:tcPr>
            <w:tcW w:w="100" w:type="dxa"/>
            <w:vAlign w:val="bottom"/>
          </w:tcPr>
          <w:p>
            <w:pPr>
              <w:spacing w:after="0"/>
              <w:rPr>
                <w:sz w:val="21"/>
                <w:szCs w:val="21"/>
                <w:color w:val="auto"/>
              </w:rPr>
            </w:pPr>
          </w:p>
        </w:tc>
        <w:tc>
          <w:tcPr>
            <w:tcW w:w="380" w:type="dxa"/>
            <w:vAlign w:val="bottom"/>
            <w:vMerge w:val="restart"/>
          </w:tcPr>
          <w:p>
            <w:pPr>
              <w:jc w:val="center"/>
              <w:ind w:right="113"/>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0.9915</w:t>
            </w:r>
            <w:r>
              <w:rPr>
                <w:rFonts w:ascii="Times New Roman" w:cs="Times New Roman" w:eastAsia="Times New Roman" w:hAnsi="Times New Roman"/>
                <w:sz w:val="22"/>
                <w:szCs w:val="22"/>
                <w:color w:val="008000"/>
                <w:vertAlign w:val="superscript"/>
              </w:rPr>
              <w:t>(3)</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5,620,609</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05/09/2023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3,818</w:t>
            </w:r>
          </w:p>
        </w:tc>
        <w:tc>
          <w:tcPr>
            <w:tcW w:w="100" w:type="dxa"/>
            <w:vAlign w:val="bottom"/>
          </w:tcPr>
          <w:p>
            <w:pPr>
              <w:spacing w:after="0"/>
              <w:rPr>
                <w:sz w:val="21"/>
                <w:szCs w:val="21"/>
                <w:color w:val="auto"/>
              </w:rPr>
            </w:pPr>
          </w:p>
        </w:tc>
        <w:tc>
          <w:tcPr>
            <w:tcW w:w="380" w:type="dxa"/>
            <w:vAlign w:val="bottom"/>
            <w:vMerge w:val="restart"/>
          </w:tcPr>
          <w:p>
            <w:pPr>
              <w:jc w:val="center"/>
              <w:ind w:right="113"/>
              <w:spacing w:after="0"/>
              <w:rPr>
                <w:sz w:val="20"/>
                <w:szCs w:val="20"/>
                <w:color w:val="auto"/>
              </w:rPr>
            </w:pPr>
            <w:r>
              <w:rPr>
                <w:rFonts w:ascii="Times New Roman" w:cs="Times New Roman" w:eastAsia="Times New Roman" w:hAnsi="Times New Roman"/>
                <w:sz w:val="17"/>
                <w:szCs w:val="17"/>
                <w:color w:val="0000FF"/>
                <w:w w:val="97"/>
              </w:rPr>
              <w:t>A</w:t>
            </w:r>
          </w:p>
        </w:tc>
        <w:tc>
          <w:tcPr>
            <w:tcW w:w="800" w:type="dxa"/>
            <w:vAlign w:val="bottom"/>
            <w:gridSpan w:val="3"/>
            <w:vMerge w:val="restart"/>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1.1411</w:t>
            </w:r>
            <w:r>
              <w:rPr>
                <w:rFonts w:ascii="Times New Roman" w:cs="Times New Roman" w:eastAsia="Times New Roman" w:hAnsi="Times New Roman"/>
                <w:sz w:val="22"/>
                <w:szCs w:val="22"/>
                <w:color w:val="008000"/>
                <w:vertAlign w:val="superscript"/>
              </w:rPr>
              <w:t>(4)</w:t>
            </w: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5,624,427</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gridSpan w:val="3"/>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7"/>
                <w:szCs w:val="17"/>
                <w:color w:val="0000FF"/>
              </w:rPr>
              <w:t>905,735</w:t>
            </w:r>
          </w:p>
        </w:tc>
        <w:tc>
          <w:tcPr>
            <w:tcW w:w="340" w:type="dxa"/>
            <w:vAlign w:val="bottom"/>
          </w:tcPr>
          <w:p>
            <w:pPr>
              <w:spacing w:after="0"/>
              <w:rPr>
                <w:sz w:val="21"/>
                <w:szCs w:val="21"/>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000" w:type="dxa"/>
            <w:vAlign w:val="bottom"/>
            <w:gridSpan w:val="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Pr>
          <w:p>
            <w:pPr>
              <w:spacing w:after="0"/>
              <w:rPr>
                <w:sz w:val="4"/>
                <w:szCs w:val="4"/>
                <w:color w:val="auto"/>
              </w:rPr>
            </w:pPr>
          </w:p>
        </w:tc>
        <w:tc>
          <w:tcPr>
            <w:tcW w:w="3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gridSpan w:val="2"/>
          </w:tcPr>
          <w:p>
            <w:pPr>
              <w:spacing w:after="0"/>
              <w:rPr>
                <w:sz w:val="8"/>
                <w:szCs w:val="8"/>
                <w:color w:val="auto"/>
              </w:rPr>
            </w:pPr>
          </w:p>
        </w:tc>
        <w:tc>
          <w:tcPr>
            <w:tcW w:w="2720" w:type="dxa"/>
            <w:vAlign w:val="bottom"/>
            <w:tcBorders>
              <w:bottom w:val="single" w:sz="8" w:color="2C2C2C"/>
            </w:tcBorders>
            <w:gridSpan w:val="7"/>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740" w:type="dxa"/>
            <w:vAlign w:val="bottom"/>
            <w:tcBorders>
              <w:top w:val="single" w:sz="8" w:color="2C2C2C"/>
            </w:tcBorders>
            <w:gridSpan w:val="20"/>
          </w:tcPr>
          <w:p>
            <w:pPr>
              <w:jc w:val="center"/>
              <w:ind w:left="26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0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4"/>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6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4"/>
                <w:szCs w:val="14"/>
                <w:color w:val="auto"/>
              </w:rPr>
            </w:pPr>
          </w:p>
        </w:tc>
        <w:tc>
          <w:tcPr>
            <w:tcW w:w="3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Corre Partners Management,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3"/>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Corre Partners Advisors LLC</w:t>
              </w:r>
            </w:hyperlink>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4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10017</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-4741545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40" w:orient="portrait"/>
          <w:cols w:equalWidth="0" w:num="1">
            <w:col w:w="11080"/>
          </w:cols>
          <w:pgMar w:left="460" w:top="219" w:right="359" w:bottom="0" w:gutter="0" w:footer="0" w:header="0"/>
          <w:type w:val="continuous"/>
        </w:sectPr>
      </w:pPr>
    </w:p>
    <w:p>
      <w:pPr>
        <w:spacing w:after="0" w:line="308"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40"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2673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526732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Corre Opportunities Qualified Master Fund,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42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 EAST 49TH STREET 40TH FLOOR</w:t>
            </w: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Barrett John Frederick</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7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CORRE PARTNERS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48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10017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0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Soderlund Eric Hjalmar</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6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CORRE PARTNERS MANAGEMENT, LLC</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 EAST 49TH STREET 40TH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10017</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$1.01 to $1.015.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12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Opportunities Qualified Master Fund, LP (the "Qualified Master Fund"). The reported securities may be deemed beneficially owned by Corre Partners Management, LLC ("Corre"), the investment manager of the Qualified Master Fund, Corre Partners Advisors, LLC ("Corre GP"), the general partner of the Qualified Master Fund,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pacing w:after="0" w:line="26"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$0.975 to $1.02.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jc w:val="both"/>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within the range of $1.02 to $1.16. The Reporting Persons undertake to provide to the Issuer, any security holder of the Issuer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40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directly owned by Corre Horizon Fund, LP (the "Partnership"). The reported securities may be deemed beneficially owned by Corre, the investment manager of the Partnership, Corre GP, the general partner of the Partnership, and John Barrett and Eric Soderlund, the managing members of Corre and Corre GP, each a Reporting Person. Each Reporting Person disclaims beneficial ownership of the reported securities except to the extent of its pecuniary interest therein, and this report shall not be deemed to be an admission that any Reporting Person is the beneficial owner of the securities for purposes of Section 16 of the Securities Exchange Act of 1934, as amended, or for any other purpose.</w:t>
      </w:r>
    </w:p>
    <w:p>
      <w:pPr>
        <w:sectPr>
          <w:pgSz w:w="11900" w:h="16838" w:orient="portrait"/>
          <w:cols w:equalWidth="0" w:num="1">
            <w:col w:w="10900"/>
          </w:cols>
          <w:pgMar w:left="480" w:top="216" w:right="519" w:bottom="513"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674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26746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LLC, /s/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4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084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8464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8464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Partners Advisors,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3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54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Corre Opportunities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58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Master Fund, LP, By: Corre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2237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Advisors,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71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2071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/s/ Eric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8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Soderlund,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318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John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67183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6718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Eric Soderlund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7943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7943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05/09/2023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700" w:space="60"/>
            <w:col w:w="2140"/>
          </w:cols>
          <w:pgMar w:left="480" w:top="216" w:right="519" w:bottom="513"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216" w:right="519" w:bottom="5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12" Type="http://schemas.openxmlformats.org/officeDocument/2006/relationships/hyperlink" Target="http://www.sec.gov/cgi-bin/browse-edgar?action=getcompany&amp;CIK=0001537323" TargetMode="External"/><Relationship Id="rId13" Type="http://schemas.openxmlformats.org/officeDocument/2006/relationships/hyperlink" Target="http://www.sec.gov/cgi-bin/browse-edgar?action=getcompany&amp;CIK=0000918541" TargetMode="External"/><Relationship Id="rId14" Type="http://schemas.openxmlformats.org/officeDocument/2006/relationships/hyperlink" Target="http://www.sec.gov/cgi-bin/browse-edgar?action=getcompany&amp;CIK=0001884680" TargetMode="External"/><Relationship Id="rId17" Type="http://schemas.openxmlformats.org/officeDocument/2006/relationships/hyperlink" Target="http://www.sec.gov/cgi-bin/browse-edgar?action=getcompany&amp;CIK=0001601971" TargetMode="External"/><Relationship Id="rId18" Type="http://schemas.openxmlformats.org/officeDocument/2006/relationships/hyperlink" Target="http://www.sec.gov/cgi-bin/browse-edgar?action=getcompany&amp;CIK=0001858308" TargetMode="External"/><Relationship Id="rId19" Type="http://schemas.openxmlformats.org/officeDocument/2006/relationships/hyperlink" Target="http://www.sec.gov/cgi-bin/browse-edgar?action=getcompany&amp;CIK=000188553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2023-05-09T17:18:11Z</dcterms:created>
  <dcterms:modified xsi:type="dcterms:W3CDTF">2023-05-09T17:18:11Z</dcterms:modified>
</cp:coreProperties>
</file>