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3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(Amendment No. 8)</w:t>
      </w:r>
    </w:p>
    <w:p>
      <w:pPr>
        <w:spacing w:after="0" w:line="256" w:lineRule="exact"/>
        <w:rPr>
          <w:sz w:val="24"/>
          <w:szCs w:val="24"/>
          <w:color w:val="auto"/>
        </w:rPr>
      </w:pPr>
    </w:p>
    <w:p>
      <w:pPr>
        <w:ind w:left="4360"/>
        <w:spacing w:after="0"/>
        <w:rPr>
          <w:sz w:val="20"/>
          <w:szCs w:val="20"/>
          <w:color w:val="auto"/>
        </w:rPr>
      </w:pPr>
      <w:r>
        <w:rPr>
          <w:rFonts w:ascii="Arial" w:cs="Arial" w:eastAsia="Arial" w:hAnsi="Arial"/>
          <w:sz w:val="22"/>
          <w:szCs w:val="22"/>
          <w:color w:val="auto"/>
        </w:rPr>
        <w:t>NN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ind w:left="3980"/>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March 31,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1"/>
          <w:szCs w:val="2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295"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ectPr>
          <w:pgSz w:w="11900" w:h="16838" w:orient="portrait"/>
          <w:cols w:equalWidth="0" w:num="1">
            <w:col w:w="10219"/>
          </w:cols>
          <w:pgMar w:left="240" w:top="1440" w:right="1440" w:bottom="0" w:gutter="0" w:footer="0" w:header="0"/>
        </w:sectPr>
      </w:pPr>
    </w:p>
    <w:p>
      <w:pPr>
        <w:spacing w:after="0" w:line="98" w:lineRule="exact"/>
        <w:rPr>
          <w:sz w:val="24"/>
          <w:szCs w:val="24"/>
          <w:color w:val="auto"/>
        </w:r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line="78" w:lineRule="exact"/>
        <w:rPr>
          <w:sz w:val="24"/>
          <w:szCs w:val="24"/>
          <w:color w:val="auto"/>
        </w:rPr>
      </w:pPr>
    </w:p>
    <w:p>
      <w:pPr>
        <w:spacing w:after="0"/>
        <w:rPr>
          <w:sz w:val="20"/>
          <w:szCs w:val="20"/>
          <w:color w:val="auto"/>
        </w:rPr>
      </w:pPr>
      <w:r>
        <w:rPr>
          <w:rFonts w:ascii="Arial" w:cs="Arial" w:eastAsia="Arial" w:hAnsi="Arial"/>
          <w:sz w:val="19"/>
          <w:szCs w:val="19"/>
          <w:color w:val="auto"/>
        </w:rPr>
        <w:t>Rule 13d-1(c)</w:t>
      </w:r>
    </w:p>
    <w:p>
      <w:pPr>
        <w:spacing w:after="0" w:line="132"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ind w:left="60"/>
        <w:spacing w:after="0"/>
        <w:rPr>
          <w:sz w:val="20"/>
          <w:szCs w:val="20"/>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9"/>
          <w:szCs w:val="19"/>
          <w:color w:val="auto"/>
        </w:rPr>
        <w:t>Rule 13d-1(d)</w:t>
      </w:r>
    </w:p>
    <w:p>
      <w:pPr>
        <w:spacing w:after="0" w:line="234" w:lineRule="exact"/>
        <w:rPr>
          <w:sz w:val="24"/>
          <w:szCs w:val="24"/>
          <w:color w:val="auto"/>
        </w:rPr>
      </w:pPr>
    </w:p>
    <w:p>
      <w:pPr>
        <w:sectPr>
          <w:pgSz w:w="11900" w:h="16838" w:orient="portrait"/>
          <w:cols w:equalWidth="0" w:num="2">
            <w:col w:w="200" w:space="420"/>
            <w:col w:w="9599"/>
          </w:cols>
          <w:pgMar w:left="240" w:top="1440" w:right="1440" w:bottom="0" w:gutter="0" w:footer="0" w:header="0"/>
          <w:type w:val="continuous"/>
        </w:sectPr>
      </w:pPr>
    </w:p>
    <w:p>
      <w:pPr>
        <w:spacing w:after="0" w:line="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629337106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right="6699" w:hanging="435"/>
        <w:spacing w:after="0" w:line="326" w:lineRule="auto"/>
        <w:tabs>
          <w:tab w:leader="none" w:pos="700" w:val="left"/>
        </w:tabs>
        <w:numPr>
          <w:ilvl w:val="0"/>
          <w:numId w:val="2"/>
        </w:numPr>
        <w:rPr>
          <w:rFonts w:ascii="Arial" w:cs="Arial" w:eastAsia="Arial" w:hAnsi="Arial"/>
          <w:sz w:val="19"/>
          <w:szCs w:val="19"/>
          <w:color w:val="auto"/>
        </w:rPr>
      </w:pPr>
      <w:r>
        <w:rPr>
          <w:rFonts w:ascii="Arial" w:cs="Arial" w:eastAsia="Arial" w:hAnsi="Arial"/>
          <w:sz w:val="19"/>
          <w:szCs w:val="19"/>
          <w:color w:val="auto"/>
        </w:rPr>
        <w:t>(a) Names of Reporting Persons. Wells Fargo and Company</w:t>
      </w:r>
    </w:p>
    <w:p>
      <w:pPr>
        <w:spacing w:after="0" w:line="1" w:lineRule="exact"/>
        <w:rPr>
          <w:sz w:val="24"/>
          <w:szCs w:val="24"/>
          <w:color w:val="auto"/>
        </w:rPr>
      </w:pPr>
    </w:p>
    <w:p>
      <w:pPr>
        <w:ind w:left="700" w:right="8479" w:hanging="3"/>
        <w:spacing w:after="0" w:line="328" w:lineRule="auto"/>
        <w:tabs>
          <w:tab w:leader="none" w:pos="1006" w:val="left"/>
        </w:tabs>
        <w:numPr>
          <w:ilvl w:val="1"/>
          <w:numId w:val="3"/>
        </w:numPr>
        <w:rPr>
          <w:rFonts w:ascii="Arial" w:cs="Arial" w:eastAsia="Arial" w:hAnsi="Arial"/>
          <w:sz w:val="19"/>
          <w:szCs w:val="19"/>
          <w:color w:val="auto"/>
        </w:rPr>
      </w:pPr>
      <w:r>
        <w:rPr>
          <w:rFonts w:ascii="Arial" w:cs="Arial" w:eastAsia="Arial" w:hAnsi="Arial"/>
          <w:sz w:val="19"/>
          <w:szCs w:val="19"/>
          <w:color w:val="auto"/>
        </w:rPr>
        <w:t>Tax ID 41-0449260</w:t>
      </w:r>
    </w:p>
    <w:p>
      <w:pPr>
        <w:spacing w:after="0" w:line="348" w:lineRule="exact"/>
        <w:rPr>
          <w:rFonts w:ascii="Arial" w:cs="Arial" w:eastAsia="Arial" w:hAnsi="Arial"/>
          <w:sz w:val="19"/>
          <w:szCs w:val="19"/>
          <w:color w:val="auto"/>
        </w:rPr>
      </w:pPr>
    </w:p>
    <w:p>
      <w:pPr>
        <w:ind w:left="700" w:hanging="435"/>
        <w:spacing w:after="0"/>
        <w:tabs>
          <w:tab w:leader="none" w:pos="700" w:val="left"/>
        </w:tabs>
        <w:numPr>
          <w:ilvl w:val="0"/>
          <w:numId w:val="4"/>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SEC Use Only . . . . . . . . . . . . . . . . . . . . . . . . . . . . . . . . . . . . . . . . . . .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773,452</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0</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774,602</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Aggregate Amount Beneficially Owned by Each Reporting Person 774,602</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Percent of Class Represented by Amount in Row (9) 4.76 %</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7"/>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-1640840</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8"/>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NN INC</w:t>
      </w:r>
    </w:p>
    <w:p>
      <w:pPr>
        <w:spacing w:after="0" w:line="80" w:lineRule="exact"/>
        <w:rPr>
          <w:rFonts w:ascii="Arial" w:cs="Arial" w:eastAsia="Arial" w:hAnsi="Arial"/>
          <w:sz w:val="22"/>
          <w:szCs w:val="22"/>
          <w:color w:val="auto"/>
        </w:rPr>
      </w:pPr>
    </w:p>
    <w:p>
      <w:pPr>
        <w:jc w:val="both"/>
        <w:ind w:left="700" w:right="5339" w:hanging="374"/>
        <w:spacing w:after="0" w:line="382" w:lineRule="auto"/>
        <w:tabs>
          <w:tab w:leader="none" w:pos="700" w:val="left"/>
        </w:tabs>
        <w:numPr>
          <w:ilvl w:val="0"/>
          <w:numId w:val="8"/>
        </w:numPr>
        <w:rPr>
          <w:rFonts w:ascii="Arial" w:cs="Arial" w:eastAsia="Arial" w:hAnsi="Arial"/>
          <w:sz w:val="19"/>
          <w:szCs w:val="19"/>
          <w:color w:val="auto"/>
        </w:rPr>
      </w:pPr>
      <w:r>
        <w:rPr>
          <w:rFonts w:ascii="Arial" w:cs="Arial" w:eastAsia="Arial" w:hAnsi="Arial"/>
          <w:sz w:val="19"/>
          <w:szCs w:val="19"/>
          <w:color w:val="auto"/>
        </w:rPr>
        <w:t>Address of Issuer's Principal Executive Offices 2000 Waters Edge Dr., Johnson City, TN 37604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right="715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Name of Person Filing Wells Fargo and Company</w:t>
      </w:r>
    </w:p>
    <w:p>
      <w:pPr>
        <w:ind w:left="700" w:right="433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Address of Principal Business Office or, if none, Residence 420 Montgomery Street, San Francisco, CA 94104</w:t>
      </w:r>
    </w:p>
    <w:p>
      <w:pPr>
        <w:ind w:left="700" w:right="8479" w:hanging="374"/>
        <w:spacing w:after="0" w:line="326"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Citizenship Delaware</w:t>
      </w:r>
    </w:p>
    <w:p>
      <w:pPr>
        <w:ind w:left="700" w:hanging="374"/>
        <w:spacing w:after="0"/>
        <w:tabs>
          <w:tab w:leader="none" w:pos="7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9"/>
        </w:numPr>
        <w:rPr>
          <w:rFonts w:ascii="Arial" w:cs="Arial" w:eastAsia="Arial" w:hAnsi="Arial"/>
          <w:sz w:val="19"/>
          <w:szCs w:val="19"/>
          <w:color w:val="auto"/>
        </w:rPr>
      </w:pPr>
      <w:r>
        <w:rPr>
          <w:rFonts w:ascii="Arial" w:cs="Arial" w:eastAsia="Arial" w:hAnsi="Arial"/>
          <w:sz w:val="19"/>
          <w:szCs w:val="19"/>
          <w:color w:val="auto"/>
        </w:rPr>
        <w:t>CUSIP Number 629337106</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226" w:right="1440" w:bottom="0" w:gutter="0" w:footer="0" w:header="0"/>
        </w:sectPr>
      </w:pPr>
    </w:p>
    <w:bookmarkStart w:id="2" w:name="page3"/>
    <w:bookmarkEnd w:id="2"/>
    <w:p>
      <w:pPr>
        <w:ind w:left="780" w:hanging="440"/>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94" w:lineRule="exact"/>
        <w:rPr>
          <w:rFonts w:ascii="Arial" w:cs="Arial" w:eastAsia="Arial" w:hAnsi="Arial"/>
          <w:sz w:val="19"/>
          <w:szCs w:val="19"/>
          <w:color w:val="auto"/>
        </w:rPr>
      </w:pPr>
    </w:p>
    <w:p>
      <w:pPr>
        <w:ind w:left="780" w:hanging="476"/>
        <w:spacing w:after="0"/>
        <w:tabs>
          <w:tab w:leader="none" w:pos="780" w:val="left"/>
        </w:tabs>
        <w:numPr>
          <w:ilvl w:val="0"/>
          <w:numId w:val="11"/>
        </w:numPr>
        <w:rPr>
          <w:rFonts w:ascii="Arial" w:cs="Arial" w:eastAsia="Arial" w:hAnsi="Arial"/>
          <w:sz w:val="19"/>
          <w:szCs w:val="19"/>
          <w:color w:val="auto"/>
        </w:rPr>
      </w:pPr>
      <w:r>
        <w:rPr>
          <w:rFonts w:ascii="Arial" w:cs="Arial" w:eastAsia="Arial" w:hAnsi="Arial"/>
          <w:sz w:val="19"/>
          <w:szCs w:val="19"/>
          <w:color w:val="auto"/>
        </w:rPr>
        <w:t>[X A parent holding company or control person in accordance with 240.13d-1(b)(1)(ii)(G);</w:t>
      </w:r>
    </w:p>
    <w:p>
      <w:pPr>
        <w:spacing w:after="0" w:line="42" w:lineRule="exact"/>
        <w:rPr>
          <w:rFonts w:ascii="Arial" w:cs="Arial" w:eastAsia="Arial" w:hAnsi="Arial"/>
          <w:sz w:val="19"/>
          <w:szCs w:val="19"/>
          <w:color w:val="auto"/>
        </w:rPr>
      </w:pPr>
    </w:p>
    <w:p>
      <w:pPr>
        <w:ind w:left="780"/>
        <w:spacing w:after="0"/>
        <w:rPr>
          <w:rFonts w:ascii="Arial" w:cs="Arial" w:eastAsia="Arial" w:hAnsi="Arial"/>
          <w:sz w:val="19"/>
          <w:szCs w:val="19"/>
          <w:color w:val="auto"/>
        </w:rPr>
      </w:pPr>
      <w:r>
        <w:rPr>
          <w:rFonts w:ascii="Arial" w:cs="Arial" w:eastAsia="Arial" w:hAnsi="Arial"/>
          <w:sz w:val="22"/>
          <w:szCs w:val="22"/>
          <w:color w:val="auto"/>
        </w:rPr>
        <w:t>]</w:t>
      </w:r>
    </w:p>
    <w:p>
      <w:pPr>
        <w:spacing w:after="0" w:line="80"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A non-U.S.institution in accordance with 240.13d-1(b)(1)(ii)(J);</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11"/>
        </w:numPr>
        <w:rPr>
          <w:rFonts w:ascii="Arial" w:cs="Arial" w:eastAsia="Arial" w:hAnsi="Arial"/>
          <w:sz w:val="22"/>
          <w:szCs w:val="22"/>
          <w:color w:val="auto"/>
        </w:rPr>
      </w:pPr>
      <w:r>
        <w:rPr>
          <w:rFonts w:ascii="Arial" w:cs="Arial" w:eastAsia="Arial" w:hAnsi="Arial"/>
          <w:sz w:val="22"/>
          <w:szCs w:val="22"/>
          <w:color w:val="auto"/>
        </w:rPr>
        <w:t>[ ]  Group, in accordance with 240.13d-1(b)(1)(ii)(K).</w:t>
      </w:r>
    </w:p>
    <w:p>
      <w:pPr>
        <w:spacing w:after="0" w:line="260" w:lineRule="exact"/>
        <w:rPr>
          <w:sz w:val="20"/>
          <w:szCs w:val="20"/>
          <w:color w:val="auto"/>
        </w:rPr>
      </w:pPr>
    </w:p>
    <w:p>
      <w:pPr>
        <w:ind w:left="1120" w:right="1339"/>
        <w:spacing w:after="0" w:line="251" w:lineRule="auto"/>
        <w:rPr>
          <w:sz w:val="20"/>
          <w:szCs w:val="20"/>
          <w:color w:val="auto"/>
        </w:rPr>
      </w:pPr>
      <w:r>
        <w:rPr>
          <w:rFonts w:ascii="Arial" w:cs="Arial" w:eastAsia="Arial" w:hAnsi="Arial"/>
          <w:sz w:val="22"/>
          <w:szCs w:val="22"/>
          <w:color w:val="auto"/>
        </w:rPr>
        <w:t>If filing as a non-U.S.institution in accordance with 240.13d-1(b)(1)(ii)(J), please specify the type of institution: ______________</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Amount beneficially owned: 774,602</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Percent of class: 4.76%</w:t>
      </w:r>
    </w:p>
    <w:p>
      <w:pPr>
        <w:spacing w:after="0" w:line="98" w:lineRule="exact"/>
        <w:rPr>
          <w:rFonts w:ascii="Arial" w:cs="Arial" w:eastAsia="Arial" w:hAnsi="Arial"/>
          <w:sz w:val="22"/>
          <w:szCs w:val="22"/>
          <w:color w:val="auto"/>
        </w:rPr>
      </w:pPr>
    </w:p>
    <w:p>
      <w:pPr>
        <w:ind w:left="800" w:hanging="433"/>
        <w:spacing w:after="0"/>
        <w:tabs>
          <w:tab w:leader="none" w:pos="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vote or to direct the vote 773,452</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774,602</w:t>
      </w:r>
    </w:p>
    <w:p>
      <w:pPr>
        <w:spacing w:after="0" w:line="98" w:lineRule="exact"/>
        <w:rPr>
          <w:rFonts w:ascii="Arial" w:cs="Arial" w:eastAsia="Arial" w:hAnsi="Arial"/>
          <w:sz w:val="22"/>
          <w:szCs w:val="22"/>
          <w:color w:val="auto"/>
        </w:rPr>
      </w:pPr>
    </w:p>
    <w:p>
      <w:pPr>
        <w:ind w:left="1260" w:hanging="461"/>
        <w:spacing w:after="0"/>
        <w:tabs>
          <w:tab w:leader="none" w:pos="1260" w:val="left"/>
        </w:tabs>
        <w:numPr>
          <w:ilvl w:val="1"/>
          <w:numId w:val="12"/>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ectPr>
          <w:pgSz w:w="11900" w:h="16838" w:orient="portrait"/>
          <w:cols w:equalWidth="0" w:num="1">
            <w:col w:w="10159"/>
          </w:cols>
          <w:pgMar w:left="300" w:top="159" w:right="1440" w:bottom="0" w:gutter="0" w:footer="0" w:header="0"/>
        </w:sect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w:t>
      </w:r>
    </w:p>
    <w:p>
      <w:pPr>
        <w:spacing w:after="0" w:line="8" w:lineRule="exact"/>
        <w:rPr>
          <w:sz w:val="20"/>
          <w:szCs w:val="20"/>
          <w:color w:val="auto"/>
        </w:rPr>
      </w:pPr>
    </w:p>
    <w:p>
      <w:pPr>
        <w:spacing w:after="0" w:line="207" w:lineRule="auto"/>
        <w:rPr>
          <w:sz w:val="20"/>
          <w:szCs w:val="20"/>
          <w:color w:val="auto"/>
        </w:rPr>
      </w:pPr>
      <w:r>
        <w:rPr>
          <w:rFonts w:ascii="Arial" w:cs="Arial" w:eastAsia="Arial" w:hAnsi="Arial"/>
          <w:sz w:val="19"/>
          <w:szCs w:val="19"/>
          <w:color w:val="auto"/>
        </w:rPr>
        <w:t xml:space="preserve">applicable </w:t>
      </w: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right="1839"/>
        <w:spacing w:after="0" w:line="329" w:lineRule="auto"/>
        <w:rPr>
          <w:sz w:val="20"/>
          <w:szCs w:val="20"/>
          <w:color w:val="auto"/>
        </w:rPr>
      </w:pPr>
      <w:r>
        <w:rPr>
          <w:rFonts w:ascii="Arial" w:cs="Arial" w:eastAsia="Arial" w:hAnsi="Arial"/>
          <w:sz w:val="19"/>
          <w:szCs w:val="19"/>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sectPr>
          <w:pgSz w:w="11900" w:h="16838" w:orient="portrait"/>
          <w:cols w:equalWidth="0" w:num="2">
            <w:col w:w="900" w:space="100"/>
            <w:col w:w="9159"/>
          </w:cols>
          <w:pgMar w:left="300" w:top="159" w:right="1440" w:bottom="0" w:gutter="0" w:footer="0" w:header="0"/>
          <w:type w:val="continuous"/>
        </w:sectPr>
      </w:pPr>
    </w:p>
    <w:p>
      <w:pPr>
        <w:spacing w:after="0"/>
        <w:rPr>
          <w:sz w:val="20"/>
          <w:szCs w:val="20"/>
          <w:color w:val="auto"/>
        </w:rPr>
      </w:pPr>
      <w:r>
        <w:rPr>
          <w:rFonts w:ascii="Arial" w:cs="Arial" w:eastAsia="Arial" w:hAnsi="Arial"/>
          <w:sz w:val="22"/>
          <w:szCs w:val="22"/>
          <w:color w:val="auto"/>
        </w:rPr>
        <w:t>See Exhibit B</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Not applicable.</w:t>
      </w:r>
    </w:p>
    <w:p>
      <w:pPr>
        <w:spacing w:after="0" w:line="92" w:lineRule="exact"/>
        <w:rPr>
          <w:sz w:val="20"/>
          <w:szCs w:val="20"/>
          <w:color w:val="auto"/>
        </w:rPr>
      </w:pPr>
    </w:p>
    <w:p>
      <w:pPr>
        <w:spacing w:after="0"/>
        <w:tabs>
          <w:tab w:leader="none" w:pos="980" w:val="left"/>
        </w:tabs>
        <w:rPr>
          <w:sz w:val="20"/>
          <w:szCs w:val="20"/>
          <w:color w:val="auto"/>
        </w:rPr>
      </w:pPr>
      <w:r>
        <w:rPr>
          <w:rFonts w:ascii="Arial" w:cs="Arial" w:eastAsia="Arial" w:hAnsi="Arial"/>
          <w:sz w:val="22"/>
          <w:szCs w:val="22"/>
          <w:b w:val="1"/>
          <w:bCs w:val="1"/>
          <w:color w:val="auto"/>
        </w:rPr>
        <w:t>Item 10.</w:t>
      </w:r>
      <w:r>
        <w:rPr>
          <w:sz w:val="20"/>
          <w:szCs w:val="20"/>
          <w:color w:val="auto"/>
        </w:rPr>
        <w:tab/>
      </w:r>
      <w:r>
        <w:rPr>
          <w:rFonts w:ascii="Arial" w:cs="Arial" w:eastAsia="Arial" w:hAnsi="Arial"/>
          <w:sz w:val="19"/>
          <w:szCs w:val="19"/>
          <w:b w:val="1"/>
          <w:bCs w:val="1"/>
          <w:color w:val="auto"/>
        </w:rPr>
        <w:t>Certification</w:t>
      </w:r>
    </w:p>
    <w:p>
      <w:pPr>
        <w:spacing w:after="0" w:line="50" w:lineRule="exact"/>
        <w:rPr>
          <w:sz w:val="20"/>
          <w:szCs w:val="20"/>
          <w:color w:val="auto"/>
        </w:rPr>
      </w:pPr>
    </w:p>
    <w:p>
      <w:pPr>
        <w:jc w:val="both"/>
        <w:ind w:left="480" w:right="1979"/>
        <w:spacing w:after="0" w:line="235"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43" w:lineRule="exact"/>
        <w:rPr>
          <w:sz w:val="20"/>
          <w:szCs w:val="20"/>
          <w:color w:val="auto"/>
        </w:rPr>
      </w:pPr>
    </w:p>
    <w:p>
      <w:pPr>
        <w:ind w:left="3940"/>
        <w:spacing w:after="0"/>
        <w:rPr>
          <w:sz w:val="20"/>
          <w:szCs w:val="20"/>
          <w:color w:val="auto"/>
        </w:rPr>
      </w:pPr>
      <w:r>
        <w:rPr>
          <w:rFonts w:ascii="Arial" w:cs="Arial" w:eastAsia="Arial" w:hAnsi="Arial"/>
          <w:sz w:val="25"/>
          <w:szCs w:val="25"/>
          <w:b w:val="1"/>
          <w:bCs w:val="1"/>
          <w:color w:val="auto"/>
        </w:rPr>
        <w:t>SIGNATURE</w:t>
      </w:r>
    </w:p>
    <w:p>
      <w:pPr>
        <w:sectPr>
          <w:pgSz w:w="11900" w:h="16838" w:orient="portrait"/>
          <w:cols w:equalWidth="0" w:num="1">
            <w:col w:w="10159"/>
          </w:cols>
          <w:pgMar w:left="300" w:top="159" w:right="1440" w:bottom="0" w:gutter="0" w:footer="0" w:header="0"/>
          <w:type w:val="continuous"/>
        </w:sectPr>
      </w:pPr>
    </w:p>
    <w:p>
      <w:pPr>
        <w:spacing w:after="0" w:line="322" w:lineRule="exact"/>
        <w:rPr>
          <w:sz w:val="20"/>
          <w:szCs w:val="20"/>
          <w:color w:val="auto"/>
        </w:rPr>
      </w:pPr>
    </w:p>
    <w:p>
      <w:pPr>
        <w:ind w:left="240"/>
        <w:spacing w:after="0"/>
        <w:rPr>
          <w:sz w:val="20"/>
          <w:szCs w:val="20"/>
          <w:color w:val="auto"/>
        </w:rPr>
      </w:pPr>
      <w:r>
        <w:rPr>
          <w:rFonts w:ascii="Arial" w:cs="Arial" w:eastAsia="Arial" w:hAnsi="Arial"/>
          <w:sz w:val="19"/>
          <w:szCs w:val="19"/>
          <w:color w:val="auto"/>
        </w:rPr>
        <w:t>After reasonable inquiry and to the best of my knowledge and belief, I certify that the information set</w:t>
      </w:r>
    </w:p>
    <w:p>
      <w:pPr>
        <w:sectPr>
          <w:pgSz w:w="11900" w:h="16838" w:orient="portrait"/>
          <w:cols w:equalWidth="0" w:num="1">
            <w:col w:w="10159"/>
          </w:cols>
          <w:pgMar w:left="300" w:top="159" w:right="1440" w:bottom="0" w:gutter="0" w:footer="0" w:header="0"/>
          <w:type w:val="continuous"/>
        </w:sectPr>
      </w:pPr>
    </w:p>
    <w:bookmarkStart w:id="3" w:name="page4"/>
    <w:bookmarkEnd w:id="3"/>
    <w:p>
      <w:pPr>
        <w:ind w:left="240"/>
        <w:spacing w:after="0"/>
        <w:rPr>
          <w:sz w:val="20"/>
          <w:szCs w:val="20"/>
          <w:color w:val="auto"/>
        </w:rPr>
      </w:pPr>
      <w:r>
        <w:rPr>
          <w:rFonts w:ascii="Arial" w:cs="Arial" w:eastAsia="Arial" w:hAnsi="Arial"/>
          <w:sz w:val="22"/>
          <w:szCs w:val="22"/>
          <w:color w:val="auto"/>
        </w:rPr>
        <w:t>forth in this statement is true, complete and correct.</w:t>
      </w:r>
    </w:p>
    <w:p>
      <w:pPr>
        <w:spacing w:after="0" w:line="315"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April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 Jane E. Washington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Jane E. Washington, VP Trust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Name/Title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A</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EXPLANATORY NOTE</w:t>
      </w:r>
    </w:p>
    <w:p>
      <w:pPr>
        <w:spacing w:after="0" w:line="233" w:lineRule="exact"/>
        <w:rPr>
          <w:sz w:val="20"/>
          <w:szCs w:val="20"/>
          <w:color w:val="auto"/>
        </w:rPr>
      </w:pPr>
    </w:p>
    <w:p>
      <w:pPr>
        <w:ind w:right="1379"/>
        <w:spacing w:after="0" w:line="238" w:lineRule="auto"/>
        <w:rPr>
          <w:sz w:val="20"/>
          <w:szCs w:val="20"/>
          <w:color w:val="auto"/>
        </w:rPr>
      </w:pPr>
      <w:r>
        <w:rPr>
          <w:rFonts w:ascii="Arial" w:cs="Arial" w:eastAsia="Arial" w:hAnsi="Arial"/>
          <w:sz w:val="22"/>
          <w:szCs w:val="22"/>
          <w:color w:val="auto"/>
        </w:rPr>
        <w:t>This Schedule 13G is filed by Wells Fargo &amp; Company on its own behalf and on behalf of any subsidiaries listed in Exhibit B. Aggregate beneficial ownership reported by Wells Fargo &amp; Company under Item 9 on page 2 is on a consolidated basis and includes any beneficial ownership separately reported herein by a subsidiary.</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B</w:t>
      </w:r>
    </w:p>
    <w:p>
      <w:pPr>
        <w:spacing w:after="0" w:line="104" w:lineRule="exact"/>
        <w:rPr>
          <w:sz w:val="20"/>
          <w:szCs w:val="20"/>
          <w:color w:val="auto"/>
        </w:rPr>
      </w:pPr>
    </w:p>
    <w:p>
      <w:pPr>
        <w:ind w:right="1299"/>
        <w:spacing w:after="0" w:line="251" w:lineRule="auto"/>
        <w:rPr>
          <w:sz w:val="20"/>
          <w:szCs w:val="20"/>
          <w:color w:val="auto"/>
        </w:rPr>
      </w:pPr>
      <w:r>
        <w:rPr>
          <w:rFonts w:ascii="Arial" w:cs="Arial" w:eastAsia="Arial" w:hAnsi="Arial"/>
          <w:sz w:val="22"/>
          <w:szCs w:val="22"/>
          <w:color w:val="auto"/>
        </w:rPr>
        <w:t>The Schedule 13G to which this attachment is appended is filed by Wells Fargo &amp; Company on behalf of the following subsidiaries: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Wells Capital Management Incorporated (1)</w:t>
      </w:r>
    </w:p>
    <w:p>
      <w:pPr>
        <w:spacing w:after="0" w:line="238" w:lineRule="auto"/>
        <w:rPr>
          <w:sz w:val="20"/>
          <w:szCs w:val="20"/>
          <w:color w:val="auto"/>
        </w:rPr>
      </w:pPr>
      <w:r>
        <w:rPr>
          <w:rFonts w:ascii="Arial" w:cs="Arial" w:eastAsia="Arial" w:hAnsi="Arial"/>
          <w:sz w:val="22"/>
          <w:szCs w:val="22"/>
          <w:color w:val="auto"/>
        </w:rPr>
        <w:t>Wells Fargo Funds Management, LLC (1)</w:t>
      </w:r>
    </w:p>
    <w:p>
      <w:pPr>
        <w:spacing w:after="0"/>
        <w:rPr>
          <w:sz w:val="20"/>
          <w:szCs w:val="20"/>
          <w:color w:val="auto"/>
        </w:rPr>
      </w:pPr>
      <w:r>
        <w:rPr>
          <w:rFonts w:ascii="Arial" w:cs="Arial" w:eastAsia="Arial" w:hAnsi="Arial"/>
          <w:sz w:val="22"/>
          <w:szCs w:val="22"/>
          <w:color w:val="auto"/>
        </w:rPr>
        <w:t>Wells Fargo Advisors, LLC. (2)</w:t>
      </w:r>
    </w:p>
    <w:p>
      <w:pPr>
        <w:spacing w:after="0" w:line="215" w:lineRule="exact"/>
        <w:rPr>
          <w:sz w:val="20"/>
          <w:szCs w:val="20"/>
          <w:color w:val="auto"/>
        </w:rPr>
      </w:pPr>
    </w:p>
    <w:p>
      <w:pPr>
        <w:ind w:left="300" w:hanging="298"/>
        <w:spacing w:after="0"/>
        <w:tabs>
          <w:tab w:leader="none" w:pos="300" w:val="left"/>
        </w:tabs>
        <w:numPr>
          <w:ilvl w:val="0"/>
          <w:numId w:val="13"/>
        </w:numPr>
        <w:rPr>
          <w:rFonts w:ascii="Arial" w:cs="Arial" w:eastAsia="Arial" w:hAnsi="Arial"/>
          <w:sz w:val="19"/>
          <w:szCs w:val="19"/>
          <w:color w:val="auto"/>
        </w:rPr>
      </w:pPr>
      <w:r>
        <w:rPr>
          <w:rFonts w:ascii="Arial" w:cs="Arial" w:eastAsia="Arial" w:hAnsi="Arial"/>
          <w:sz w:val="19"/>
          <w:szCs w:val="19"/>
          <w:color w:val="auto"/>
        </w:rPr>
        <w:t>Classified as a registered investment advisor in accordance with Regulation 13d-1(b)(1)(ii)(E).</w:t>
      </w:r>
    </w:p>
    <w:p>
      <w:pPr>
        <w:spacing w:after="0" w:line="42" w:lineRule="exact"/>
        <w:rPr>
          <w:rFonts w:ascii="Arial" w:cs="Arial" w:eastAsia="Arial" w:hAnsi="Arial"/>
          <w:sz w:val="19"/>
          <w:szCs w:val="19"/>
          <w:color w:val="auto"/>
        </w:rPr>
      </w:pPr>
    </w:p>
    <w:p>
      <w:pPr>
        <w:ind w:left="300" w:hanging="298"/>
        <w:spacing w:after="0"/>
        <w:tabs>
          <w:tab w:leader="none" w:pos="3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Classified as a broker dealer in accordance with Regulation 13d-1(b)(1)(ii)(A).</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Exhibit C</w:t>
      </w:r>
    </w:p>
    <w:p>
      <w:pPr>
        <w:spacing w:after="0" w:line="104" w:lineRule="exact"/>
        <w:rPr>
          <w:sz w:val="20"/>
          <w:szCs w:val="20"/>
          <w:color w:val="auto"/>
        </w:rPr>
      </w:pPr>
    </w:p>
    <w:p>
      <w:pPr>
        <w:ind w:right="1559"/>
        <w:spacing w:after="0" w:line="236" w:lineRule="auto"/>
        <w:rPr>
          <w:sz w:val="20"/>
          <w:szCs w:val="20"/>
          <w:color w:val="auto"/>
        </w:rPr>
      </w:pPr>
      <w:r>
        <w:rPr>
          <w:rFonts w:ascii="Arial" w:cs="Arial" w:eastAsia="Arial" w:hAnsi="Arial"/>
          <w:sz w:val="22"/>
          <w:szCs w:val="22"/>
          <w:color w:val="auto"/>
        </w:rPr>
        <w:t>Note. The prior filing of this holding, an Amendment Filing as of December 31, 2009, submitted 1-25-2010 using accession number 0000072971-10-000328, reported incorrect aggregate holding information: the number of aggregate beneficially owned shares reported should have been 1,084,195and the related percent of class should have been 6.66. The prior filing was otherwise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1"/>
    </w:lvl>
    <w:lvl w:ilvl="1">
      <w:lvlJc w:val="left"/>
      <w:lvlText w:val="(%2)"/>
      <w:numFmt w:val="lowerLetter"/>
      <w:start w:val="2"/>
    </w:lvl>
  </w:abstractNum>
  <w:abstractNum w:abstractNumId="3">
    <w:nsid w:val="515F007C"/>
    <w:multiLevelType w:val="hybridMultilevel"/>
    <w:lvl w:ilvl="0">
      <w:lvlJc w:val="left"/>
      <w:lvlText w:val="%1."/>
      <w:numFmt w:val="decimal"/>
      <w:start w:val="2"/>
    </w:lvl>
    <w:lvl w:ilvl="1">
      <w:lvlJc w:val="left"/>
      <w:lvlText w:val="(%2)"/>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1"/>
    </w:lvl>
    <w:lvl w:ilvl="1">
      <w:lvlJc w:val="left"/>
      <w:lvlText w:val="%2."/>
      <w:numFmt w:val="decimal"/>
      <w:start w:val="8"/>
    </w:lvl>
  </w:abstractNum>
  <w:abstractNum w:abstractNumId="6">
    <w:nsid w:val="4DB127F8"/>
    <w:multiLevelType w:val="hybridMultilevel"/>
    <w:lvl w:ilvl="0">
      <w:lvlJc w:val="left"/>
      <w:lvlText w:val="%1."/>
      <w:numFmt w:val="decimal"/>
      <w:start w:val="9"/>
    </w:lvl>
    <w:lvl w:ilvl="1">
      <w:lvlJc w:val="left"/>
      <w:lvlText w:val="%2"/>
      <w:numFmt w:val="decimal"/>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6"/>
    </w:lvl>
  </w:abstractNum>
  <w:abstractNum w:abstractNumId="11">
    <w:nsid w:val="140E0F76"/>
    <w:multiLevelType w:val="hybridMultilevel"/>
    <w:lvl w:ilvl="0">
      <w:lvlJc w:val="left"/>
      <w:lvlText w:val="(%1)"/>
      <w:numFmt w:val="lowerLetter"/>
      <w:start w:val="1"/>
    </w:lvl>
    <w:lvl w:ilvl="1">
      <w:lvlJc w:val="left"/>
      <w:lvlText w:val="(%2)"/>
      <w:numFmt w:val="lowerRoman"/>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2019-12-10T12:24:31Z</dcterms:created>
  <dcterms:modified xsi:type="dcterms:W3CDTF">2019-12-10T12:24:31Z</dcterms:modified>
</cp:coreProperties>
</file>