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19685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0" w:lineRule="exact"/>
        <w:rPr>
          <w:sz w:val="24"/>
          <w:szCs w:val="24"/>
          <w:color w:val="auto"/>
        </w:rPr>
      </w:pPr>
    </w:p>
    <w:p>
      <w:pPr>
        <w:spacing w:after="0" w:line="261" w:lineRule="exact"/>
        <w:rPr>
          <w:sz w:val="24"/>
          <w:szCs w:val="24"/>
          <w:color w:val="auto"/>
        </w:rPr>
      </w:pPr>
    </w:p>
    <w:tbl>
      <w:tblPr>
        <w:tblLayout w:type="fixed"/>
        <w:tblInd w:w="340" w:type="dxa"/>
        <w:tblCellMar>
          <w:top w:w="0" w:type="dxa"/>
          <w:left w:w="0" w:type="dxa"/>
          <w:bottom w:w="0" w:type="dxa"/>
          <w:right w:w="0" w:type="dxa"/>
        </w:tblCellMar>
      </w:tblPr>
      <w:tr>
        <w:trPr>
          <w:trHeight w:val="253"/>
        </w:trPr>
        <w:tc>
          <w:tcPr>
            <w:tcW w:w="3780" w:type="dxa"/>
            <w:vAlign w:val="bottom"/>
          </w:tcPr>
          <w:p>
            <w:pPr>
              <w:jc w:val="center"/>
              <w:ind w:right="566"/>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360" w:type="dxa"/>
            <w:vAlign w:val="bottom"/>
          </w:tcPr>
          <w:p>
            <w:pPr>
              <w:jc w:val="right"/>
              <w:ind w:right="1391"/>
              <w:spacing w:after="0"/>
              <w:rPr>
                <w:sz w:val="20"/>
                <w:szCs w:val="20"/>
                <w:color w:val="auto"/>
              </w:rPr>
            </w:pPr>
            <w:r>
              <w:rPr>
                <w:rFonts w:ascii="Times New Roman" w:cs="Times New Roman" w:eastAsia="Times New Roman" w:hAnsi="Times New Roman"/>
                <w:sz w:val="18"/>
                <w:szCs w:val="18"/>
                <w:b w:val="1"/>
                <w:bCs w:val="1"/>
                <w:color w:val="auto"/>
              </w:rPr>
              <w:t>0-23486</w:t>
            </w:r>
          </w:p>
        </w:tc>
        <w:tc>
          <w:tcPr>
            <w:tcW w:w="3280" w:type="dxa"/>
            <w:vAlign w:val="bottom"/>
          </w:tcPr>
          <w:p>
            <w:pPr>
              <w:jc w:val="right"/>
              <w:ind w:right="705"/>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83"/>
        </w:trPr>
        <w:tc>
          <w:tcPr>
            <w:tcW w:w="3780" w:type="dxa"/>
            <w:vAlign w:val="bottom"/>
          </w:tcPr>
          <w:p>
            <w:pPr>
              <w:jc w:val="center"/>
              <w:ind w:right="506"/>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jc w:val="center"/>
              <w:ind w:left="705"/>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18"/>
                <w:szCs w:val="18"/>
                <w:color w:val="auto"/>
                <w:w w:val="99"/>
              </w:rPr>
              <w:t>IRS Employer Identification No.)</w:t>
            </w:r>
          </w:p>
        </w:tc>
      </w:tr>
      <w:tr>
        <w:trPr>
          <w:trHeight w:val="398"/>
        </w:trPr>
        <w:tc>
          <w:tcPr>
            <w:tcW w:w="3780" w:type="dxa"/>
            <w:vAlign w:val="bottom"/>
          </w:tcPr>
          <w:p>
            <w:pPr>
              <w:jc w:val="center"/>
              <w:ind w:right="506"/>
              <w:spacing w:after="0"/>
              <w:rPr>
                <w:sz w:val="20"/>
                <w:szCs w:val="20"/>
                <w:color w:val="auto"/>
              </w:rPr>
            </w:pPr>
            <w:r>
              <w:rPr>
                <w:rFonts w:ascii="Times New Roman" w:cs="Times New Roman" w:eastAsia="Times New Roman" w:hAnsi="Times New Roman"/>
                <w:sz w:val="18"/>
                <w:szCs w:val="18"/>
                <w:b w:val="1"/>
                <w:bCs w:val="1"/>
                <w:color w:val="auto"/>
                <w:w w:val="99"/>
              </w:rPr>
              <w:t>2000 Waters Edge Drive</w:t>
            </w:r>
          </w:p>
        </w:tc>
        <w:tc>
          <w:tcPr>
            <w:tcW w:w="3360" w:type="dxa"/>
            <w:vAlign w:val="bottom"/>
          </w:tcPr>
          <w:p>
            <w:pPr>
              <w:spacing w:after="0"/>
              <w:rPr>
                <w:sz w:val="24"/>
                <w:szCs w:val="24"/>
                <w:color w:val="auto"/>
              </w:rPr>
            </w:pPr>
          </w:p>
        </w:tc>
        <w:tc>
          <w:tcPr>
            <w:tcW w:w="3280" w:type="dxa"/>
            <w:vAlign w:val="bottom"/>
          </w:tcPr>
          <w:p>
            <w:pPr>
              <w:jc w:val="right"/>
              <w:ind w:right="925"/>
              <w:spacing w:after="0"/>
              <w:rPr>
                <w:sz w:val="20"/>
                <w:szCs w:val="20"/>
                <w:color w:val="auto"/>
              </w:rPr>
            </w:pPr>
            <w:r>
              <w:rPr>
                <w:rFonts w:ascii="Times New Roman" w:cs="Times New Roman" w:eastAsia="Times New Roman" w:hAnsi="Times New Roman"/>
                <w:sz w:val="18"/>
                <w:szCs w:val="18"/>
                <w:b w:val="1"/>
                <w:bCs w:val="1"/>
                <w:color w:val="auto"/>
              </w:rPr>
              <w:t>37604</w:t>
            </w:r>
          </w:p>
        </w:tc>
      </w:tr>
      <w:tr>
        <w:trPr>
          <w:trHeight w:val="220"/>
        </w:trPr>
        <w:tc>
          <w:tcPr>
            <w:tcW w:w="3780" w:type="dxa"/>
            <w:vAlign w:val="bottom"/>
          </w:tcPr>
          <w:p>
            <w:pPr>
              <w:jc w:val="center"/>
              <w:ind w:right="546"/>
              <w:spacing w:after="0"/>
              <w:rPr>
                <w:sz w:val="20"/>
                <w:szCs w:val="20"/>
                <w:color w:val="auto"/>
              </w:rPr>
            </w:pPr>
            <w:r>
              <w:rPr>
                <w:rFonts w:ascii="Times New Roman" w:cs="Times New Roman" w:eastAsia="Times New Roman" w:hAnsi="Times New Roman"/>
                <w:sz w:val="18"/>
                <w:szCs w:val="18"/>
                <w:b w:val="1"/>
                <w:bCs w:val="1"/>
                <w:color w:val="auto"/>
                <w:w w:val="98"/>
              </w:rPr>
              <w:t>Johnson City, Tennessee</w:t>
            </w:r>
          </w:p>
        </w:tc>
        <w:tc>
          <w:tcPr>
            <w:tcW w:w="3360" w:type="dxa"/>
            <w:vAlign w:val="bottom"/>
          </w:tcPr>
          <w:p>
            <w:pPr>
              <w:spacing w:after="0"/>
              <w:rPr>
                <w:sz w:val="19"/>
                <w:szCs w:val="19"/>
                <w:color w:val="auto"/>
              </w:rPr>
            </w:pPr>
          </w:p>
        </w:tc>
        <w:tc>
          <w:tcPr>
            <w:tcW w:w="3280" w:type="dxa"/>
            <w:vAlign w:val="bottom"/>
          </w:tcPr>
          <w:p>
            <w:pPr>
              <w:jc w:val="center"/>
              <w:ind w:left="705"/>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3780" w:type="dxa"/>
            <w:vAlign w:val="bottom"/>
          </w:tcPr>
          <w:p>
            <w:pPr>
              <w:jc w:val="center"/>
              <w:ind w:right="546"/>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 (423) 743-9151</w:t>
      </w:r>
    </w:p>
    <w:p>
      <w:pPr>
        <w:spacing w:after="0" w:line="24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189"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CFT 230.425)</w:t>
      </w:r>
    </w:p>
    <w:p>
      <w:pPr>
        <w:spacing w:after="0" w:line="25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CFT 240.14a-12)</w:t>
      </w:r>
    </w:p>
    <w:p>
      <w:pPr>
        <w:spacing w:after="0" w:line="25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CFT 240.14d-2(b))</w:t>
      </w:r>
    </w:p>
    <w:p>
      <w:pPr>
        <w:spacing w:after="0" w:line="25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CFT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43" w:right="7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Furnished as Exhibit 99.1 is a copy of the earnings release of NN, Inc. reporting results for the quarter ended September 30, 2007, which was issued on November 1, 2007.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ind w:right="520"/>
        <w:spacing w:after="0" w:line="339" w:lineRule="auto"/>
        <w:rPr>
          <w:sz w:val="20"/>
          <w:szCs w:val="20"/>
          <w:color w:val="auto"/>
        </w:rPr>
      </w:pPr>
      <w:r>
        <w:rPr>
          <w:rFonts w:ascii="Times New Roman" w:cs="Times New Roman" w:eastAsia="Times New Roman" w:hAnsi="Times New Roman"/>
          <w:sz w:val="16"/>
          <w:szCs w:val="16"/>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80" w:type="dxa"/>
            <w:vAlign w:val="bottom"/>
          </w:tcPr>
          <w:p>
            <w:pPr>
              <w:spacing w:after="0"/>
              <w:rPr>
                <w:sz w:val="20"/>
                <w:szCs w:val="20"/>
                <w:color w:val="auto"/>
              </w:rPr>
            </w:pPr>
          </w:p>
        </w:tc>
      </w:tr>
      <w:tr>
        <w:trPr>
          <w:trHeight w:val="421"/>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10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Press Release of NN, Inc. dated November 1, 2007</w:t>
            </w:r>
          </w:p>
        </w:tc>
      </w:tr>
      <w:tr>
        <w:trPr>
          <w:trHeight w:val="4494"/>
        </w:trPr>
        <w:tc>
          <w:tcPr>
            <w:tcW w:w="1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8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November 1, 2007</w:t>
      </w:r>
      <w:r>
        <w:rPr>
          <w:sz w:val="20"/>
          <w:szCs w:val="20"/>
          <w:color w:val="auto"/>
        </w:rPr>
        <w:tab/>
      </w:r>
      <w:r>
        <w:rPr>
          <w:rFonts w:ascii="Times New Roman" w:cs="Times New Roman" w:eastAsia="Times New Roman" w:hAnsi="Times New Roman"/>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William C. Kelly, Jr.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Vice President and Chief Administrative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940"/>
          </w:cols>
          <w:pgMar w:left="240" w:top="603"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72"/>
          <w:szCs w:val="72"/>
          <w:color w:val="auto"/>
        </w:rPr>
        <w:t>news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auto"/>
        </w:rPr>
        <w:t>F I N A N C I A L</w:t>
      </w:r>
    </w:p>
    <w:p>
      <w:pPr>
        <w:spacing w:after="0"/>
        <w:rPr>
          <w:sz w:val="20"/>
          <w:szCs w:val="20"/>
          <w:color w:val="auto"/>
        </w:rPr>
      </w:pPr>
      <w:r>
        <w:rPr>
          <w:rFonts w:ascii="Times New Roman" w:cs="Times New Roman" w:eastAsia="Times New Roman" w:hAnsi="Times New Roman"/>
          <w:sz w:val="36"/>
          <w:szCs w:val="36"/>
          <w:b w:val="1"/>
          <w:bCs w:val="1"/>
          <w:color w:val="auto"/>
        </w:rPr>
        <w:t>RELATIONS BOARD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8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RE: NN, Inc.</w:t>
            </w:r>
          </w:p>
        </w:tc>
      </w:tr>
      <w:tr>
        <w:trPr>
          <w:trHeight w:val="4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8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2000 Waters Edge Drive</w:t>
            </w:r>
          </w:p>
        </w:tc>
      </w:tr>
      <w:tr>
        <w:trPr>
          <w:trHeight w:val="4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8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Johnson City, TN 37604</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 FURTHER INFORMATION:</w:t>
            </w:r>
          </w:p>
        </w:tc>
        <w:tc>
          <w:tcPr>
            <w:tcW w:w="31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66"/>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THE COMPANY</w:t>
            </w:r>
          </w:p>
        </w:tc>
        <w:tc>
          <w:tcPr>
            <w:tcW w:w="660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AT FINANCIAL RELATIONS BOARD</w:t>
            </w:r>
          </w:p>
        </w:tc>
      </w:tr>
      <w:tr>
        <w:trPr>
          <w:trHeight w:val="223"/>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 Kelly</w:t>
            </w:r>
          </w:p>
        </w:tc>
        <w:tc>
          <w:tcPr>
            <w:tcW w:w="31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Marilynn Meek</w:t>
            </w:r>
          </w:p>
        </w:tc>
        <w:tc>
          <w:tcPr>
            <w:tcW w:w="3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Susan Garland</w:t>
            </w:r>
          </w:p>
        </w:tc>
      </w:tr>
      <w:tr>
        <w:trPr>
          <w:trHeight w:val="223"/>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 and Chief Administrative Officer</w:t>
            </w:r>
          </w:p>
        </w:tc>
        <w:tc>
          <w:tcPr>
            <w:tcW w:w="31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(General info)</w:t>
            </w:r>
          </w:p>
        </w:tc>
        <w:tc>
          <w:tcPr>
            <w:tcW w:w="34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(Analyst info)</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(423) 743-9151</w:t>
            </w:r>
          </w:p>
        </w:tc>
        <w:tc>
          <w:tcPr>
            <w:tcW w:w="3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212-827-3773</w:t>
            </w:r>
          </w:p>
        </w:tc>
        <w:tc>
          <w:tcPr>
            <w:tcW w:w="3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212-827-3775</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2007</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REPORTS THIRD QUARTER 2007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include $5.0 million, or $0.30 per Diluted Share, in After-Tax Restructuring and Impairment Costs</w:t>
      </w:r>
    </w:p>
    <w:p>
      <w:pPr>
        <w:spacing w:after="0" w:line="2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Johnson City, Tenn., November 1, 2007 </w:t>
      </w:r>
      <w:r>
        <w:rPr>
          <w:rFonts w:ascii="Times New Roman" w:cs="Times New Roman" w:eastAsia="Times New Roman" w:hAnsi="Times New Roman"/>
          <w:sz w:val="18"/>
          <w:szCs w:val="18"/>
          <w:color w:val="auto"/>
        </w:rPr>
        <w:t>– NN, Inc. (Nasdaq: NNBR) today reported its financial results for the third quarter and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2007. The results include the operations of Whirlaway, which was acquired on December 1, 2006 and certain restructuring and impairment costs.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third quarter of 2007 totaled $99.0 million, an increase of $24.1 million or 32.2%, compared to net sales for the third quarter of 2006 of $74.9 million. The acquisition of Whirlaway contributed $15.6 million of the increase. The balance of the increase was primarily due to continued strong demand, mainly at our European operations of $4.0 million and the positive effect of currency translation of $3.8 million. Net loss for the third quarter of 2007 totaled $3.2 million, or $0.19 per diluted share, compared to net income of $2.6 million, or $0.15 per diluted share for the third quarter of 2006. The 2007 third quarter includes the recording of approximately $5.0 million, or $0.30 per diluted share in after-tax restructuring and impairment costs. Excluding the impact of Whirlaway’s $0.03 per diluted share loss, before restructuring and impairment costs recorded in the quarter, net income for the third quarter of 2007 would have been $2.4 million, or $0.14 per diluted share.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first nine months of 2007 were $314.3 million, an increase of $69.9 million or 28.6%, compared to net sales of $244.4 million for the first nine months of 2006. The acquisition of Whirlaway contributed $50.7 million of the increase. The positive effect of currency translation of $13.1 million and the net of volume increase and unfavorable pricing/mix issues of $6.1 million were also primary contributors to the increase in net sales for the nine month period of 2007. Net loss for the first nine months of 2007 was $11.3 million, or $0.66 per diluted share compared to net income of $11.3 million, or $0.65 per diluted share for the first nine months of 2006. The first nine months of 2007 include the recording of approximately $19.9 million, or $1.17 per diluted share in after-tax restructuring and impairment costs. Excluding the impact of results for Whirlaway’s $0.06 per diluted share loss, before restructuring charges and impairment costs, net income would have been $9.7 million, or $0.57 per diluted share. The first nine months of 2006 included an after-tax gain on the sale of land in Europe of $0.08 per diluted share, offset by an after-tax write-off of unused equipment of $0.04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 w:right="2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As a percentage of net sales, the third quarter of 2007 cost of products sold was 81.1% compared to 78.4% recorded for the prior year period. Cost of products sold as a percentage of sales for the first nine months of 2007 was 80.0% compared to 77.6% for the same prior year period. For both the third quarter and the first nine months of 2007, approximately 50% of the increase of cost of goods sold as a percentage of sales was attributed to the acquisition of our Whirlaway operation. The remainder of the increase was due to inflation and price/mix issues mainly in our European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$8.4 million, or 8.5% of net sales for the third quarter of 2007 compared to $7.2 million or 9.6% of net sales for the third quarter of 2006. The acquisition of Whirlaway accounted for $1.1 million of the increase. For the first nine months of 2007, selling, general and administrative expenses were $27.4 million, or 8.7% of net sales compared to $21.9 million, or 9.0% of net sales for the same period in 2006. The acquisition of Whirlaway accounted for the approximately $3.3 million of the increase and the remainder was due to increased stock option expense, professional fees and currency translation.</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James Dorton, Vice President and Chief Financial Officer commented, “We previously stated in our second quarter earnings release that we would take steps to appropriately adjust our cost structure at our Precision Metal Bearing Components Division. As anticipated most of this restructuring is taking place at the European operations of our Metal Bearing Components Division where we have been adjusting our global precision ball manufacturing to better take advantage of favorable cost structures at our Slovakian and Chinese ball manufacturing facilities. During the second quarter of 2007, we recorded approximately $15.3 million ($14.9 million after tax or $0.87 per diluted share) of non-cash restructuring costs. These costs included the write-down of certain excess production equipment and the impairment of goodwill and other intangible assets to levels supported by our projected cash flows after restructuring.”</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Dorton continued, “At that time we also stated that we anticipated incurring approximately $0.9 million ($0.6 million after-tax, or $0.04 per diluted share) of cash charges for employment and legal expenses associated with this restructuring. During the third quarter, we recorded approximately $1.3 million, or $0.07 per diluted share of cash charges associated with these expenses. Additionally, after further evaluating certain intangible assets recorded in connection with the acquisition of Whirlaway, it was necessary to record the write-down of these intangible assets to their estimated realizable value and therefore recorded an additional non-cash, after-tax charge of $3.7 million or $0.22 per diluted share in restructuring and impairment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Mr. Dorton, Chief Financial Officer, concluded, “On September 13, 2007 we announced that our Board of Directors had authorized a new share repurchase program for the purchase of up to $25.0 million of the Company’s stock in the open market. This new program which will be in effect for one year began on September 13, 2007 and takes the place of the program that expired in September of this year. Under the expired program, we purchased 673,965 shares ($7.4 million) of the Company’s stock. Under the new program, we have purchased 97,371 shares ($1.0 million) of the Company’s stock through the end of September 30, 2007. We anticipate continuing to purchase shares under this program as market conditions and regulations allow.”</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Roderick R. Baty, Chairman and Chief Executive Officer, commented, “In July of this year we announced that we would be revising our original 2007 full year earnings guidance from $0.98 to $1.04 per diluted share to $0.70 to $0.74 per diluted share before restructuring and impairment costs. This revised guidance was due to two main factors: sales weakness in the Metal Components Division (Whirlaway) associated with two pre-build issues with diesel engines and HVAC units and lower than anticipated revenues and profits from our manufacturing facility in China. Although it is difficult to predict the timing regarding more favorable market conditions with respect to both markets, we do anticipate Whirlaway’s revenue in 2008 to return to profitable levels on the basis of new business awards with existing customers.”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Baty continued, “In regards to our operation in China, the reduced earnings are the result of issues related to the timing of revenues. We have been awarded new business for the China operations and expect the majority of the timing issues we have experienced to be resolved late in 2007. Currently, we are in the process of adding incremental capacity in China and obtaining the required customer approvals. Additionally, we are continuing to make progress on the operations side of the business.”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Mr. Baty concluded, “We reconfirm our previously released guidance of $0.70 to $0.74 per diluted share before restructuring and other impairment costs for the full year of 2007. Although we will not provide full year revenue and earnings guidance for 2008 until February of 2008, we are in the final stages of our 2008 Business Plan development. We anticipate good revenue growth in our core Metal Bearing Components Division as well as in our newest Division, Precision Metal Components (Whirlaway).”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$330 million in 2006.</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2006.</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74,870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314,267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shown separately below)</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58,693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impairment costs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(11,272)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17,339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3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338,799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44,952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338,799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342,701</w:t>
            </w:r>
          </w:p>
        </w:tc>
        <w:tc>
          <w:tcPr>
            <w:tcW w:w="0" w:type="dxa"/>
            <w:vAlign w:val="bottom"/>
          </w:tcPr>
          <w:p>
            <w:pPr>
              <w:spacing w:after="0"/>
              <w:rPr>
                <w:sz w:val="1"/>
                <w:szCs w:val="1"/>
                <w:color w:val="auto"/>
              </w:rPr>
            </w:pPr>
          </w:p>
        </w:tc>
      </w:tr>
      <w:tr>
        <w:trPr>
          <w:trHeight w:val="1813"/>
        </w:trPr>
        <w:tc>
          <w:tcPr>
            <w:tcW w:w="20" w:type="dxa"/>
            <w:vAlign w:val="bottom"/>
          </w:tcPr>
          <w:p>
            <w:pPr>
              <w:spacing w:after="0"/>
              <w:rPr>
                <w:sz w:val="24"/>
                <w:szCs w:val="24"/>
                <w:color w:val="auto"/>
              </w:rPr>
            </w:pPr>
          </w:p>
        </w:tc>
        <w:tc>
          <w:tcPr>
            <w:tcW w:w="5840" w:type="dxa"/>
            <w:vAlign w:val="bottom"/>
            <w:tcBorders>
              <w:top w:val="single" w:sz="8" w:color="CCEEFF"/>
              <w:bottom w:val="single" w:sz="8" w:color="808080"/>
            </w:tcBorders>
          </w:tcPr>
          <w:p>
            <w:pPr>
              <w:spacing w:after="0"/>
              <w:rPr>
                <w:sz w:val="24"/>
                <w:szCs w:val="24"/>
                <w:color w:val="auto"/>
              </w:rPr>
            </w:pPr>
          </w:p>
        </w:tc>
        <w:tc>
          <w:tcPr>
            <w:tcW w:w="296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3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2007</w:t>
            </w:r>
          </w:p>
        </w:tc>
        <w:tc>
          <w:tcPr>
            <w:tcW w:w="28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September 30, 2007</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Earnings Per</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Earnings Per</w:t>
            </w: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0" w:type="dxa"/>
            <w:vAlign w:val="bottom"/>
          </w:tcPr>
          <w:p>
            <w:pPr>
              <w:spacing w:after="0"/>
              <w:rPr>
                <w:sz w:val="21"/>
                <w:szCs w:val="21"/>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(3,208)</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(11,272)</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After-tax restructuring and impairment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–tax loss of Whirlaway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excluding restructuring and impairment costs and Whirlaway net loss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9,658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4"/>
        </w:trPr>
        <w:tc>
          <w:tcPr>
            <w:tcW w:w="20" w:type="dxa"/>
            <w:vAlign w:val="bottom"/>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2019-12-11T22:30:30Z</dcterms:created>
  <dcterms:modified xsi:type="dcterms:W3CDTF">2019-12-11T22:30:30Z</dcterms:modified>
</cp:coreProperties>
</file>