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86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864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WIDDERS JAMES R.</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03/16/2017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75"/>
        <w:spacing w:after="0"/>
        <w:rPr>
          <w:sz w:val="20"/>
          <w:szCs w:val="20"/>
          <w:color w:val="auto"/>
        </w:rPr>
      </w:pPr>
      <w:r>
        <w:rPr>
          <w:rFonts w:ascii="Arial" w:cs="Arial" w:eastAsia="Arial" w:hAnsi="Arial"/>
          <w:sz w:val="17"/>
          <w:szCs w:val="17"/>
          <w:color w:val="0000FF"/>
        </w:rPr>
        <w:t>SVP/Integration &amp; Corp.</w:t>
      </w:r>
    </w:p>
    <w:p>
      <w:pPr>
        <w:spacing w:after="0" w:line="333"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60" w:type="dxa"/>
            <w:vAlign w:val="bottom"/>
            <w:gridSpan w:val="7"/>
          </w:tcPr>
          <w:p>
            <w:pPr>
              <w:jc w:val="center"/>
              <w:ind w:right="73"/>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color w:val="0000FF"/>
              </w:rPr>
              <w:t>37604</w:t>
            </w: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7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20" w:type="dxa"/>
            <w:vAlign w:val="bottom"/>
            <w:tcBorders>
              <w:bottom w:val="single" w:sz="8" w:color="2C2C2C"/>
            </w:tcBorders>
            <w:gridSpan w:val="10"/>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2"/>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0" w:type="dxa"/>
            <w:vAlign w:val="bottom"/>
            <w:gridSpan w:val="2"/>
          </w:tcPr>
          <w:p>
            <w:pPr>
              <w:jc w:val="center"/>
              <w:ind w:left="66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5"/>
              </w:rPr>
              <w:t>if any</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03/16/2017</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91"/>
              </w:rPr>
              <w:t>558</w:t>
            </w:r>
          </w:p>
        </w:tc>
        <w:tc>
          <w:tcPr>
            <w:tcW w:w="7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22.55</w:t>
            </w:r>
            <w:r>
              <w:rPr>
                <w:rFonts w:ascii="Arial" w:cs="Arial" w:eastAsia="Arial" w:hAnsi="Arial"/>
                <w:sz w:val="22"/>
                <w:szCs w:val="22"/>
                <w:color w:val="008000"/>
                <w:w w:val="88"/>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27,993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03/17/2017</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91"/>
              </w:rPr>
              <w:t>682</w:t>
            </w:r>
          </w:p>
        </w:tc>
        <w:tc>
          <w:tcPr>
            <w:tcW w:w="7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24.2</w:t>
            </w:r>
            <w:r>
              <w:rPr>
                <w:rFonts w:ascii="Arial" w:cs="Arial" w:eastAsia="Arial" w:hAnsi="Arial"/>
                <w:sz w:val="22"/>
                <w:szCs w:val="22"/>
                <w:color w:val="008000"/>
                <w:w w:val="85"/>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27,311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667"/>
              <w:spacing w:after="0"/>
              <w:rPr>
                <w:sz w:val="20"/>
                <w:szCs w:val="20"/>
                <w:color w:val="auto"/>
              </w:rPr>
            </w:pPr>
            <w:r>
              <w:rPr>
                <w:rFonts w:ascii="Arial" w:cs="Arial" w:eastAsia="Arial" w:hAnsi="Arial"/>
                <w:sz w:val="17"/>
                <w:szCs w:val="17"/>
                <w:color w:val="0000FF"/>
                <w:w w:val="91"/>
              </w:rPr>
              <w:t>03/17/2017</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(2)</w:t>
            </w:r>
          </w:p>
        </w:tc>
        <w:tc>
          <w:tcPr>
            <w:tcW w:w="70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0000FF"/>
                <w:w w:val="93"/>
              </w:rPr>
              <w:t>3,222</w:t>
            </w:r>
          </w:p>
        </w:tc>
        <w:tc>
          <w:tcPr>
            <w:tcW w:w="7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30,533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1"/>
          </w:tcPr>
          <w:p>
            <w:pPr>
              <w:jc w:val="center"/>
              <w:ind w:right="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80" w:type="dxa"/>
            <w:vAlign w:val="bottom"/>
            <w:gridSpan w:val="10"/>
          </w:tcPr>
          <w:p>
            <w:pPr>
              <w:jc w:val="center"/>
              <w:ind w:left="40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60" w:type="dxa"/>
            <w:vAlign w:val="bottom"/>
          </w:tcPr>
          <w:p>
            <w:pPr>
              <w:ind w:left="34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03/17/2017</w:t>
            </w:r>
          </w:p>
        </w:tc>
        <w:tc>
          <w:tcPr>
            <w:tcW w:w="1320" w:type="dxa"/>
            <w:vAlign w:val="bottom"/>
          </w:tcPr>
          <w:p>
            <w:pPr>
              <w:spacing w:after="0"/>
              <w:rPr>
                <w:sz w:val="20"/>
                <w:szCs w:val="20"/>
                <w:color w:val="auto"/>
              </w:rPr>
            </w:pPr>
          </w:p>
        </w:tc>
        <w:tc>
          <w:tcPr>
            <w:tcW w:w="480" w:type="dxa"/>
            <w:vAlign w:val="bottom"/>
          </w:tcPr>
          <w:p>
            <w:pPr>
              <w:ind w:left="180"/>
              <w:spacing w:after="0"/>
              <w:rPr>
                <w:sz w:val="20"/>
                <w:szCs w:val="20"/>
                <w:color w:val="auto"/>
              </w:rPr>
            </w:pPr>
            <w:r>
              <w:rPr>
                <w:rFonts w:ascii="Arial" w:cs="Arial" w:eastAsia="Arial" w:hAnsi="Arial"/>
                <w:sz w:val="13"/>
                <w:szCs w:val="13"/>
                <w:color w:val="0000FF"/>
              </w:rPr>
              <w:t>A</w:t>
            </w:r>
          </w:p>
        </w:tc>
        <w:tc>
          <w:tcPr>
            <w:tcW w:w="42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Arial" w:cs="Arial" w:eastAsia="Arial" w:hAnsi="Arial"/>
                <w:sz w:val="13"/>
                <w:szCs w:val="13"/>
                <w:color w:val="0000FF"/>
              </w:rPr>
              <w:t>2,824</w:t>
            </w:r>
          </w:p>
        </w:tc>
        <w:tc>
          <w:tcPr>
            <w:tcW w:w="320" w:type="dxa"/>
            <w:vAlign w:val="bottom"/>
          </w:tcPr>
          <w:p>
            <w:pPr>
              <w:spacing w:after="0"/>
              <w:rPr>
                <w:sz w:val="20"/>
                <w:szCs w:val="20"/>
                <w:color w:val="auto"/>
              </w:rPr>
            </w:pPr>
          </w:p>
        </w:tc>
        <w:tc>
          <w:tcPr>
            <w:tcW w:w="800" w:type="dxa"/>
            <w:vAlign w:val="bottom"/>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ind w:left="280"/>
              <w:spacing w:after="0"/>
              <w:rPr>
                <w:sz w:val="20"/>
                <w:szCs w:val="20"/>
                <w:color w:val="auto"/>
              </w:rPr>
            </w:pPr>
            <w:r>
              <w:rPr>
                <w:rFonts w:ascii="Arial" w:cs="Arial" w:eastAsia="Arial" w:hAnsi="Arial"/>
                <w:sz w:val="11"/>
                <w:szCs w:val="11"/>
                <w:color w:val="008000"/>
              </w:rPr>
              <w:t>(4)</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2,824</w:t>
            </w:r>
          </w:p>
        </w:tc>
        <w:tc>
          <w:tcPr>
            <w:tcW w:w="16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80"/>
              <w:spacing w:after="0"/>
              <w:rPr>
                <w:sz w:val="20"/>
                <w:szCs w:val="20"/>
                <w:color w:val="auto"/>
              </w:rPr>
            </w:pPr>
            <w:r>
              <w:rPr>
                <w:rFonts w:ascii="Arial" w:cs="Arial" w:eastAsia="Arial" w:hAnsi="Arial"/>
                <w:sz w:val="13"/>
                <w:szCs w:val="13"/>
                <w:color w:val="0000FF"/>
                <w:w w:val="92"/>
              </w:rPr>
              <w:t>2,824</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the amount of shares delivered to satisfy applicable tax withholding obligations in connection with the vesting of shares of restricted stock.</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17, 2018.</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320" w:firstLine="7"/>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is based on the relative total shareholder return ("TSR") of the Issuer, as compared to the TSR of the S&amp;P SmallCap 600 Index over the period beginning on January 1, 2017 and ending December 31, 2019. The performance rights will vest on December 31, 2019 subject to the reporting person's continuous employment through December 31, 2019 and subject to certain conditions as set forth in the Issuer's 2016 Omnibus Incentive Plan. Performance rights granted represent the right to receive the target shares, and actual performance rights earned may be between 50% and 150% of the target shares. Performance rights that do not vest on December 31, 2019 expire automatically.</w:t>
      </w:r>
    </w:p>
    <w:p>
      <w:pPr>
        <w:sectPr>
          <w:pgSz w:w="11900" w:h="16838" w:orient="portrait"/>
          <w:cols w:equalWidth="0" w:num="1">
            <w:col w:w="11520"/>
          </w:cols>
          <w:pgMar w:left="240" w:top="225" w:right="139" w:bottom="1440" w:gutter="0" w:footer="0" w:header="0"/>
          <w:type w:val="continuous"/>
        </w:sectPr>
      </w:pP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0</wp:posOffset>
            </wp:positionV>
            <wp:extent cx="1394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446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51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3"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128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5"/>
          <w:szCs w:val="15"/>
          <w:color w:val="0000FF"/>
        </w:rPr>
        <w:t>03/20/2017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503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8" w:lineRule="exact"/>
        <w:rPr>
          <w:sz w:val="24"/>
          <w:szCs w:val="24"/>
          <w:color w:val="auto"/>
        </w:rPr>
      </w:pPr>
    </w:p>
    <w:p>
      <w:pPr>
        <w:sectPr>
          <w:pgSz w:w="11900" w:h="16838" w:orient="portrait"/>
          <w:cols w:equalWidth="0" w:num="2">
            <w:col w:w="9060" w:space="1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11320"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2019-12-23T15:50:57Z</dcterms:created>
  <dcterms:modified xsi:type="dcterms:W3CDTF">2019-12-23T15:50:57Z</dcterms:modified>
</cp:coreProperties>
</file>