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226060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425450</wp:posOffset>
            </wp:positionV>
            <wp:extent cx="626110"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511"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62-1096725</w:t>
      </w:r>
    </w:p>
    <w:p>
      <w:pPr>
        <w:spacing w:after="0" w:line="12" w:lineRule="exact"/>
        <w:rPr>
          <w:sz w:val="24"/>
          <w:szCs w:val="24"/>
          <w:color w:val="auto"/>
        </w:rPr>
      </w:pPr>
    </w:p>
    <w:p>
      <w:pPr>
        <w:sectPr>
          <w:pgSz w:w="11900" w:h="16838" w:orient="portrait"/>
          <w:cols w:equalWidth="0" w:num="3">
            <w:col w:w="4740" w:space="720"/>
            <w:col w:w="2980" w:space="720"/>
            <w:col w:w="2200"/>
          </w:cols>
          <w:pgMar w:left="240" w:top="511" w:right="29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320"/>
          </w:cols>
          <w:pgMar w:left="240" w:top="511" w:right="299" w:bottom="1440" w:gutter="0" w:footer="0" w:header="0"/>
          <w:type w:val="continuous"/>
        </w:sectPr>
      </w:pPr>
    </w:p>
    <w:p>
      <w:pPr>
        <w:spacing w:after="0" w:line="2"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207 Mockingbird Lane, Johnson City, Tennessee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37604</w:t>
      </w:r>
    </w:p>
    <w:p>
      <w:pPr>
        <w:spacing w:after="0" w:line="43" w:lineRule="exact"/>
        <w:rPr>
          <w:sz w:val="24"/>
          <w:szCs w:val="24"/>
          <w:color w:val="auto"/>
        </w:rPr>
      </w:pPr>
    </w:p>
    <w:p>
      <w:pPr>
        <w:sectPr>
          <w:pgSz w:w="11900" w:h="16838" w:orient="portrait"/>
          <w:cols w:equalWidth="0" w:num="2">
            <w:col w:w="8660" w:space="720"/>
            <w:col w:w="1980"/>
          </w:cols>
          <w:pgMar w:left="240" w:top="511" w:right="299" w:bottom="1440" w:gutter="0" w:footer="0" w:header="0"/>
          <w:type w:val="continuous"/>
        </w:sectPr>
      </w:pPr>
    </w:p>
    <w:p>
      <w:pPr>
        <w:ind w:left="2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8540" w:space="720"/>
            <w:col w:w="2100"/>
          </w:cols>
          <w:pgMar w:left="240" w:top="511" w:right="2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(423) 434-8300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511" w:right="299"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1" w:right="29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CONFLICT MINERALS DISCLOSURE</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For the period of January 1, 2017 through December 31, 2017, NN, Inc. (the “Company”) evaluated the materials used in the products it manufactured and contracted to manufacture to determine whether such products contained a “conflict mineral” necessary to the product’s functionality or production, as defined by and within the meaning of Section 13(p) of the Securities Exchange Act of 1934 and Rule 13p-1 and Form SD promulgated thereunder. The Company conducted this evaluation by implementing existing processes and procedures, which are a part of the Company’s overall compliance program.</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a part of these processes and procedures, the Company first conducted a reasonable, good faith review of the products it manufactured or contracted to manufacture. This review was designed to determine whether conflict minerals are necessary to the functionality or production of the products manufactured by the Company or contracted to be manufactured on its behalf. Employees of the Company or its subsidiaries then contacted suppliers for the Company and its subsidiaries, and requested written or oral representations regarding the conflict minerals in materials they provided, and to the extent present, whether such conflict minerals originated in the Democratic Republic of the Congo (“DRC”) or any country adjoining the DRC (collectively, a “Covered Country”), or came from recycled or scrap sources.</w:t>
      </w:r>
    </w:p>
    <w:p>
      <w:pPr>
        <w:spacing w:after="0" w:line="188"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Based on this review, the Company determined that gold is the only conflict mineral necessary to the functionality or production of the products manufactured by it or contracted to be manufactured on its behalf. The Company has determined, based on written or oral representations received from its suppliers, (i) that it has no reason to believe that gold or any other conflict minerals that might appear in its products originated in any Covered Country, or (ii) that any such conflict minerals originated from recycled or scrap materials.</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accordance with Instruction 3 to Item 1.01 of Form SD, the Company’s evaluation of the materials used in the products it manufactures and contracts to manufacture did not include an evaluation of the materials used in the products manufactured or contracted to manufacture by DRT Medical, LLC, which was acquired by the Company on October 2, 2017.</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copy of this Form SD has been posted to the Investor Relations section of the Company’s website at www.nninc.com.</w:t>
      </w:r>
    </w:p>
    <w:p>
      <w:pPr>
        <w:sectPr>
          <w:pgSz w:w="11900" w:h="16838" w:orient="portrait"/>
          <w:cols w:equalWidth="0" w:num="1">
            <w:col w:w="11400"/>
          </w:cols>
          <w:pgMar w:left="240" w:top="266"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06" w:lineRule="exact"/>
        <w:rPr>
          <w:sz w:val="20"/>
          <w:szCs w:val="20"/>
          <w:color w:val="auto"/>
        </w:rPr>
      </w:pPr>
    </w:p>
    <w:p>
      <w:pPr>
        <w:spacing w:after="0"/>
        <w:tabs>
          <w:tab w:leader="none" w:pos="5980" w:val="left"/>
        </w:tabs>
        <w:rPr>
          <w:sz w:val="20"/>
          <w:szCs w:val="20"/>
          <w:color w:val="auto"/>
        </w:rPr>
      </w:pPr>
      <w:r>
        <w:rPr>
          <w:rFonts w:ascii="Times New Roman" w:cs="Times New Roman" w:eastAsia="Times New Roman" w:hAnsi="Times New Roman"/>
          <w:sz w:val="18"/>
          <w:szCs w:val="18"/>
          <w:color w:val="auto"/>
        </w:rPr>
        <w:t>Date: May 30, 2018</w:t>
      </w:r>
      <w:r>
        <w:rPr>
          <w:sz w:val="20"/>
          <w:szCs w:val="20"/>
          <w:color w:val="auto"/>
        </w:rPr>
        <w:tab/>
      </w:r>
      <w:r>
        <w:rPr>
          <w:rFonts w:ascii="Times New Roman" w:cs="Times New Roman" w:eastAsia="Times New Roman" w:hAnsi="Times New Roman"/>
          <w:sz w:val="17"/>
          <w:szCs w:val="17"/>
          <w:b w:val="1"/>
          <w:bCs w:val="1"/>
          <w:color w:val="auto"/>
        </w:rPr>
        <w:t>NN, INC.</w:t>
      </w:r>
    </w:p>
    <w:p>
      <w:pPr>
        <w:spacing w:after="0" w:line="229"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C. Burwell, Jr.</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49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C. Burwell, Jr.</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President-Chief Financial Officer</w:t>
            </w:r>
          </w:p>
        </w:tc>
      </w:tr>
    </w:tbl>
    <w:p>
      <w:pPr>
        <w:spacing w:after="0" w:line="1" w:lineRule="exact"/>
        <w:rPr>
          <w:sz w:val="20"/>
          <w:szCs w:val="20"/>
          <w:color w:val="auto"/>
        </w:rPr>
      </w:pP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2019-12-06T02:54:02Z</dcterms:created>
  <dcterms:modified xsi:type="dcterms:W3CDTF">2019-12-06T02:54:02Z</dcterms:modified>
</cp:coreProperties>
</file>