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0001560207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283"/>
              <w:jc w:val="left"/>
              <w:rPr/>
            </w:pPr>
            <w:r>
              <w:rPr/>
              <w:t>Name of Issuer</w:t>
            </w:r>
          </w:p>
        </w:tc>
        <w:tc>
          <w:tcPr>
            <w:tcW w:w="4374" w:type="dxa"/>
            <w:tcBorders/>
            <w:vAlign w:val="center"/>
          </w:tcPr>
          <w:p>
            <w:pPr>
              <w:pStyle w:val="TableContents"/>
              <w:bidi w:val="0"/>
              <w:spacing w:before="0" w:after="0"/>
              <w:jc w:val="left"/>
              <w:rPr/>
            </w:pPr>
            <w:r>
              <w:rPr/>
              <w:t>NN INC</w:t>
            </w:r>
          </w:p>
        </w:tc>
      </w:tr>
      <w:tr>
        <w:trPr/>
        <w:tc>
          <w:tcPr>
            <w:tcW w:w="5831" w:type="dxa"/>
            <w:tcBorders/>
            <w:vAlign w:val="center"/>
          </w:tcPr>
          <w:p>
            <w:pPr>
              <w:pStyle w:val="TableContents"/>
              <w:bidi w:val="0"/>
              <w:spacing w:before="0" w:after="283"/>
              <w:jc w:val="left"/>
              <w:rPr/>
            </w:pPr>
            <w:r>
              <w:rPr/>
              <w:t>SEC File Number</w:t>
            </w:r>
          </w:p>
        </w:tc>
        <w:tc>
          <w:tcPr>
            <w:tcW w:w="4374" w:type="dxa"/>
            <w:tcBorders/>
            <w:vAlign w:val="center"/>
          </w:tcPr>
          <w:p>
            <w:pPr>
              <w:pStyle w:val="TableContents"/>
              <w:bidi w:val="0"/>
              <w:spacing w:before="0" w:after="0"/>
              <w:jc w:val="left"/>
              <w:rPr/>
            </w:pPr>
            <w:r>
              <w:rPr/>
              <w:t>001-39268</w:t>
            </w:r>
          </w:p>
        </w:tc>
      </w:tr>
      <w:tr>
        <w:trPr/>
        <w:tc>
          <w:tcPr>
            <w:tcW w:w="5831" w:type="dxa"/>
            <w:tcBorders/>
            <w:vAlign w:val="center"/>
          </w:tcPr>
          <w:p>
            <w:pPr>
              <w:pStyle w:val="TableContents"/>
              <w:bidi w:val="0"/>
              <w:spacing w:before="0" w:after="283"/>
              <w:jc w:val="left"/>
              <w:rPr/>
            </w:pPr>
            <w:r>
              <w:rPr/>
              <w:t>Address of Issuer</w:t>
            </w:r>
          </w:p>
        </w:tc>
        <w:tc>
          <w:tcPr>
            <w:tcW w:w="4374" w:type="dxa"/>
            <w:tcBorders/>
            <w:vAlign w:val="center"/>
          </w:tcPr>
          <w:p>
            <w:pPr>
              <w:pStyle w:val="TableContents"/>
              <w:bidi w:val="0"/>
              <w:spacing w:before="0" w:after="0"/>
              <w:jc w:val="left"/>
              <w:rPr/>
            </w:pPr>
            <w:r>
              <w:rPr/>
              <w:t>6210 ARDREY KELL ROAD</w:t>
              <w:br/>
              <w:t>SUITE 120</w:t>
              <w:br/>
              <w:t>CHARLOTTE</w:t>
              <w:br/>
              <w:t xml:space="preserve">NORTH CAROLINA </w:t>
              <w:br/>
              <w:t>28277</w:t>
            </w:r>
          </w:p>
        </w:tc>
      </w:tr>
      <w:tr>
        <w:trPr/>
        <w:tc>
          <w:tcPr>
            <w:tcW w:w="5831" w:type="dxa"/>
            <w:tcBorders/>
            <w:vAlign w:val="center"/>
          </w:tcPr>
          <w:p>
            <w:pPr>
              <w:pStyle w:val="TableContents"/>
              <w:bidi w:val="0"/>
              <w:spacing w:before="0" w:after="283"/>
              <w:jc w:val="left"/>
              <w:rPr/>
            </w:pPr>
            <w:r>
              <w:rPr/>
              <w:t>Phone</w:t>
            </w:r>
          </w:p>
        </w:tc>
        <w:tc>
          <w:tcPr>
            <w:tcW w:w="4374" w:type="dxa"/>
            <w:tcBorders/>
            <w:vAlign w:val="center"/>
          </w:tcPr>
          <w:p>
            <w:pPr>
              <w:pStyle w:val="TableContents"/>
              <w:bidi w:val="0"/>
              <w:spacing w:before="0" w:after="0"/>
              <w:jc w:val="left"/>
              <w:rPr/>
            </w:pPr>
            <w:r>
              <w:rPr/>
              <w:t>980-264-4300</w:t>
            </w:r>
          </w:p>
        </w:tc>
      </w:tr>
      <w:tr>
        <w:trPr/>
        <w:tc>
          <w:tcPr>
            <w:tcW w:w="5831" w:type="dxa"/>
            <w:tcBorders/>
            <w:vAlign w:val="center"/>
          </w:tcPr>
          <w:p>
            <w:pPr>
              <w:pStyle w:val="TableContents"/>
              <w:bidi w:val="0"/>
              <w:spacing w:before="0" w:after="283"/>
              <w:jc w:val="left"/>
              <w:rPr/>
            </w:pPr>
            <w:r>
              <w:rPr/>
              <w:t>Name of Person for Whose Account the Securities are To Be Sold</w:t>
            </w:r>
          </w:p>
        </w:tc>
        <w:tc>
          <w:tcPr>
            <w:tcW w:w="4374" w:type="dxa"/>
            <w:tcBorders/>
            <w:vAlign w:val="center"/>
          </w:tcPr>
          <w:p>
            <w:pPr>
              <w:pStyle w:val="TableContents"/>
              <w:bidi w:val="0"/>
              <w:spacing w:before="0" w:after="0"/>
              <w:jc w:val="left"/>
              <w:rPr/>
            </w:pPr>
            <w:r>
              <w:rPr/>
              <w:t>Legion Partners Asset Management,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31" w:type="dxa"/>
            <w:tcBorders/>
            <w:vAlign w:val="center"/>
          </w:tcPr>
          <w:p>
            <w:pPr>
              <w:pStyle w:val="TableContents"/>
              <w:bidi w:val="0"/>
              <w:spacing w:before="0" w:after="283"/>
              <w:jc w:val="left"/>
              <w:rPr/>
            </w:pPr>
            <w:r>
              <w:rPr/>
              <w:t>Relationship to Issuer</w:t>
            </w:r>
          </w:p>
        </w:tc>
        <w:tc>
          <w:tcPr>
            <w:tcW w:w="4374" w:type="dxa"/>
            <w:tcBorders/>
            <w:vAlign w:val="center"/>
          </w:tcPr>
          <w:p>
            <w:pPr>
              <w:pStyle w:val="TableContents"/>
              <w:bidi w:val="0"/>
              <w:spacing w:before="0" w:after="0"/>
              <w:jc w:val="left"/>
              <w:rPr/>
            </w:pPr>
            <w:r>
              <w:rPr/>
              <w:t>Affiliate of 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0"/>
        <w:gridCol w:w="1642"/>
        <w:gridCol w:w="1143"/>
        <w:gridCol w:w="1436"/>
        <w:gridCol w:w="1529"/>
        <w:gridCol w:w="1553"/>
        <w:gridCol w:w="1382"/>
      </w:tblGrid>
      <w:tr>
        <w:trPr/>
        <w:tc>
          <w:tcPr>
            <w:tcW w:w="1520" w:type="dxa"/>
            <w:tcBorders/>
            <w:vAlign w:val="center"/>
          </w:tcPr>
          <w:p>
            <w:pPr>
              <w:pStyle w:val="TableHeading"/>
              <w:suppressLineNumbers/>
              <w:bidi w:val="0"/>
              <w:spacing w:before="0" w:after="283"/>
              <w:jc w:val="center"/>
              <w:rPr/>
            </w:pPr>
            <w:r>
              <w:rPr/>
              <w:t>Title of the Class of Securities To Be Sold</w:t>
            </w:r>
          </w:p>
        </w:tc>
        <w:tc>
          <w:tcPr>
            <w:tcW w:w="1642" w:type="dxa"/>
            <w:tcBorders/>
            <w:vAlign w:val="center"/>
          </w:tcPr>
          <w:p>
            <w:pPr>
              <w:pStyle w:val="TableHeading"/>
              <w:suppressLineNumbers/>
              <w:bidi w:val="0"/>
              <w:spacing w:before="0" w:after="283"/>
              <w:jc w:val="center"/>
              <w:rPr/>
            </w:pPr>
            <w:r>
              <w:rPr/>
              <w:t>Name and Address of the Broker</w:t>
            </w:r>
          </w:p>
        </w:tc>
        <w:tc>
          <w:tcPr>
            <w:tcW w:w="1143" w:type="dxa"/>
            <w:tcBorders/>
            <w:vAlign w:val="center"/>
          </w:tcPr>
          <w:p>
            <w:pPr>
              <w:pStyle w:val="TableHeading"/>
              <w:suppressLineNumbers/>
              <w:bidi w:val="0"/>
              <w:spacing w:before="0" w:after="283"/>
              <w:jc w:val="center"/>
              <w:rPr/>
            </w:pPr>
            <w:r>
              <w:rPr/>
              <w:t>Number of Shares or Other Units To Be Sold</w:t>
            </w:r>
          </w:p>
        </w:tc>
        <w:tc>
          <w:tcPr>
            <w:tcW w:w="1436" w:type="dxa"/>
            <w:tcBorders/>
            <w:vAlign w:val="center"/>
          </w:tcPr>
          <w:p>
            <w:pPr>
              <w:pStyle w:val="TableHeading"/>
              <w:suppressLineNumbers/>
              <w:bidi w:val="0"/>
              <w:spacing w:before="0" w:after="283"/>
              <w:jc w:val="center"/>
              <w:rPr/>
            </w:pPr>
            <w:r>
              <w:rPr/>
              <w:t>Aggregate Market Value</w:t>
            </w:r>
          </w:p>
        </w:tc>
        <w:tc>
          <w:tcPr>
            <w:tcW w:w="1529" w:type="dxa"/>
            <w:tcBorders/>
            <w:vAlign w:val="center"/>
          </w:tcPr>
          <w:p>
            <w:pPr>
              <w:pStyle w:val="TableHeading"/>
              <w:suppressLineNumbers/>
              <w:bidi w:val="0"/>
              <w:spacing w:before="0" w:after="283"/>
              <w:jc w:val="center"/>
              <w:rPr/>
            </w:pPr>
            <w:r>
              <w:rPr/>
              <w:t>Number of Shares or Other Units Outstanding</w:t>
            </w:r>
          </w:p>
        </w:tc>
        <w:tc>
          <w:tcPr>
            <w:tcW w:w="1553" w:type="dxa"/>
            <w:tcBorders/>
            <w:vAlign w:val="center"/>
          </w:tcPr>
          <w:p>
            <w:pPr>
              <w:pStyle w:val="TableHeading"/>
              <w:suppressLineNumbers/>
              <w:bidi w:val="0"/>
              <w:spacing w:before="0" w:after="283"/>
              <w:jc w:val="center"/>
              <w:rPr/>
            </w:pPr>
            <w:r>
              <w:rPr/>
              <w:t>Approximate Date of Sale</w:t>
            </w:r>
          </w:p>
        </w:tc>
        <w:tc>
          <w:tcPr>
            <w:tcW w:w="1382" w:type="dxa"/>
            <w:tcBorders/>
            <w:vAlign w:val="center"/>
          </w:tcPr>
          <w:p>
            <w:pPr>
              <w:pStyle w:val="TableHeading"/>
              <w:suppressLineNumbers/>
              <w:bidi w:val="0"/>
              <w:spacing w:before="0" w:after="283"/>
              <w:jc w:val="center"/>
              <w:rPr/>
            </w:pPr>
            <w:r>
              <w:rPr/>
              <w:t>Name the Securities Exchange</w:t>
            </w:r>
          </w:p>
        </w:tc>
      </w:tr>
      <w:tr>
        <w:trPr/>
        <w:tc>
          <w:tcPr>
            <w:tcW w:w="1520" w:type="dxa"/>
            <w:tcBorders/>
            <w:vAlign w:val="center"/>
          </w:tcPr>
          <w:p>
            <w:pPr>
              <w:pStyle w:val="TableContents"/>
              <w:bidi w:val="0"/>
              <w:spacing w:before="0" w:after="283"/>
              <w:jc w:val="left"/>
              <w:rPr/>
            </w:pPr>
            <w:r>
              <w:rPr/>
              <w:t>Common Stock</w:t>
            </w:r>
          </w:p>
        </w:tc>
        <w:tc>
          <w:tcPr>
            <w:tcW w:w="1642" w:type="dxa"/>
            <w:tcBorders/>
            <w:vAlign w:val="center"/>
          </w:tcPr>
          <w:p>
            <w:pPr>
              <w:pStyle w:val="TableContents"/>
              <w:bidi w:val="0"/>
              <w:spacing w:before="0" w:after="0"/>
              <w:jc w:val="left"/>
              <w:rPr/>
            </w:pPr>
            <w:r>
              <w:rPr/>
              <w:t>Tourmaline Partners</w:t>
              <w:br/>
              <w:t>680 Washington Blvd</w:t>
              <w:br/>
              <w:t>10th Floor</w:t>
              <w:br/>
              <w:t>Stamford   CT   06901</w:t>
            </w:r>
          </w:p>
        </w:tc>
        <w:tc>
          <w:tcPr>
            <w:tcW w:w="1143" w:type="dxa"/>
            <w:tcBorders/>
            <w:vAlign w:val="center"/>
          </w:tcPr>
          <w:p>
            <w:pPr>
              <w:pStyle w:val="TableContents"/>
              <w:bidi w:val="0"/>
              <w:spacing w:before="0" w:after="283"/>
              <w:jc w:val="left"/>
              <w:rPr/>
            </w:pPr>
            <w:r>
              <w:rPr/>
              <w:t>432378</w:t>
            </w:r>
          </w:p>
        </w:tc>
        <w:tc>
          <w:tcPr>
            <w:tcW w:w="1436" w:type="dxa"/>
            <w:tcBorders/>
            <w:vAlign w:val="center"/>
          </w:tcPr>
          <w:p>
            <w:pPr>
              <w:pStyle w:val="TableContents"/>
              <w:bidi w:val="0"/>
              <w:spacing w:before="0" w:after="283"/>
              <w:jc w:val="left"/>
              <w:rPr/>
            </w:pPr>
            <w:r>
              <w:rPr/>
              <w:t>1686274.00</w:t>
            </w:r>
          </w:p>
        </w:tc>
        <w:tc>
          <w:tcPr>
            <w:tcW w:w="1529" w:type="dxa"/>
            <w:tcBorders/>
            <w:vAlign w:val="center"/>
          </w:tcPr>
          <w:p>
            <w:pPr>
              <w:pStyle w:val="TableContents"/>
              <w:bidi w:val="0"/>
              <w:spacing w:before="0" w:after="283"/>
              <w:jc w:val="left"/>
              <w:rPr/>
            </w:pPr>
            <w:r>
              <w:rPr/>
              <w:t>82580864</w:t>
            </w:r>
          </w:p>
        </w:tc>
        <w:tc>
          <w:tcPr>
            <w:tcW w:w="1553" w:type="dxa"/>
            <w:tcBorders/>
            <w:vAlign w:val="center"/>
          </w:tcPr>
          <w:p>
            <w:pPr>
              <w:pStyle w:val="TableContents"/>
              <w:bidi w:val="0"/>
              <w:spacing w:before="0" w:after="283"/>
              <w:jc w:val="left"/>
              <w:rPr/>
            </w:pPr>
            <w:r>
              <w:rPr/>
              <w:t>08/06/2026</w:t>
            </w:r>
          </w:p>
        </w:tc>
        <w:tc>
          <w:tcPr>
            <w:tcW w:w="138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09/20/2018</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 Purchase</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24716</w:t>
            </w:r>
          </w:p>
        </w:tc>
        <w:tc>
          <w:tcPr>
            <w:tcW w:w="1078" w:type="dxa"/>
            <w:tcBorders/>
            <w:vAlign w:val="center"/>
          </w:tcPr>
          <w:p>
            <w:pPr>
              <w:pStyle w:val="TableContents"/>
              <w:bidi w:val="0"/>
              <w:spacing w:before="0" w:after="283"/>
              <w:jc w:val="left"/>
              <w:rPr/>
            </w:pPr>
            <w:r>
              <w:rPr/>
              <w:t>09/20/2018</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 xml:space="preserve">Common Stock </w:t>
            </w:r>
          </w:p>
        </w:tc>
        <w:tc>
          <w:tcPr>
            <w:tcW w:w="1135" w:type="dxa"/>
            <w:tcBorders/>
            <w:vAlign w:val="center"/>
          </w:tcPr>
          <w:p>
            <w:pPr>
              <w:pStyle w:val="TableContents"/>
              <w:bidi w:val="0"/>
              <w:spacing w:before="0" w:after="283"/>
              <w:jc w:val="left"/>
              <w:rPr/>
            </w:pPr>
            <w:r>
              <w:rPr/>
              <w:t>08/28/2020</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 Purchase</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37661</w:t>
            </w:r>
          </w:p>
        </w:tc>
        <w:tc>
          <w:tcPr>
            <w:tcW w:w="1078" w:type="dxa"/>
            <w:tcBorders/>
            <w:vAlign w:val="center"/>
          </w:tcPr>
          <w:p>
            <w:pPr>
              <w:pStyle w:val="TableContents"/>
              <w:bidi w:val="0"/>
              <w:spacing w:before="0" w:after="283"/>
              <w:jc w:val="left"/>
              <w:rPr/>
            </w:pPr>
            <w:r>
              <w:rPr/>
              <w:t>08/28/2020</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02/11/2019</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 Purchase</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370001</w:t>
            </w:r>
          </w:p>
        </w:tc>
        <w:tc>
          <w:tcPr>
            <w:tcW w:w="1078" w:type="dxa"/>
            <w:tcBorders/>
            <w:vAlign w:val="center"/>
          </w:tcPr>
          <w:p>
            <w:pPr>
              <w:pStyle w:val="TableContents"/>
              <w:bidi w:val="0"/>
              <w:spacing w:before="0" w:after="283"/>
              <w:jc w:val="left"/>
              <w:rPr/>
            </w:pPr>
            <w:r>
              <w:rPr/>
              <w:t>02/11/2019</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0"/>
        <w:gridCol w:w="2887"/>
        <w:gridCol w:w="934"/>
        <w:gridCol w:w="1548"/>
        <w:gridCol w:w="1666"/>
      </w:tblGrid>
      <w:tr>
        <w:trPr/>
        <w:tc>
          <w:tcPr>
            <w:tcW w:w="3170"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666" w:type="dxa"/>
            <w:tcBorders/>
            <w:vAlign w:val="center"/>
          </w:tcPr>
          <w:p>
            <w:pPr>
              <w:pStyle w:val="TableHeading"/>
              <w:suppressLineNumbers/>
              <w:bidi w:val="0"/>
              <w:spacing w:before="0" w:after="283"/>
              <w:jc w:val="center"/>
              <w:rPr/>
            </w:pPr>
            <w:r>
              <w:rPr/>
              <w:t>Gross Proceeds</w:t>
            </w:r>
          </w:p>
        </w:tc>
      </w:tr>
      <w:tr>
        <w:trPr/>
        <w:tc>
          <w:tcPr>
            <w:tcW w:w="3170" w:type="dxa"/>
            <w:tcBorders/>
            <w:vAlign w:val="center"/>
          </w:tcPr>
          <w:p>
            <w:pPr>
              <w:pStyle w:val="TableContents"/>
              <w:bidi w:val="0"/>
              <w:spacing w:before="0" w:after="283"/>
              <w:jc w:val="left"/>
              <w:rPr/>
            </w:pPr>
            <w:r>
              <w:rPr/>
              <w:t>Legion Partners Special Opportunities, L.P. XI</w:t>
              <w:br/>
              <w:t>12121 Wilshire Blvd, Suite 1240</w:t>
              <w:br/>
              <w:t>Los Angeles   CA   90025</w:t>
            </w:r>
          </w:p>
        </w:tc>
        <w:tc>
          <w:tcPr>
            <w:tcW w:w="2887" w:type="dxa"/>
            <w:tcBorders/>
            <w:vAlign w:val="center"/>
          </w:tcPr>
          <w:p>
            <w:pPr>
              <w:pStyle w:val="TableContents"/>
              <w:bidi w:val="0"/>
              <w:spacing w:before="0" w:after="283"/>
              <w:jc w:val="left"/>
              <w:rPr/>
            </w:pPr>
            <w:r>
              <w:rPr/>
              <w:t>Common Stock</w:t>
            </w:r>
          </w:p>
        </w:tc>
        <w:tc>
          <w:tcPr>
            <w:tcW w:w="934" w:type="dxa"/>
            <w:tcBorders/>
            <w:vAlign w:val="center"/>
          </w:tcPr>
          <w:p>
            <w:pPr>
              <w:pStyle w:val="TableContents"/>
              <w:bidi w:val="0"/>
              <w:spacing w:before="0" w:after="283"/>
              <w:jc w:val="left"/>
              <w:rPr/>
            </w:pPr>
            <w:r>
              <w:rPr/>
              <w:t>05/12/2026</w:t>
            </w:r>
          </w:p>
        </w:tc>
        <w:tc>
          <w:tcPr>
            <w:tcW w:w="1548" w:type="dxa"/>
            <w:tcBorders/>
            <w:vAlign w:val="center"/>
          </w:tcPr>
          <w:p>
            <w:pPr>
              <w:pStyle w:val="TableContents"/>
              <w:bidi w:val="0"/>
              <w:spacing w:before="0" w:after="283"/>
              <w:jc w:val="left"/>
              <w:rPr/>
            </w:pPr>
            <w:r>
              <w:rPr/>
              <w:t>18782</w:t>
            </w:r>
          </w:p>
        </w:tc>
        <w:tc>
          <w:tcPr>
            <w:tcW w:w="1666" w:type="dxa"/>
            <w:tcBorders/>
            <w:vAlign w:val="center"/>
          </w:tcPr>
          <w:p>
            <w:pPr>
              <w:pStyle w:val="TableContents"/>
              <w:bidi w:val="0"/>
              <w:spacing w:before="0" w:after="283"/>
              <w:jc w:val="left"/>
              <w:rPr/>
            </w:pPr>
            <w:r>
              <w:rPr/>
              <w:t>45298.43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00"/>
        <w:gridCol w:w="8905"/>
      </w:tblGrid>
      <w:tr>
        <w:trPr/>
        <w:tc>
          <w:tcPr>
            <w:tcW w:w="1300" w:type="dxa"/>
            <w:tcBorders/>
            <w:vAlign w:val="center"/>
          </w:tcPr>
          <w:p>
            <w:pPr>
              <w:pStyle w:val="TableContents"/>
              <w:bidi w:val="0"/>
              <w:spacing w:before="0" w:after="283"/>
              <w:jc w:val="left"/>
              <w:rPr/>
            </w:pPr>
            <w:r>
              <w:rPr/>
              <w:t>Remarks</w:t>
            </w:r>
          </w:p>
        </w:tc>
        <w:tc>
          <w:tcPr>
            <w:tcW w:w="8905" w:type="dxa"/>
            <w:tcBorders/>
            <w:vAlign w:val="center"/>
          </w:tcPr>
          <w:p>
            <w:pPr>
              <w:pStyle w:val="TableContents"/>
              <w:bidi w:val="0"/>
              <w:spacing w:before="0" w:after="0"/>
              <w:jc w:val="left"/>
              <w:rPr/>
            </w:pPr>
            <w:r>
              <w:rPr/>
              <w:t>The Aggregate Market Value is as of the close of business on 08/05/2026. The number of securities outstanding is as of 08/05/2026. Shares of Common Stock to be sold were purchased by entities managed by Legion Partners Asset Management, LLC between 09/20/2018 and 06/26/2024.</w:t>
            </w:r>
          </w:p>
        </w:tc>
      </w:tr>
      <w:tr>
        <w:trPr/>
        <w:tc>
          <w:tcPr>
            <w:tcW w:w="1300" w:type="dxa"/>
            <w:tcBorders/>
            <w:vAlign w:val="center"/>
          </w:tcPr>
          <w:p>
            <w:pPr>
              <w:pStyle w:val="TableContents"/>
              <w:bidi w:val="0"/>
              <w:spacing w:before="0" w:after="283"/>
              <w:jc w:val="left"/>
              <w:rPr/>
            </w:pPr>
            <w:r>
              <w:rPr/>
              <w:t>Date of Notice</w:t>
            </w:r>
          </w:p>
        </w:tc>
        <w:tc>
          <w:tcPr>
            <w:tcW w:w="8905"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00" w:type="dxa"/>
            <w:tcBorders/>
            <w:vAlign w:val="center"/>
          </w:tcPr>
          <w:p>
            <w:pPr>
              <w:pStyle w:val="TableContents"/>
              <w:bidi w:val="0"/>
              <w:spacing w:before="0" w:after="283"/>
              <w:jc w:val="left"/>
              <w:rPr/>
            </w:pPr>
            <w:r>
              <w:rPr/>
              <w:t>Signature</w:t>
            </w:r>
          </w:p>
        </w:tc>
        <w:tc>
          <w:tcPr>
            <w:tcW w:w="8905" w:type="dxa"/>
            <w:tcBorders/>
            <w:vAlign w:val="center"/>
          </w:tcPr>
          <w:p>
            <w:pPr>
              <w:pStyle w:val="TableContents"/>
              <w:bidi w:val="0"/>
              <w:spacing w:before="0" w:after="0"/>
              <w:jc w:val="left"/>
              <w:rPr/>
            </w:pPr>
            <w:r>
              <w:rPr/>
              <w:t>Raymond T. White, Managing Director of Legion Partners Asset Management, LLC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692</Words>
  <Characters>3563</Characters>
  <CharactersWithSpaces>4182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