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6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NIXON D. GAIL</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40" w:type="dxa"/>
            <w:vAlign w:val="bottom"/>
            <w:tcBorders>
              <w:bottom w:val="single" w:sz="8" w:color="2C2C2C"/>
            </w:tcBorders>
            <w:gridSpan w:val="6"/>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40" w:type="dxa"/>
            <w:vAlign w:val="bottom"/>
            <w:gridSpan w:val="2"/>
          </w:tcPr>
          <w:p>
            <w:pPr>
              <w:jc w:val="center"/>
              <w:ind w:left="6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1,958</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19,168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32"/>
              <w:spacing w:after="0"/>
              <w:rPr>
                <w:sz w:val="20"/>
                <w:szCs w:val="20"/>
                <w:color w:val="auto"/>
              </w:rPr>
            </w:pPr>
            <w:r>
              <w:rPr>
                <w:rFonts w:ascii="Arial" w:cs="Arial" w:eastAsia="Arial" w:hAnsi="Arial"/>
                <w:sz w:val="17"/>
                <w:szCs w:val="17"/>
                <w:color w:val="0000FF"/>
                <w:w w:val="89"/>
              </w:rPr>
              <w:t>1,343</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20,511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87"/>
              <w:spacing w:after="0"/>
              <w:rPr>
                <w:sz w:val="20"/>
                <w:szCs w:val="20"/>
                <w:color w:val="auto"/>
              </w:rPr>
            </w:pPr>
            <w:r>
              <w:rPr>
                <w:rFonts w:ascii="Arial" w:cs="Arial" w:eastAsia="Arial" w:hAnsi="Arial"/>
                <w:sz w:val="17"/>
                <w:szCs w:val="17"/>
                <w:color w:val="0000FF"/>
                <w:w w:val="91"/>
              </w:rPr>
              <w:t>04/30/2018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2"/>
              </w:rPr>
              <w:t>911</w:t>
            </w:r>
            <w:r>
              <w:rPr>
                <w:rFonts w:ascii="Arial" w:cs="Arial" w:eastAsia="Arial" w:hAnsi="Arial"/>
                <w:sz w:val="22"/>
                <w:szCs w:val="22"/>
                <w:color w:val="008000"/>
                <w:w w:val="82"/>
                <w:vertAlign w:val="superscript"/>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19,600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0"/>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04/30/2018</w:t>
            </w:r>
          </w:p>
        </w:tc>
        <w:tc>
          <w:tcPr>
            <w:tcW w:w="13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1,335</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240"/>
              <w:spacing w:after="0"/>
              <w:rPr>
                <w:sz w:val="20"/>
                <w:szCs w:val="20"/>
                <w:color w:val="auto"/>
              </w:rPr>
            </w:pPr>
            <w:r>
              <w:rPr>
                <w:rFonts w:ascii="Arial" w:cs="Arial" w:eastAsia="Arial" w:hAnsi="Arial"/>
                <w:sz w:val="11"/>
                <w:szCs w:val="11"/>
                <w:color w:val="008000"/>
              </w:rPr>
              <w:t>(4)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1,335</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1"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settlement of performance rights that vested on April 30, 2018 based on the return of invested capital of NN, Inc. (the "Issuer") over the performance period beginning February 1, 2015 and ending December 31, 2017.</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 and performance rights.</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represented a contingent right to receive one share of common stock of the Issuer.</w:t>
      </w:r>
    </w:p>
    <w:p>
      <w:pPr>
        <w:spacing w:after="0" w:line="51" w:lineRule="exact"/>
        <w:rPr>
          <w:rFonts w:ascii="Arial" w:cs="Arial" w:eastAsia="Arial" w:hAnsi="Arial"/>
          <w:sz w:val="13"/>
          <w:szCs w:val="13"/>
          <w:color w:val="008000"/>
        </w:rPr>
      </w:pPr>
    </w:p>
    <w:p>
      <w:pPr>
        <w:ind w:left="40" w:right="28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was based on the relative total shareholder return ("TSR") of the Issuer, as compared to the TSR of the S&amp;P SmallCap 600 Index over the period beginning on February 1, 2015 and ending December 31, 2017. The performance rights vested on April 30, 2018. Performance rights granted represented the right to receive the target shares, and actual performance rights earned resulted in a payout of 100.6% of the target shares.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 Human Resources</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05/02/2018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350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2019-12-27T10:04:38Z</dcterms:created>
  <dcterms:modified xsi:type="dcterms:W3CDTF">2019-12-27T10:04:38Z</dcterms:modified>
</cp:coreProperties>
</file>