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1440" w:gutter="0" w:footer="0" w:header="0"/>
        </w:sectPr>
      </w:pPr>
    </w:p>
    <w:p>
      <w:pPr>
        <w:spacing w:after="0" w:line="207"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7, 2000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020" w:space="200"/>
            <w:col w:w="5999"/>
          </w:cols>
          <w:pgMar w:left="240" w:top="447" w:right="1440" w:bottom="1440" w:gutter="0" w:footer="0" w:header="0"/>
          <w:type w:val="continuous"/>
        </w:sectPr>
      </w:pPr>
    </w:p>
    <w:p>
      <w:pPr>
        <w:spacing w:after="0" w:line="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220" w:space="420"/>
            <w:col w:w="5579"/>
          </w:cols>
          <w:pgMar w:left="240" w:top="447" w:right="1440"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On November 7, 2000, the Company issued a press release announcing its third quarter results. A copy of the press release is attached as Exhibit 99.1 hereto and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640" w:right="3359"/>
        <w:spacing w:after="0" w:line="470" w:lineRule="auto"/>
        <w:tabs>
          <w:tab w:leader="none" w:pos="127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November 7, 2000.</w:t>
      </w:r>
    </w:p>
    <w:p>
      <w:pPr>
        <w:spacing w:after="0" w:line="200" w:lineRule="exact"/>
        <w:rPr>
          <w:sz w:val="24"/>
          <w:szCs w:val="24"/>
          <w:color w:val="auto"/>
        </w:rPr>
      </w:pPr>
    </w:p>
    <w:p>
      <w:pPr>
        <w:spacing w:after="0" w:line="21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November 7, 2000</w:t>
      </w:r>
    </w:p>
    <w:p>
      <w:pPr>
        <w:ind w:left="444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William C. Kelly, Jr.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C. Kelly, Jr.,</w:t>
      </w:r>
    </w:p>
    <w:p>
      <w:pPr>
        <w:ind w:left="474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25" w:right="1440" w:bottom="1440" w:gutter="0" w:footer="0" w:header="0"/>
        </w:sectPr>
      </w:pPr>
    </w:p>
    <w:bookmarkStart w:id="2" w:name="page3"/>
    <w:bookmarkEnd w:id="2"/>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NN, INC. REPORTS EPS UP 23%</w:t>
      </w:r>
    </w:p>
    <w:p>
      <w:pPr>
        <w:ind w:left="2860"/>
        <w:spacing w:after="0" w:line="238" w:lineRule="auto"/>
        <w:rPr>
          <w:sz w:val="20"/>
          <w:szCs w:val="20"/>
          <w:color w:val="auto"/>
        </w:rPr>
      </w:pPr>
      <w:r>
        <w:rPr>
          <w:rFonts w:ascii="Courier New" w:cs="Courier New" w:eastAsia="Courier New" w:hAnsi="Courier New"/>
          <w:sz w:val="18"/>
          <w:szCs w:val="18"/>
          <w:color w:val="auto"/>
        </w:rPr>
        <w:t>FOR THE 2000 THIRD QUARTER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Outlook for Year 2000 In Line With Expectations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Johnson City, Tenn. -- November 7, 2000 -- NN, Inc. (Nasdaq: NNBR) today reported its financial results for the third quarter and first nine months ended September 30, 2000. Results for both the 2000 third quarter and first nine months reflect the operations of NN Euroball ApS, a stand-alone joint venture company which was formed on August 1, 2000, as well as the operations of Industrial Molding Corporation (IMC), which was acquired on July 6, 1999 in a transaction using the purchase method of accounting. The Company also noted that its earnings for the same period reflect NN's 30% minority interest in Jiangsu General Ball &amp; Roller, a Chinese joint venture company formed in March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for the third quarter of 2000 were $37,075,000 up 45% compared to</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$25,601,000 for the same period of 1999. Net income increased 26% to $2,443,000, from $1,944,000, for the third quarter of 1999. Earnings per share increased 23% to $0.16 per share versus $0.13 per share for the 1999 third quarter. Of note,</w:t>
      </w:r>
    </w:p>
    <w:p>
      <w:pPr>
        <w:spacing w:after="0" w:line="1" w:lineRule="exact"/>
        <w:rPr>
          <w:sz w:val="20"/>
          <w:szCs w:val="20"/>
          <w:color w:val="auto"/>
        </w:rPr>
      </w:pPr>
    </w:p>
    <w:p>
      <w:pPr>
        <w:ind w:right="241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Euroball Aps contributed earnings per share of $0.03 for the 2000 third quarter.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first nine months of 2000 net sales were $90,720,000, an increase of 49% compared to $60,988,000 for the same period of last year. Net income increased 21% to $6,795,000, or $0.44 per share, from $5,621,000, or $0.37 per share, for the first nine months of 1999.</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Roderick R. Baty, President and Chief Executive Officer, stated, "Over the past eighteen months we have been highly focused on acquiring and integrating profitable businesses that meet the specific criteria we developed in NN's strategic growth plan. Specifically, the criteria requires that a new initiative fit our core competencies, is synergistic to existing business and is accretive to NN. Accordingly, our third quarter earnings reflect not only the improved profitability of our core business but also the accretive contribution of our IMC subsidiary, Jiangsu General Ball &amp; Roller and NN Euroball ApS.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Baty, continued, "The increase in our top line is attributable to continued growth in our core domestic ball and roller operations, up 9.2% to $15.4 million versus the third quarter of 1999, and two months of revenue from Euroball ApS totaling $13.0 million. Euroball's results reflect partial downtime for its three European factories due to the traditional European holiday month of August.</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"During the quarter we were able to achieve profit levels near our historical levels. As a percentage of net sales, the gross profit margin was 30%, versus 29% as achieved in the 1999 third quarter. At the same time, selling, general and administrative expense as a percentage of sales was 8.7%, the same as experienced in the prior year quarter. This was achieved despite increased costs due to our expanded global operations and increased business activity associated with the implementation of our strategic growth plans," added Mr. Baty.</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joint venture in China, Jiangsu General Ball &amp; Roller Company, Ltd., continues to progress as we focus on sales and marketing on a global basis and improving product quality. With respect to NN Euroball ApS, we are focused on initiatives to improve manufacturing 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3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operating efficiencies. Specifically we are working to optimize production mix between facilities, while leveraging our existing capital base.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recently announced the establishment of a joint venture company in Guadalajara, Mexico to manufacture plastic gears and components for office automation equipment and industrial applications. The new venture, NN-Arte, will principally supply Mexican operations of U.S. and international customers and we expect to ship the first product in the first quarter of 2001. The venture, in which NN owns a 51% interest, is the first step in implementing our recently developed strategic growth plan for our plastic business. This plan identified opportunities to expand the plastic platform organically as well as through targeted acquisitions.</w:t>
      </w:r>
    </w:p>
    <w:p>
      <w:pPr>
        <w:spacing w:after="0" w:line="21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"Going forward, we expect NN to continue to generate improving results. For full year 2000, revenues should reach $133 million and earnings per share should be in the range of $0.64 to $0.65 per share, in line with our previous guidance. For 2001, revenues should reach $190 million reflecting a full year contribution</w:t>
      </w:r>
    </w:p>
    <w:p>
      <w:pPr>
        <w:sectPr>
          <w:pgSz w:w="11900" w:h="16838" w:orient="portrait"/>
          <w:cols w:equalWidth="0" w:num="1">
            <w:col w:w="10219"/>
          </w:cols>
          <w:pgMar w:left="240" w:top="339" w:right="1440" w:bottom="0" w:gutter="0" w:footer="0" w:header="0"/>
        </w:sectPr>
      </w:pPr>
    </w:p>
    <w:bookmarkStart w:id="3" w:name="page4"/>
    <w:bookmarkEnd w:id="3"/>
    <w:p>
      <w:pPr>
        <w:ind w:right="1779"/>
        <w:spacing w:after="0" w:line="270" w:lineRule="auto"/>
        <w:rPr>
          <w:sz w:val="20"/>
          <w:szCs w:val="20"/>
          <w:color w:val="auto"/>
        </w:rPr>
      </w:pPr>
      <w:r>
        <w:rPr>
          <w:rFonts w:ascii="Courier New" w:cs="Courier New" w:eastAsia="Courier New" w:hAnsi="Courier New"/>
          <w:sz w:val="16"/>
          <w:szCs w:val="16"/>
          <w:color w:val="auto"/>
        </w:rPr>
        <w:t>from Euroball and organic growth of 5%. This revenue level assumes no further significant devaluation of the Euro relative to the dollar and also takes into account slight volume reductions from the previous year's level due to an anticipated economic slowdown in Europe and the U.S. However, this should be more than offset by increased market penetration by both our ball and roller and plastics businesses. In terms of business mix, Euroball products should account for 45% of total sales, plastic products 20% and our core domestic ball and roller business 35%. At this sales level, the Company estimates 2001 earnings to be between $0.78 and $0.80 per share, reflecting a full year contribution from Euroball and the improved profitability of the plastics business. Additionally, barring other acquisition activity, we anticipate reducing the company's long-term debt roughly $10 million during 2001," concluded Mr. Baty.</w:t>
      </w:r>
    </w:p>
    <w:p>
      <w:pPr>
        <w:spacing w:after="0" w:line="39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 steel balls and rollers to both domestic and international anti-friction bearing manufacturers and had sales of US $85.3 million in 1999.</w:t>
      </w: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For More Information on NN, Inc. at no cost, via facsimile,</w:t>
      </w:r>
    </w:p>
    <w:p>
      <w:pPr>
        <w:jc w:val="center"/>
        <w:ind w:right="1899"/>
        <w:spacing w:after="0" w:line="238" w:lineRule="auto"/>
        <w:rPr>
          <w:sz w:val="20"/>
          <w:szCs w:val="20"/>
          <w:color w:val="auto"/>
        </w:rPr>
      </w:pPr>
      <w:r>
        <w:rPr>
          <w:rFonts w:ascii="Courier New" w:cs="Courier New" w:eastAsia="Courier New" w:hAnsi="Courier New"/>
          <w:sz w:val="18"/>
          <w:szCs w:val="18"/>
          <w:color w:val="auto"/>
        </w:rPr>
        <w:t>please call 1-800-PRO-INFO and enter stock ticker symbol - NNBR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Form 10-Q for the period ended June 30,2000 and the company's Annual Report on 10-K for the fiscal year ended December 31, 1999.</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(Financial Tables Follow)</w:t>
      </w:r>
    </w:p>
    <w:p>
      <w:pPr>
        <w:sectPr>
          <w:pgSz w:w="11900" w:h="16838" w:orient="portrait"/>
          <w:cols w:equalWidth="0" w:num="1">
            <w:col w:w="10219"/>
          </w:cols>
          <w:pgMar w:left="240" w:top="142" w:right="1440" w:bottom="1440" w:gutter="0" w:footer="0" w:header="0"/>
        </w:sectPr>
      </w:pPr>
    </w:p>
    <w:bookmarkStart w:id="4" w:name="page5"/>
    <w:bookmarkEnd w:id="4"/>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NN, Inc.</w:t>
      </w:r>
    </w:p>
    <w:p>
      <w:pPr>
        <w:ind w:left="2540"/>
        <w:spacing w:after="0" w:line="238" w:lineRule="auto"/>
        <w:rPr>
          <w:sz w:val="20"/>
          <w:szCs w:val="20"/>
          <w:color w:val="auto"/>
        </w:rPr>
      </w:pPr>
      <w:r>
        <w:rPr>
          <w:rFonts w:ascii="Courier New" w:cs="Courier New" w:eastAsia="Courier New" w:hAnsi="Courier New"/>
          <w:sz w:val="18"/>
          <w:szCs w:val="18"/>
          <w:color w:val="auto"/>
        </w:rPr>
        <w:t>Condensed Statement of Operations</w:t>
      </w: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5220" w:type="dxa"/>
            <w:vAlign w:val="bottom"/>
            <w:gridSpan w:val="2"/>
          </w:tcPr>
          <w:p>
            <w:pPr>
              <w:ind w:left="3580"/>
              <w:spacing w:after="0" w:line="202"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242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Three Months</w:t>
            </w:r>
          </w:p>
        </w:tc>
        <w:tc>
          <w:tcPr>
            <w:tcW w:w="2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Nine Months</w:t>
            </w:r>
          </w:p>
        </w:tc>
      </w:tr>
      <w:tr>
        <w:trPr>
          <w:trHeight w:val="203"/>
        </w:trPr>
        <w:tc>
          <w:tcPr>
            <w:tcW w:w="402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06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02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$37,075</w:t>
            </w:r>
          </w:p>
        </w:tc>
        <w:tc>
          <w:tcPr>
            <w:tcW w:w="1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$25,601</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$90,720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$60,988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26,103</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18,289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64,414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43,403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10,972</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7,312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17,585</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administration</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3,236</w:t>
            </w:r>
          </w:p>
        </w:tc>
        <w:tc>
          <w:tcPr>
            <w:tcW w:w="16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2,223</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8,017</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4,468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2,535</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1,821</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6,103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involuntary conversion</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1,695</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10,179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involuntary conversion</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(1,695)</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 unconsolidated</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affiliate</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5,240</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3,268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12,266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8,821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651</w:t>
            </w:r>
          </w:p>
        </w:tc>
        <w:tc>
          <w:tcPr>
            <w:tcW w:w="16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247</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1,210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4,589</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3,021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11,056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8,565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1,722</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1,077</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3,837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income of</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$2,443</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$ 1,944</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$ 6,795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5,621</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Other comprehensive income: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(2,100)</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(2,522)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 income</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(2,100)</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(2,522)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343</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$2,335</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$4,273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$ 4,725</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Basic income per common share</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$ 0.16</w:t>
            </w:r>
          </w:p>
        </w:tc>
        <w:tc>
          <w:tcPr>
            <w:tcW w:w="16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$ 0.13</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  0.45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$ 0.37</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15,247</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15,244</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15,247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15,244</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income per common share</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$ 0.16</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$ 0.13</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$ 0.44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$ 0.37</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 outstanding</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15,424</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15,317</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15,434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15,264</w:t>
            </w:r>
          </w:p>
        </w:tc>
      </w:tr>
      <w:tr>
        <w:trPr>
          <w:trHeight w:val="203"/>
        </w:trPr>
        <w:tc>
          <w:tcPr>
            <w:tcW w:w="402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40" w:right="1440" w:bottom="1440" w:gutter="0" w:footer="0" w:header="0"/>
        </w:sectPr>
      </w:pPr>
    </w:p>
    <w:bookmarkStart w:id="5" w:name="page6"/>
    <w:bookmarkEnd w:id="5"/>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NN, Inc.</w:t>
      </w:r>
    </w:p>
    <w:p>
      <w:pPr>
        <w:ind w:left="2500"/>
        <w:spacing w:after="0" w:line="238" w:lineRule="auto"/>
        <w:rPr>
          <w:sz w:val="20"/>
          <w:szCs w:val="20"/>
          <w:color w:val="auto"/>
        </w:rPr>
      </w:pPr>
      <w:r>
        <w:rPr>
          <w:rFonts w:ascii="Courier New" w:cs="Courier New" w:eastAsia="Courier New" w:hAnsi="Courier New"/>
          <w:sz w:val="18"/>
          <w:szCs w:val="18"/>
          <w:color w:val="auto"/>
        </w:rPr>
        <w:t>Condensed Balance Sheet</w:t>
      </w:r>
    </w:p>
    <w:tbl>
      <w:tblPr>
        <w:tblLayout w:type="fixed"/>
        <w:tblInd w:w="180" w:type="dxa"/>
        <w:tblCellMar>
          <w:top w:w="0" w:type="dxa"/>
          <w:left w:w="0" w:type="dxa"/>
          <w:bottom w:w="0" w:type="dxa"/>
          <w:right w:w="0" w:type="dxa"/>
        </w:tblCellMar>
      </w:tblPr>
      <w:tr>
        <w:trPr>
          <w:trHeight w:val="203"/>
        </w:trPr>
        <w:tc>
          <w:tcPr>
            <w:tcW w:w="5160" w:type="dxa"/>
            <w:vAlign w:val="bottom"/>
            <w:gridSpan w:val="2"/>
          </w:tcPr>
          <w:p>
            <w:pPr>
              <w:ind w:left="2740"/>
              <w:spacing w:after="0"/>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17"/>
                <w:szCs w:val="17"/>
                <w:color w:val="auto"/>
              </w:rPr>
            </w:pPr>
          </w:p>
        </w:tc>
      </w:tr>
      <w:tr>
        <w:trPr>
          <w:trHeight w:val="405"/>
        </w:trPr>
        <w:tc>
          <w:tcPr>
            <w:tcW w:w="5160" w:type="dxa"/>
            <w:vAlign w:val="bottom"/>
            <w:gridSpan w:val="2"/>
          </w:tcPr>
          <w:p>
            <w:pPr>
              <w:ind w:left="3580"/>
              <w:spacing w:after="0"/>
              <w:rPr>
                <w:sz w:val="20"/>
                <w:szCs w:val="20"/>
                <w:color w:val="auto"/>
              </w:rPr>
            </w:pPr>
            <w:r>
              <w:rPr>
                <w:rFonts w:ascii="Courier New" w:cs="Courier New" w:eastAsia="Courier New" w:hAnsi="Courier New"/>
                <w:sz w:val="18"/>
                <w:szCs w:val="18"/>
                <w:color w:val="auto"/>
              </w:rPr>
              <w:t>September 30,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84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16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r>
      <w:tr>
        <w:trPr>
          <w:trHeight w:val="203"/>
        </w:trPr>
        <w:tc>
          <w:tcPr>
            <w:tcW w:w="516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40" w:type="dxa"/>
            <w:vAlign w:val="bottom"/>
          </w:tcPr>
          <w:p>
            <w:pPr>
              <w:ind w:left="2320"/>
              <w:spacing w:after="0"/>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$ 8,194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$ 1,409</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34,012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18,183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20,186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13,122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w:t>
            </w:r>
          </w:p>
        </w:tc>
      </w:tr>
      <w:tr>
        <w:trPr>
          <w:trHeight w:val="203"/>
        </w:trPr>
        <w:tc>
          <w:tcPr>
            <w:tcW w:w="38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65,760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33,402</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Property, plant &amp; equipment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82,028</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43,452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23,933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12,779</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unconsolidated affiliate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5,759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735</w:t>
            </w:r>
          </w:p>
        </w:tc>
      </w:tr>
      <w:tr>
        <w:trPr>
          <w:trHeight w:val="203"/>
        </w:trPr>
        <w:tc>
          <w:tcPr>
            <w:tcW w:w="384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$ 179,043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$90,368</w:t>
            </w:r>
          </w:p>
        </w:tc>
      </w:tr>
      <w:tr>
        <w:trPr>
          <w:trHeight w:val="203"/>
        </w:trPr>
        <w:tc>
          <w:tcPr>
            <w:tcW w:w="38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Liabilities and Stockholders' Equity</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$18,637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$ 5,343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pension obligation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5,856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wages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4,333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875</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3,696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2,301</w:t>
            </w:r>
          </w:p>
        </w:tc>
      </w:tr>
      <w:tr>
        <w:trPr>
          <w:trHeight w:val="203"/>
        </w:trPr>
        <w:tc>
          <w:tcPr>
            <w:tcW w:w="38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34,787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10,478</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3,047</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2,611</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consolidated</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30,024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50,427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17,151</w:t>
            </w:r>
          </w:p>
        </w:tc>
      </w:tr>
      <w:tr>
        <w:trPr>
          <w:trHeight w:val="203"/>
        </w:trPr>
        <w:tc>
          <w:tcPr>
            <w:tcW w:w="38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118,285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30,240</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60,758</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60,128</w:t>
            </w:r>
          </w:p>
        </w:tc>
      </w:tr>
      <w:tr>
        <w:trPr>
          <w:trHeight w:val="203"/>
        </w:trPr>
        <w:tc>
          <w:tcPr>
            <w:tcW w:w="38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$179,043</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$90,368</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2019-12-14T02:36:08Z</dcterms:created>
  <dcterms:modified xsi:type="dcterms:W3CDTF">2019-12-14T02:36:08Z</dcterms:modified>
</cp:coreProperties>
</file>