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28" w:lineRule="exact"/>
        <w:rPr>
          <w:sz w:val="24"/>
          <w:szCs w:val="24"/>
          <w:color w:val="auto"/>
        </w:rPr>
      </w:pPr>
    </w:p>
    <w:p>
      <w:pPr>
        <w:jc w:val="center"/>
        <w:ind w:right="-239"/>
        <w:spacing w:after="0"/>
        <w:rPr>
          <w:sz w:val="20"/>
          <w:szCs w:val="20"/>
          <w:color w:val="auto"/>
        </w:rPr>
      </w:pPr>
      <w:r>
        <w:rPr>
          <w:rFonts w:ascii="Arial" w:cs="Arial" w:eastAsia="Arial" w:hAnsi="Arial"/>
          <w:sz w:val="24"/>
          <w:szCs w:val="24"/>
          <w:color w:val="auto"/>
        </w:rPr>
        <w:t>SECURITIES AND EXCHANGE COMMISSION</w:t>
      </w:r>
    </w:p>
    <w:p>
      <w:pPr>
        <w:spacing w:after="0" w:line="5"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Washington, DC 20549</w:t>
      </w:r>
    </w:p>
    <w:p>
      <w:pPr>
        <w:spacing w:after="0" w:line="200" w:lineRule="exact"/>
        <w:rPr>
          <w:sz w:val="24"/>
          <w:szCs w:val="24"/>
          <w:color w:val="auto"/>
        </w:rPr>
      </w:pPr>
    </w:p>
    <w:p>
      <w:pPr>
        <w:spacing w:after="0" w:line="233" w:lineRule="exact"/>
        <w:rPr>
          <w:sz w:val="24"/>
          <w:szCs w:val="24"/>
          <w:color w:val="auto"/>
        </w:rPr>
      </w:pPr>
    </w:p>
    <w:p>
      <w:pPr>
        <w:jc w:val="center"/>
        <w:ind w:right="-239"/>
        <w:spacing w:after="0"/>
        <w:rPr>
          <w:sz w:val="20"/>
          <w:szCs w:val="20"/>
          <w:color w:val="auto"/>
        </w:rPr>
      </w:pPr>
      <w:r>
        <w:rPr>
          <w:rFonts w:ascii="Arial" w:cs="Arial" w:eastAsia="Arial" w:hAnsi="Arial"/>
          <w:sz w:val="31"/>
          <w:szCs w:val="31"/>
          <w:b w:val="1"/>
          <w:bCs w:val="1"/>
          <w:color w:val="auto"/>
        </w:rPr>
        <w:t>FORM 8-K</w:t>
      </w:r>
    </w:p>
    <w:p>
      <w:pPr>
        <w:spacing w:after="0" w:line="200" w:lineRule="exact"/>
        <w:rPr>
          <w:sz w:val="24"/>
          <w:szCs w:val="24"/>
          <w:color w:val="auto"/>
        </w:rPr>
      </w:pPr>
    </w:p>
    <w:p>
      <w:pPr>
        <w:spacing w:after="0" w:line="285"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7"/>
          <w:szCs w:val="17"/>
          <w:color w:val="auto"/>
        </w:rPr>
        <w:t>Date of Report (Date of earliest event reported): March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3362325</wp:posOffset>
            </wp:positionH>
            <wp:positionV relativeFrom="paragraph">
              <wp:posOffset>162560</wp:posOffset>
            </wp:positionV>
            <wp:extent cx="541020" cy="532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020" cy="532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239"/>
        <w:spacing w:after="0"/>
        <w:rPr>
          <w:sz w:val="20"/>
          <w:szCs w:val="20"/>
          <w:color w:val="auto"/>
        </w:rPr>
      </w:pPr>
      <w:r>
        <w:rPr>
          <w:rFonts w:ascii="Arial" w:cs="Arial" w:eastAsia="Arial" w:hAnsi="Arial"/>
          <w:sz w:val="41"/>
          <w:szCs w:val="41"/>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374650</wp:posOffset>
            </wp:positionV>
            <wp:extent cx="7268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tbl>
      <w:tblPr>
        <w:tblLayout w:type="fixed"/>
        <w:tblInd w:w="400" w:type="dxa"/>
        <w:tblCellMar>
          <w:top w:w="0" w:type="dxa"/>
          <w:left w:w="0" w:type="dxa"/>
          <w:bottom w:w="0" w:type="dxa"/>
          <w:right w:w="0" w:type="dxa"/>
        </w:tblCellMar>
      </w:tblPr>
      <w:tr>
        <w:trPr>
          <w:trHeight w:val="217"/>
        </w:trPr>
        <w:tc>
          <w:tcPr>
            <w:tcW w:w="3280" w:type="dxa"/>
            <w:vAlign w:val="bottom"/>
          </w:tcPr>
          <w:p>
            <w:pPr>
              <w:spacing w:after="0"/>
              <w:rPr>
                <w:sz w:val="18"/>
                <w:szCs w:val="18"/>
                <w:color w:val="auto"/>
              </w:rPr>
            </w:pPr>
          </w:p>
        </w:tc>
        <w:tc>
          <w:tcPr>
            <w:tcW w:w="4240" w:type="dxa"/>
            <w:vAlign w:val="bottom"/>
          </w:tcPr>
          <w:p>
            <w:pPr>
              <w:jc w:val="center"/>
              <w:ind w:right="74"/>
              <w:spacing w:after="0"/>
              <w:rPr>
                <w:sz w:val="20"/>
                <w:szCs w:val="20"/>
                <w:color w:val="auto"/>
              </w:rPr>
            </w:pPr>
            <w:r>
              <w:rPr>
                <w:rFonts w:ascii="Arial" w:cs="Arial" w:eastAsia="Arial" w:hAnsi="Arial"/>
                <w:sz w:val="17"/>
                <w:szCs w:val="17"/>
                <w:color w:val="auto"/>
                <w:w w:val="91"/>
              </w:rPr>
              <w:t>(Exact name of registrant as specified in its charter)</w:t>
            </w:r>
          </w:p>
        </w:tc>
        <w:tc>
          <w:tcPr>
            <w:tcW w:w="2780" w:type="dxa"/>
            <w:vAlign w:val="bottom"/>
          </w:tcPr>
          <w:p>
            <w:pPr>
              <w:spacing w:after="0"/>
              <w:rPr>
                <w:sz w:val="18"/>
                <w:szCs w:val="18"/>
                <w:color w:val="auto"/>
              </w:rPr>
            </w:pPr>
          </w:p>
        </w:tc>
      </w:tr>
      <w:tr>
        <w:trPr>
          <w:trHeight w:val="660"/>
        </w:trPr>
        <w:tc>
          <w:tcPr>
            <w:tcW w:w="3280" w:type="dxa"/>
            <w:vAlign w:val="bottom"/>
          </w:tcPr>
          <w:p>
            <w:pPr>
              <w:jc w:val="center"/>
              <w:ind w:right="174"/>
              <w:spacing w:after="0"/>
              <w:rPr>
                <w:sz w:val="20"/>
                <w:szCs w:val="20"/>
                <w:color w:val="auto"/>
              </w:rPr>
            </w:pPr>
            <w:r>
              <w:rPr>
                <w:rFonts w:ascii="Arial" w:cs="Arial" w:eastAsia="Arial" w:hAnsi="Arial"/>
                <w:sz w:val="17"/>
                <w:szCs w:val="17"/>
                <w:color w:val="auto"/>
                <w:w w:val="91"/>
              </w:rPr>
              <w:t>Delaware</w:t>
            </w:r>
          </w:p>
        </w:tc>
        <w:tc>
          <w:tcPr>
            <w:tcW w:w="4240" w:type="dxa"/>
            <w:vAlign w:val="bottom"/>
          </w:tcPr>
          <w:p>
            <w:pPr>
              <w:jc w:val="center"/>
              <w:ind w:right="94"/>
              <w:spacing w:after="0"/>
              <w:rPr>
                <w:sz w:val="20"/>
                <w:szCs w:val="20"/>
                <w:color w:val="auto"/>
              </w:rPr>
            </w:pPr>
            <w:r>
              <w:rPr>
                <w:rFonts w:ascii="Arial" w:cs="Arial" w:eastAsia="Arial" w:hAnsi="Arial"/>
                <w:sz w:val="17"/>
                <w:szCs w:val="17"/>
                <w:color w:val="auto"/>
                <w:w w:val="92"/>
              </w:rPr>
              <w:t>0-23486</w:t>
            </w:r>
          </w:p>
        </w:tc>
        <w:tc>
          <w:tcPr>
            <w:tcW w:w="2780" w:type="dxa"/>
            <w:vAlign w:val="bottom"/>
          </w:tcPr>
          <w:p>
            <w:pPr>
              <w:jc w:val="right"/>
              <w:ind w:right="674"/>
              <w:spacing w:after="0"/>
              <w:rPr>
                <w:sz w:val="20"/>
                <w:szCs w:val="20"/>
                <w:color w:val="auto"/>
              </w:rPr>
            </w:pPr>
            <w:r>
              <w:rPr>
                <w:rFonts w:ascii="Arial" w:cs="Arial" w:eastAsia="Arial" w:hAnsi="Arial"/>
                <w:sz w:val="17"/>
                <w:szCs w:val="17"/>
                <w:color w:val="auto"/>
              </w:rPr>
              <w:t>62-1096725</w:t>
            </w:r>
          </w:p>
        </w:tc>
      </w:tr>
      <w:tr>
        <w:trPr>
          <w:trHeight w:val="217"/>
        </w:trPr>
        <w:tc>
          <w:tcPr>
            <w:tcW w:w="3280" w:type="dxa"/>
            <w:vAlign w:val="bottom"/>
          </w:tcPr>
          <w:p>
            <w:pPr>
              <w:jc w:val="center"/>
              <w:ind w:right="174"/>
              <w:spacing w:after="0"/>
              <w:rPr>
                <w:sz w:val="20"/>
                <w:szCs w:val="20"/>
                <w:color w:val="auto"/>
              </w:rPr>
            </w:pPr>
            <w:r>
              <w:rPr>
                <w:rFonts w:ascii="Arial" w:cs="Arial" w:eastAsia="Arial" w:hAnsi="Arial"/>
                <w:sz w:val="17"/>
                <w:szCs w:val="17"/>
                <w:color w:val="auto"/>
                <w:w w:val="93"/>
              </w:rPr>
              <w:t>(State or other jurisdiction of incorporation)</w:t>
            </w:r>
          </w:p>
        </w:tc>
        <w:tc>
          <w:tcPr>
            <w:tcW w:w="4240" w:type="dxa"/>
            <w:vAlign w:val="bottom"/>
          </w:tcPr>
          <w:p>
            <w:pPr>
              <w:jc w:val="center"/>
              <w:ind w:right="94"/>
              <w:spacing w:after="0"/>
              <w:rPr>
                <w:sz w:val="20"/>
                <w:szCs w:val="20"/>
                <w:color w:val="auto"/>
              </w:rPr>
            </w:pPr>
            <w:r>
              <w:rPr>
                <w:rFonts w:ascii="Arial" w:cs="Arial" w:eastAsia="Arial" w:hAnsi="Arial"/>
                <w:sz w:val="17"/>
                <w:szCs w:val="17"/>
                <w:color w:val="auto"/>
                <w:w w:val="93"/>
              </w:rPr>
              <w:t>(Commission File Number)</w:t>
            </w:r>
          </w:p>
        </w:tc>
        <w:tc>
          <w:tcPr>
            <w:tcW w:w="2780" w:type="dxa"/>
            <w:vAlign w:val="bottom"/>
          </w:tcPr>
          <w:p>
            <w:pPr>
              <w:jc w:val="center"/>
              <w:ind w:left="334"/>
              <w:spacing w:after="0"/>
              <w:rPr>
                <w:sz w:val="20"/>
                <w:szCs w:val="20"/>
                <w:color w:val="auto"/>
              </w:rPr>
            </w:pPr>
            <w:r>
              <w:rPr>
                <w:rFonts w:ascii="Arial" w:cs="Arial" w:eastAsia="Arial" w:hAnsi="Arial"/>
                <w:sz w:val="17"/>
                <w:szCs w:val="17"/>
                <w:color w:val="auto"/>
                <w:w w:val="95"/>
              </w:rPr>
              <w:t>(IRS Employer Identification No.)</w:t>
            </w:r>
          </w:p>
        </w:tc>
      </w:tr>
      <w:tr>
        <w:trPr>
          <w:trHeight w:val="402"/>
        </w:trPr>
        <w:tc>
          <w:tcPr>
            <w:tcW w:w="3280" w:type="dxa"/>
            <w:vAlign w:val="bottom"/>
          </w:tcPr>
          <w:p>
            <w:pPr>
              <w:jc w:val="center"/>
              <w:ind w:right="174"/>
              <w:spacing w:after="0"/>
              <w:rPr>
                <w:sz w:val="20"/>
                <w:szCs w:val="20"/>
                <w:color w:val="auto"/>
              </w:rPr>
            </w:pPr>
            <w:r>
              <w:rPr>
                <w:rFonts w:ascii="Arial" w:cs="Arial" w:eastAsia="Arial" w:hAnsi="Arial"/>
                <w:sz w:val="17"/>
                <w:szCs w:val="17"/>
                <w:color w:val="auto"/>
                <w:w w:val="91"/>
              </w:rPr>
              <w:t>2000 Waters Edge Drive</w:t>
            </w:r>
          </w:p>
        </w:tc>
        <w:tc>
          <w:tcPr>
            <w:tcW w:w="42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6"/>
        </w:trPr>
        <w:tc>
          <w:tcPr>
            <w:tcW w:w="3280" w:type="dxa"/>
            <w:vAlign w:val="bottom"/>
          </w:tcPr>
          <w:p>
            <w:pPr>
              <w:jc w:val="center"/>
              <w:ind w:right="194"/>
              <w:spacing w:after="0"/>
              <w:rPr>
                <w:sz w:val="20"/>
                <w:szCs w:val="20"/>
                <w:color w:val="auto"/>
              </w:rPr>
            </w:pPr>
            <w:r>
              <w:rPr>
                <w:rFonts w:ascii="Arial" w:cs="Arial" w:eastAsia="Arial" w:hAnsi="Arial"/>
                <w:sz w:val="17"/>
                <w:szCs w:val="17"/>
                <w:color w:val="auto"/>
                <w:w w:val="87"/>
              </w:rPr>
              <w:t>Johnson City, Tennessee</w:t>
            </w:r>
          </w:p>
        </w:tc>
        <w:tc>
          <w:tcPr>
            <w:tcW w:w="4240" w:type="dxa"/>
            <w:vAlign w:val="bottom"/>
          </w:tcPr>
          <w:p>
            <w:pPr>
              <w:spacing w:after="0"/>
              <w:rPr>
                <w:sz w:val="17"/>
                <w:szCs w:val="17"/>
                <w:color w:val="auto"/>
              </w:rPr>
            </w:pPr>
          </w:p>
        </w:tc>
        <w:tc>
          <w:tcPr>
            <w:tcW w:w="2780" w:type="dxa"/>
            <w:vAlign w:val="bottom"/>
          </w:tcPr>
          <w:p>
            <w:pPr>
              <w:jc w:val="right"/>
              <w:ind w:right="874"/>
              <w:spacing w:after="0"/>
              <w:rPr>
                <w:sz w:val="20"/>
                <w:szCs w:val="20"/>
                <w:color w:val="auto"/>
              </w:rPr>
            </w:pPr>
            <w:r>
              <w:rPr>
                <w:rFonts w:ascii="Arial" w:cs="Arial" w:eastAsia="Arial" w:hAnsi="Arial"/>
                <w:sz w:val="17"/>
                <w:szCs w:val="17"/>
                <w:color w:val="auto"/>
              </w:rPr>
              <w:t>37604</w:t>
            </w:r>
          </w:p>
        </w:tc>
      </w:tr>
      <w:tr>
        <w:trPr>
          <w:trHeight w:val="217"/>
        </w:trPr>
        <w:tc>
          <w:tcPr>
            <w:tcW w:w="3280" w:type="dxa"/>
            <w:vAlign w:val="bottom"/>
          </w:tcPr>
          <w:p>
            <w:pPr>
              <w:jc w:val="center"/>
              <w:ind w:right="174"/>
              <w:spacing w:after="0"/>
              <w:rPr>
                <w:sz w:val="20"/>
                <w:szCs w:val="20"/>
                <w:color w:val="auto"/>
              </w:rPr>
            </w:pPr>
            <w:r>
              <w:rPr>
                <w:rFonts w:ascii="Arial" w:cs="Arial" w:eastAsia="Arial" w:hAnsi="Arial"/>
                <w:sz w:val="17"/>
                <w:szCs w:val="17"/>
                <w:color w:val="auto"/>
                <w:w w:val="94"/>
              </w:rPr>
              <w:t>(Address of principal executive offices)</w:t>
            </w:r>
          </w:p>
        </w:tc>
        <w:tc>
          <w:tcPr>
            <w:tcW w:w="4240" w:type="dxa"/>
            <w:vAlign w:val="bottom"/>
          </w:tcPr>
          <w:p>
            <w:pPr>
              <w:spacing w:after="0"/>
              <w:rPr>
                <w:sz w:val="18"/>
                <w:szCs w:val="18"/>
                <w:color w:val="auto"/>
              </w:rPr>
            </w:pPr>
          </w:p>
        </w:tc>
        <w:tc>
          <w:tcPr>
            <w:tcW w:w="2780" w:type="dxa"/>
            <w:vAlign w:val="bottom"/>
          </w:tcPr>
          <w:p>
            <w:pPr>
              <w:jc w:val="center"/>
              <w:ind w:left="334"/>
              <w:spacing w:after="0"/>
              <w:rPr>
                <w:sz w:val="20"/>
                <w:szCs w:val="20"/>
                <w:color w:val="auto"/>
              </w:rPr>
            </w:pPr>
            <w:r>
              <w:rPr>
                <w:rFonts w:ascii="Arial" w:cs="Arial" w:eastAsia="Arial" w:hAnsi="Arial"/>
                <w:sz w:val="17"/>
                <w:szCs w:val="17"/>
                <w:color w:val="auto"/>
                <w:w w:val="94"/>
              </w:rPr>
              <w:t>(Zip Code)</w:t>
            </w:r>
          </w:p>
        </w:tc>
      </w:tr>
    </w:tbl>
    <w:p>
      <w:pPr>
        <w:spacing w:after="0" w:line="222" w:lineRule="exact"/>
        <w:rPr>
          <w:sz w:val="24"/>
          <w:szCs w:val="24"/>
          <w:color w:val="auto"/>
        </w:rPr>
      </w:pPr>
    </w:p>
    <w:p>
      <w:pPr>
        <w:spacing w:after="0"/>
        <w:rPr>
          <w:sz w:val="20"/>
          <w:szCs w:val="20"/>
          <w:color w:val="auto"/>
        </w:rPr>
      </w:pPr>
      <w:r>
        <w:rPr>
          <w:rFonts w:ascii="Arial" w:cs="Arial" w:eastAsia="Arial" w:hAnsi="Arial"/>
          <w:sz w:val="17"/>
          <w:szCs w:val="17"/>
          <w:color w:val="auto"/>
        </w:rPr>
        <w:t>Registrant's telephone number, including area code: (423)743-9151</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(17CFT 230.425)</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(17CFT 240.14a-12)</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(17CFT 240.14d-2(b))</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1290955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180"/>
          </w:cols>
          <w:pgMar w:left="240" w:top="770" w:right="47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2.02 RESULTS OF OPERATIONS AND FINANCIAL CONDITIONS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Published as Exhibit 99.1 is NN Inc.'s press release dated May 5, 2011 regarding the results for the first quarter ended March 31, 2011.</w:t>
      </w:r>
    </w:p>
    <w:p>
      <w:pPr>
        <w:spacing w:after="0" w:line="23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attached press release includes the following non-GAAP measures: Net income excluding after-tax gain from deconsolidation of bankrupt subsidiary and after-tax foreign currency loss on inter-company loans. These non-GAAP measures are not in accordance with, or an alternative for, generally accepted accounting principles and may be different from non-GAAP measures used by other companies.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and that these measures should only be used to evaluate our results of operations in conjunction with the corresponding GAAP measures.</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Our management uses financial information that does not include (a) after-tax gain from deconsolidation of bankrupt subsidiary and, (b) after-tax foreign currency loss on intercompany loans.</w:t>
      </w:r>
    </w:p>
    <w:p>
      <w:pPr>
        <w:spacing w:after="0" w:line="188"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We use these non-GAAP financial measures in making operating decisions because we believe the measures provide meaningful supplemental information regarding our core operational performance. We use these measures to help make budgeting and spending decisions. Further, these non-GAAP financial measures facilitate management's internal comparisons to our historical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40"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The following exhibit is furnished pursuant to Item 2.02, is not considered "filed" under the Securities Exchange Act of 1934, as amended, and shall not be incorporated into any of the previous or future filings of NN, Inc. under the Securities Act of 1933, as amended, or the Exchange Act.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gridSpan w:val="2"/>
          </w:tcPr>
          <w:p>
            <w:pPr>
              <w:spacing w:after="0"/>
              <w:rPr>
                <w:sz w:val="20"/>
                <w:szCs w:val="20"/>
                <w:color w:val="auto"/>
              </w:rPr>
            </w:pPr>
            <w:r>
              <w:rPr>
                <w:rFonts w:ascii="Arial" w:cs="Arial" w:eastAsia="Arial" w:hAnsi="Arial"/>
                <w:sz w:val="17"/>
                <w:szCs w:val="17"/>
                <w:b w:val="1"/>
                <w:bCs w:val="1"/>
                <w:color w:val="auto"/>
              </w:rPr>
              <w:t>Exhibit</w:t>
            </w:r>
          </w:p>
        </w:tc>
        <w:tc>
          <w:tcPr>
            <w:tcW w:w="10600" w:type="dxa"/>
            <w:vAlign w:val="bottom"/>
            <w:gridSpan w:val="3"/>
          </w:tcPr>
          <w:p>
            <w:pPr>
              <w:ind w:left="220"/>
              <w:spacing w:after="0"/>
              <w:rPr>
                <w:sz w:val="20"/>
                <w:szCs w:val="20"/>
                <w:color w:val="auto"/>
              </w:rPr>
            </w:pPr>
            <w:r>
              <w:rPr>
                <w:rFonts w:ascii="Arial" w:cs="Arial" w:eastAsia="Arial" w:hAnsi="Arial"/>
                <w:sz w:val="17"/>
                <w:szCs w:val="17"/>
                <w:b w:val="1"/>
                <w:bCs w:val="1"/>
                <w:color w:val="auto"/>
              </w:rPr>
              <w:t>Description</w:t>
            </w:r>
          </w:p>
        </w:tc>
      </w:tr>
      <w:tr>
        <w:trPr>
          <w:trHeight w:val="186"/>
        </w:trPr>
        <w:tc>
          <w:tcPr>
            <w:tcW w:w="620" w:type="dxa"/>
            <w:vAlign w:val="bottom"/>
          </w:tcPr>
          <w:p>
            <w:pPr>
              <w:spacing w:after="0" w:line="186" w:lineRule="exact"/>
              <w:rPr>
                <w:sz w:val="20"/>
                <w:szCs w:val="20"/>
                <w:color w:val="auto"/>
              </w:rPr>
            </w:pPr>
            <w:r>
              <w:rPr>
                <w:rFonts w:ascii="Arial" w:cs="Arial" w:eastAsia="Arial" w:hAnsi="Arial"/>
                <w:sz w:val="17"/>
                <w:szCs w:val="17"/>
                <w:b w:val="1"/>
                <w:bCs w:val="1"/>
                <w:color w:val="auto"/>
                <w:w w:val="93"/>
              </w:rPr>
              <w:t>Number</w:t>
            </w:r>
          </w:p>
        </w:tc>
        <w:tc>
          <w:tcPr>
            <w:tcW w:w="200" w:type="dxa"/>
            <w:vAlign w:val="bottom"/>
          </w:tcPr>
          <w:p>
            <w:pPr>
              <w:spacing w:after="0"/>
              <w:rPr>
                <w:sz w:val="16"/>
                <w:szCs w:val="16"/>
                <w:color w:val="auto"/>
              </w:rPr>
            </w:pPr>
          </w:p>
        </w:tc>
        <w:tc>
          <w:tcPr>
            <w:tcW w:w="10600" w:type="dxa"/>
            <w:vAlign w:val="bottom"/>
            <w:gridSpan w:val="3"/>
          </w:tcPr>
          <w:p>
            <w:pPr>
              <w:ind w:left="220"/>
              <w:spacing w:after="0" w:line="186" w:lineRule="exact"/>
              <w:rPr>
                <w:sz w:val="20"/>
                <w:szCs w:val="20"/>
                <w:color w:val="auto"/>
              </w:rPr>
            </w:pPr>
            <w:r>
              <w:rPr>
                <w:rFonts w:ascii="Arial" w:cs="Arial" w:eastAsia="Arial" w:hAnsi="Arial"/>
                <w:sz w:val="17"/>
                <w:szCs w:val="17"/>
                <w:b w:val="1"/>
                <w:bCs w:val="1"/>
                <w:color w:val="auto"/>
              </w:rPr>
              <w:t>of Exhibit</w:t>
            </w:r>
          </w:p>
        </w:tc>
      </w:tr>
      <w:tr>
        <w:trPr>
          <w:trHeight w:val="20"/>
        </w:trPr>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r>
      <w:tr>
        <w:trPr>
          <w:trHeight w:val="224"/>
        </w:trPr>
        <w:tc>
          <w:tcPr>
            <w:tcW w:w="620" w:type="dxa"/>
            <w:vAlign w:val="bottom"/>
          </w:tcPr>
          <w:p>
            <w:pPr>
              <w:jc w:val="right"/>
              <w:ind w:right="194"/>
              <w:spacing w:after="0"/>
              <w:rPr>
                <w:sz w:val="20"/>
                <w:szCs w:val="20"/>
                <w:color w:val="auto"/>
              </w:rPr>
            </w:pPr>
            <w:r>
              <w:rPr>
                <w:rFonts w:ascii="Arial" w:cs="Arial" w:eastAsia="Arial" w:hAnsi="Arial"/>
                <w:sz w:val="17"/>
                <w:szCs w:val="17"/>
                <w:color w:val="auto"/>
                <w:w w:val="96"/>
              </w:rPr>
              <w:t>99.1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380" w:type="dxa"/>
            <w:vAlign w:val="bottom"/>
            <w:gridSpan w:val="2"/>
          </w:tcPr>
          <w:p>
            <w:pPr>
              <w:ind w:left="40"/>
              <w:spacing w:after="0"/>
              <w:rPr>
                <w:sz w:val="20"/>
                <w:szCs w:val="20"/>
                <w:color w:val="auto"/>
              </w:rPr>
            </w:pPr>
            <w:r>
              <w:rPr>
                <w:rFonts w:ascii="Arial" w:cs="Arial" w:eastAsia="Arial" w:hAnsi="Arial"/>
                <w:sz w:val="17"/>
                <w:szCs w:val="17"/>
                <w:color w:val="auto"/>
              </w:rPr>
              <w:t>Press Release of NN, Inc. dated May 5, 2011</w:t>
            </w:r>
          </w:p>
        </w:tc>
      </w:tr>
      <w:tr>
        <w:trPr>
          <w:trHeight w:val="1095"/>
        </w:trPr>
        <w:tc>
          <w:tcPr>
            <w:tcW w:w="6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9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7"/>
          <w:szCs w:val="17"/>
          <w:color w:val="auto"/>
        </w:rPr>
        <w:t>SIGNATURES</w:t>
      </w:r>
    </w:p>
    <w:p>
      <w:pPr>
        <w:spacing w:after="0" w:line="200" w:lineRule="exact"/>
        <w:rPr>
          <w:sz w:val="20"/>
          <w:szCs w:val="20"/>
          <w:color w:val="auto"/>
        </w:rPr>
      </w:pPr>
    </w:p>
    <w:p>
      <w:pPr>
        <w:spacing w:after="0" w:line="276"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NN, INC.</w:t>
      </w:r>
    </w:p>
    <w:p>
      <w:pPr>
        <w:spacing w:after="0" w:line="224"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 May 5, 2010</w:t>
      </w:r>
      <w:r>
        <w:rPr>
          <w:sz w:val="20"/>
          <w:szCs w:val="20"/>
          <w:color w:val="auto"/>
        </w:rPr>
        <w:tab/>
      </w:r>
      <w:r>
        <w:rPr>
          <w:rFonts w:ascii="Arial" w:cs="Arial" w:eastAsia="Arial" w:hAnsi="Arial"/>
          <w:sz w:val="16"/>
          <w:szCs w:val="16"/>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22860</wp:posOffset>
            </wp:positionV>
            <wp:extent cx="253238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32380" cy="1651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Name : William C. Kelly Jr.</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Title: Vice President and Chief Administrative Officer</w:t>
      </w:r>
    </w:p>
    <w:p>
      <w:pPr>
        <w:sectPr>
          <w:pgSz w:w="11900" w:h="16838" w:orient="portrait"/>
          <w:cols w:equalWidth="0" w:num="1">
            <w:col w:w="11360"/>
          </w:cols>
          <w:pgMar w:left="240" w:top="734" w:right="299" w:bottom="1440" w:gutter="0" w:footer="0" w:header="0"/>
        </w:sectPr>
      </w:pPr>
    </w:p>
    <w:bookmarkStart w:id="3" w:name="page4"/>
    <w:bookmarkEnd w:id="3"/>
    <w:p>
      <w:pPr>
        <w:ind w:left="10120"/>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4935220</wp:posOffset>
            </wp:positionH>
            <wp:positionV relativeFrom="paragraph">
              <wp:posOffset>10795</wp:posOffset>
            </wp:positionV>
            <wp:extent cx="2319020" cy="704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19020" cy="7048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715645</wp:posOffset>
            </wp:positionV>
            <wp:extent cx="1466850" cy="499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850" cy="499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RE: NN, Inc.</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2000 Waters Edge Drive</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Johnson City, TN 37604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60" w:type="dxa"/>
            <w:vAlign w:val="bottom"/>
            <w:gridSpan w:val="3"/>
          </w:tcPr>
          <w:p>
            <w:pPr>
              <w:spacing w:after="0"/>
              <w:rPr>
                <w:sz w:val="20"/>
                <w:szCs w:val="20"/>
                <w:color w:val="auto"/>
              </w:rPr>
            </w:pPr>
            <w:r>
              <w:rPr>
                <w:rFonts w:ascii="Arial" w:cs="Arial" w:eastAsia="Arial" w:hAnsi="Arial"/>
                <w:sz w:val="17"/>
                <w:szCs w:val="17"/>
                <w:color w:val="auto"/>
              </w:rPr>
              <w:t>FOR FURTHER INFORMATION:</w:t>
            </w:r>
          </w:p>
        </w:tc>
        <w:tc>
          <w:tcPr>
            <w:tcW w:w="12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634"/>
        </w:trPr>
        <w:tc>
          <w:tcPr>
            <w:tcW w:w="4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7"/>
                <w:szCs w:val="17"/>
                <w:b w:val="1"/>
                <w:bCs w:val="1"/>
                <w:color w:val="auto"/>
              </w:rPr>
              <w:t>AT THE COMPANY</w:t>
            </w:r>
          </w:p>
        </w:tc>
        <w:tc>
          <w:tcPr>
            <w:tcW w:w="4160" w:type="dxa"/>
            <w:vAlign w:val="bottom"/>
            <w:gridSpan w:val="2"/>
          </w:tcPr>
          <w:p>
            <w:pPr>
              <w:ind w:left="1200"/>
              <w:spacing w:after="0"/>
              <w:rPr>
                <w:sz w:val="20"/>
                <w:szCs w:val="20"/>
                <w:color w:val="auto"/>
              </w:rPr>
            </w:pPr>
            <w:r>
              <w:rPr>
                <w:rFonts w:ascii="Arial" w:cs="Arial" w:eastAsia="Arial" w:hAnsi="Arial"/>
                <w:sz w:val="17"/>
                <w:szCs w:val="17"/>
                <w:b w:val="1"/>
                <w:bCs w:val="1"/>
                <w:color w:val="auto"/>
              </w:rPr>
              <w:t>AT FINANCIAL RELATIONS BOARD</w:t>
            </w:r>
          </w:p>
        </w:tc>
      </w:tr>
      <w:tr>
        <w:trPr>
          <w:trHeight w:val="213"/>
        </w:trPr>
        <w:tc>
          <w:tcPr>
            <w:tcW w:w="40" w:type="dxa"/>
            <w:vAlign w:val="bottom"/>
          </w:tcPr>
          <w:p>
            <w:pPr>
              <w:spacing w:after="0"/>
              <w:rPr>
                <w:sz w:val="18"/>
                <w:szCs w:val="18"/>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Will Kelly</w:t>
            </w:r>
          </w:p>
        </w:tc>
        <w:tc>
          <w:tcPr>
            <w:tcW w:w="2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Marilynn Meek</w:t>
            </w:r>
          </w:p>
        </w:tc>
      </w:tr>
      <w:tr>
        <w:trPr>
          <w:trHeight w:val="206"/>
        </w:trPr>
        <w:tc>
          <w:tcPr>
            <w:tcW w:w="4560" w:type="dxa"/>
            <w:vAlign w:val="bottom"/>
            <w:gridSpan w:val="3"/>
          </w:tcPr>
          <w:p>
            <w:pPr>
              <w:ind w:left="40"/>
              <w:spacing w:after="0"/>
              <w:rPr>
                <w:sz w:val="20"/>
                <w:szCs w:val="20"/>
                <w:color w:val="auto"/>
              </w:rPr>
            </w:pPr>
            <w:r>
              <w:rPr>
                <w:rFonts w:ascii="Arial" w:cs="Arial" w:eastAsia="Arial" w:hAnsi="Arial"/>
                <w:sz w:val="17"/>
                <w:szCs w:val="17"/>
                <w:color w:val="auto"/>
              </w:rPr>
              <w:t>Vice President and Chief Administrative Officer</w:t>
            </w:r>
          </w:p>
        </w:tc>
        <w:tc>
          <w:tcPr>
            <w:tcW w:w="4160" w:type="dxa"/>
            <w:vAlign w:val="bottom"/>
            <w:gridSpan w:val="2"/>
          </w:tcPr>
          <w:p>
            <w:pPr>
              <w:ind w:left="1200"/>
              <w:spacing w:after="0"/>
              <w:rPr>
                <w:sz w:val="20"/>
                <w:szCs w:val="20"/>
                <w:color w:val="auto"/>
              </w:rPr>
            </w:pPr>
            <w:r>
              <w:rPr>
                <w:rFonts w:ascii="Arial" w:cs="Arial" w:eastAsia="Arial" w:hAnsi="Arial"/>
                <w:sz w:val="17"/>
                <w:szCs w:val="17"/>
                <w:color w:val="auto"/>
              </w:rPr>
              <w:t>(General info)</w:t>
            </w:r>
          </w:p>
        </w:tc>
      </w:tr>
      <w:tr>
        <w:trPr>
          <w:trHeight w:val="217"/>
        </w:trPr>
        <w:tc>
          <w:tcPr>
            <w:tcW w:w="1600" w:type="dxa"/>
            <w:vAlign w:val="bottom"/>
            <w:gridSpan w:val="2"/>
          </w:tcPr>
          <w:p>
            <w:pPr>
              <w:ind w:left="40"/>
              <w:spacing w:after="0"/>
              <w:rPr>
                <w:sz w:val="20"/>
                <w:szCs w:val="20"/>
                <w:color w:val="auto"/>
              </w:rPr>
            </w:pPr>
            <w:r>
              <w:rPr>
                <w:rFonts w:ascii="Arial" w:cs="Arial" w:eastAsia="Arial" w:hAnsi="Arial"/>
                <w:sz w:val="17"/>
                <w:szCs w:val="17"/>
                <w:color w:val="auto"/>
              </w:rPr>
              <w:t>(423) 743-9151</w:t>
            </w:r>
          </w:p>
        </w:tc>
        <w:tc>
          <w:tcPr>
            <w:tcW w:w="2960" w:type="dxa"/>
            <w:vAlign w:val="bottom"/>
          </w:tcPr>
          <w:p>
            <w:pPr>
              <w:spacing w:after="0"/>
              <w:rPr>
                <w:sz w:val="18"/>
                <w:szCs w:val="18"/>
                <w:color w:val="auto"/>
              </w:rPr>
            </w:pPr>
          </w:p>
        </w:tc>
        <w:tc>
          <w:tcPr>
            <w:tcW w:w="4160" w:type="dxa"/>
            <w:vAlign w:val="bottom"/>
            <w:gridSpan w:val="2"/>
          </w:tcPr>
          <w:p>
            <w:pPr>
              <w:ind w:left="1200"/>
              <w:spacing w:after="0"/>
              <w:rPr>
                <w:sz w:val="20"/>
                <w:szCs w:val="20"/>
                <w:color w:val="auto"/>
              </w:rPr>
            </w:pPr>
            <w:r>
              <w:rPr>
                <w:rFonts w:ascii="Arial" w:cs="Arial" w:eastAsia="Arial" w:hAnsi="Arial"/>
                <w:sz w:val="17"/>
                <w:szCs w:val="17"/>
                <w:color w:val="auto"/>
              </w:rPr>
              <w:t>212-827-3773</w:t>
            </w:r>
          </w:p>
        </w:tc>
      </w:tr>
    </w:tbl>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May 5, 2011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NN, INC. REPORTS RECORD EARNINGS FOR 2011 FIRST QUARTER</w:t>
      </w:r>
    </w:p>
    <w:p>
      <w:pPr>
        <w:spacing w:after="0" w:line="200" w:lineRule="exact"/>
        <w:rPr>
          <w:sz w:val="20"/>
          <w:szCs w:val="20"/>
          <w:color w:val="auto"/>
        </w:rPr>
      </w:pPr>
    </w:p>
    <w:p>
      <w:pPr>
        <w:spacing w:after="0" w:line="250" w:lineRule="exact"/>
        <w:rPr>
          <w:sz w:val="20"/>
          <w:szCs w:val="20"/>
          <w:color w:val="auto"/>
        </w:rPr>
      </w:pPr>
    </w:p>
    <w:p>
      <w:pPr>
        <w:ind w:left="620" w:hanging="126"/>
        <w:spacing w:after="0"/>
        <w:tabs>
          <w:tab w:leader="none" w:pos="62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First quarter revenues up 30.4%, or $26.0 million due to continued strong global demand for Company’s products</w:t>
      </w:r>
    </w:p>
    <w:p>
      <w:pPr>
        <w:spacing w:after="0" w:line="27" w:lineRule="exact"/>
        <w:rPr>
          <w:rFonts w:ascii="Arial" w:cs="Arial" w:eastAsia="Arial" w:hAnsi="Arial"/>
          <w:sz w:val="17"/>
          <w:szCs w:val="17"/>
          <w:b w:val="1"/>
          <w:bCs w:val="1"/>
          <w:color w:val="auto"/>
        </w:rPr>
      </w:pPr>
    </w:p>
    <w:p>
      <w:pPr>
        <w:ind w:left="620" w:hanging="126"/>
        <w:spacing w:after="0" w:line="253" w:lineRule="auto"/>
        <w:tabs>
          <w:tab w:leader="none" w:pos="62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Net income of $5.5 million, or $0.33 per diluted share includes $2.2 million of loss, or $0.13 per diluted share from Whirlaway operation due to start-up costs</w:t>
      </w:r>
    </w:p>
    <w:p>
      <w:pPr>
        <w:ind w:left="620" w:hanging="126"/>
        <w:spacing w:after="0"/>
        <w:tabs>
          <w:tab w:leader="none" w:pos="62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Revenues for full year 2011 now forecasted at $420 million to $425 million</w:t>
      </w:r>
    </w:p>
    <w:p>
      <w:pPr>
        <w:spacing w:after="0" w:line="227"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b w:val="1"/>
          <w:bCs w:val="1"/>
          <w:color w:val="auto"/>
        </w:rPr>
        <w:t xml:space="preserve">Johnson City, Tenn, May 5, 2011 </w:t>
      </w:r>
      <w:r>
        <w:rPr>
          <w:rFonts w:ascii="Arial" w:cs="Arial" w:eastAsia="Arial" w:hAnsi="Arial"/>
          <w:sz w:val="17"/>
          <w:szCs w:val="17"/>
          <w:color w:val="auto"/>
        </w:rPr>
        <w:t>– NN, Inc. (Nasdaq: NNBR) today reported its financial results for the first quarter ended March 31, 2011. Net sales for the first</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2011 rose $26.0 million or 30.4% to $111.3 million, compared to $85.3 million for the same period of 2010. The increase was due primarily to increased demand of approximately $21.4 million for the Company’s products, particularly in the industrial and automotive end markets. Price increases and raw material pass through accounted for another $5.0 million of the increase. This increase was slightly offset by the negative impact of foreign currency exchange of approximately $0.4 million.</w:t>
      </w:r>
    </w:p>
    <w:p>
      <w:pPr>
        <w:spacing w:after="0" w:line="204"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Net income for the first quarter of 2011 of $5.5 million, or $0.33 per diluted share included approximately $2.2 million, or $0.13 per diluted share, in loss associated with start-up costs in four major new programs in our Precision Metal Components segment. Net income from normal operations in the first quarter of 2011 was also $5.5 million, or $0.33 per diluted share, compared to net income from normal operations of $1.3 million, or $0.08 per diluted share for the same period in 2010. Net income from normal operations for the first quarter of 2011 excluded the recording of an after-tax gain from the deconsolidation of our bankrupt German subsidiary of $0.8 million and the recording of after-tax foreign currency losses on intercompany loans of $0.8 million.</w:t>
      </w:r>
    </w:p>
    <w:p>
      <w:pPr>
        <w:spacing w:after="0" w:line="192" w:lineRule="exact"/>
        <w:rPr>
          <w:sz w:val="20"/>
          <w:szCs w:val="20"/>
          <w:color w:val="auto"/>
        </w:rPr>
      </w:pPr>
    </w:p>
    <w:p>
      <w:pPr>
        <w:jc w:val="both"/>
        <w:ind w:right="160"/>
        <w:spacing w:after="0" w:line="266" w:lineRule="auto"/>
        <w:rPr>
          <w:sz w:val="20"/>
          <w:szCs w:val="20"/>
          <w:color w:val="auto"/>
        </w:rPr>
      </w:pPr>
      <w:r>
        <w:rPr>
          <w:rFonts w:ascii="Arial" w:cs="Arial" w:eastAsia="Arial" w:hAnsi="Arial"/>
          <w:sz w:val="17"/>
          <w:szCs w:val="17"/>
          <w:color w:val="auto"/>
        </w:rPr>
        <w:t>James H. Dorton, Senior Vice President and Chief Financial Officer commented, “For the first quarter of 2011, we recorded revenues of $111.3 million, an increase of $26.0 million, or 30.4% over the first quarter of 2010. The strong customer demand for our products that we experienced in 2010 continued into the first quarter of 2011 and currently we expect this strong demand to continue throughout 2011.”</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ind w:right="280"/>
        <w:spacing w:after="0" w:line="283" w:lineRule="auto"/>
        <w:rPr>
          <w:sz w:val="20"/>
          <w:szCs w:val="20"/>
          <w:color w:val="auto"/>
        </w:rPr>
      </w:pPr>
      <w:r>
        <w:rPr>
          <w:rFonts w:ascii="Arial" w:cs="Arial" w:eastAsia="Arial" w:hAnsi="Arial"/>
          <w:sz w:val="16"/>
          <w:szCs w:val="16"/>
          <w:color w:val="auto"/>
        </w:rPr>
        <w:t>Mr. Dorton continued, “As a percentage of net sales, cost of goods sold for the quarter increased slightly to 81.1% from 80.8% for last year’s first quarter. Due to increased revenues and our aggressive cost reduction initiatives, we were able to favorably leverage production efficiencies. However, we also recorded losses related to start-up costs of approximately $2.2 million associated with new programs in our Precision Metal Components segment during the first quarter of 2011. Without the negative effect of these start-up costs, cost of goods sold as a percentage of sales would have been 79.1%.”</w:t>
      </w:r>
    </w:p>
    <w:p>
      <w:pPr>
        <w:spacing w:after="0" w:line="190" w:lineRule="exact"/>
        <w:rPr>
          <w:sz w:val="20"/>
          <w:szCs w:val="20"/>
          <w:color w:val="auto"/>
        </w:rPr>
      </w:pPr>
    </w:p>
    <w:p>
      <w:pPr>
        <w:ind w:right="140"/>
        <w:spacing w:after="0" w:line="294" w:lineRule="auto"/>
        <w:rPr>
          <w:sz w:val="20"/>
          <w:szCs w:val="20"/>
          <w:color w:val="auto"/>
        </w:rPr>
      </w:pPr>
      <w:r>
        <w:rPr>
          <w:rFonts w:ascii="Arial" w:cs="Arial" w:eastAsia="Arial" w:hAnsi="Arial"/>
          <w:sz w:val="15"/>
          <w:szCs w:val="15"/>
          <w:color w:val="auto"/>
        </w:rPr>
        <w:t>“Selling, general and administrative expenses were $8.0 million, or 7.2% of net sales for the first quarter of 2011, compared to $7.9 million, or 9.2% of net sales for the first quarter of 2010. During the quarter, we were successful in keeping our SG&amp;A expenses flat while adding over 30% to the revenue line. This resulted in a</w:t>
      </w:r>
    </w:p>
    <w:p>
      <w:pPr>
        <w:spacing w:after="0" w:line="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2.0% decrease as a percentage of sales in our SG&amp;A expenses, compared to the first quarter of 2010. We will continue to aggressively manage these costs in order to avoid adding permanent increases to our cost structure as sales volumes increase.”</w:t>
      </w:r>
    </w:p>
    <w:p>
      <w:pPr>
        <w:spacing w:after="0" w:line="200"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“Our debt, net of cash, was $87.7 million at March 31, 2011, an increase of $19.9 million over the December 31, 2010 amount of $67.8 million. The increase in net debt for the first quarter is due to an increase in working capital needs from higher accounts receivable levels generated by the increase in sales during the quarter and the timing of collections as well as the timing of the payment of accounts payable balances relative to the end of the year. This situation is typical of past years; we still fully expect to pay down debt while funding our capital projects during the remainder of the year with increased cash flows from operations. As of March 31, 2011, we had spent approximately $3.8 million, or 16.5% of our planned capital budget of $23.0 million for the year.”</w:t>
      </w:r>
    </w:p>
    <w:p>
      <w:pPr>
        <w:spacing w:after="0" w:line="190"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Mr. Dorton concluded, “On January 20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of this year we announced that we were ceasing company manufacturing operations at our German manufacturing facility, Kugelfertigung Eltmann GmbH (“Eltmann”), because the operation had reached a state of statutory bankruptcy. In early April, 2011, the court appointed trustee determined it was not feasible to continue to operate Eltmann and thus sold the production assets to a non-affiliated manufacturing company. With the completion of this sale, we were required to write-off all assets and liabilities of the subsidiary. The deconsolidation resulted in the recording of a non-operating after-tax gain of $0.8 million in the first quarter. We do not expect any further significant impact on the consolidated financial statements. As stated previously, we are not aware of any significant disruption of normal product flow to our customers that were served by Eltmann prior to the bankruptcy filing. Furthermore, we have capacity within our remaining global operations to absorb demand for products that were manufactured at this facility.”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 w:name="page6"/>
    <w:bookmarkEnd w:id="5"/>
    <w:p>
      <w:pPr>
        <w:ind w:right="80"/>
        <w:spacing w:after="0" w:line="302" w:lineRule="auto"/>
        <w:rPr>
          <w:sz w:val="20"/>
          <w:szCs w:val="20"/>
          <w:color w:val="auto"/>
        </w:rPr>
      </w:pPr>
      <w:r>
        <w:rPr>
          <w:rFonts w:ascii="Arial" w:cs="Arial" w:eastAsia="Arial" w:hAnsi="Arial"/>
          <w:sz w:val="15"/>
          <w:szCs w:val="15"/>
          <w:color w:val="auto"/>
        </w:rPr>
        <w:t>Roderick R. Baty, Chairman and Chief Executive Officer commented, “We are pleased with the continued strong customer demand for our products across all of our business units. Levels of customer orders and our forecasts continue to reflect solid incremental revenue growth over 2010. Although we anticipate this strong demand will continue throughout 2011, we will continue to monitor the effect of the natural disaster in Japan on global manufacturing as well as the volatility of oil prices and the potential impact on consumer spending. To date, we have not seen any adverse effect on revenues for our expected second quarter revenues. Further, assuming this strong rate of demand continues, we now expect our revenues for the 2011 total year to be in the range of $420 million to $425 million.”</w:t>
      </w:r>
    </w:p>
    <w:p>
      <w:pPr>
        <w:spacing w:after="0" w:line="180"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“First quarter revenues and earnings for our Metal Bearing Components and Plastic and Rubber business units are well ahead of the fourth quarter levels of 2010, and our total revenues and earnings are running ahead of our expectations. However, above normal start-up costs at Whirlaway adversely affected our profitability in the first quarter resulting in a loss of $2.2 million for this operation. We have significantly reduced the rate of these start-up costs incrementally month over month and expect to have the majority of these issues resolved by the end of the second quarter, returning Whirlaway to profitability in the last half of 2011. Given the overall strength of our core bearing components business and the reduction in start-up costs for the second quarter from Whirlaway, we expect second quarter net income and EPS to be significantly ahead of first quarter results and in line with consensus estimates for the quarter.”</w:t>
      </w:r>
    </w:p>
    <w:p>
      <w:pPr>
        <w:spacing w:after="0" w:line="193"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NN, Inc. manufacturers and supplies high precision metal bearing components, industrial plastic and rubber products and precision metal components to a variety of markets on a global basis. Headquartered in Johnson City, Tennessee, NN has 10 manufacturing plants in the United States, Western Europe, Eastern Europe and China. NN, Inc. had sales of US $365 million in 2010.</w:t>
      </w:r>
    </w:p>
    <w:p>
      <w:pPr>
        <w:spacing w:after="0" w:line="202"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Form 10-K for the fiscal year ended December 31, 2010.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Financial Tables Follow</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6"/>
        </w:trPr>
        <w:tc>
          <w:tcPr>
            <w:tcW w:w="1160" w:type="dxa"/>
            <w:vAlign w:val="bottom"/>
          </w:tcPr>
          <w:p>
            <w:pPr>
              <w:spacing w:after="0"/>
              <w:rPr>
                <w:sz w:val="17"/>
                <w:szCs w:val="17"/>
                <w:color w:val="auto"/>
              </w:rPr>
            </w:pPr>
          </w:p>
        </w:tc>
        <w:tc>
          <w:tcPr>
            <w:tcW w:w="6280" w:type="dxa"/>
            <w:vAlign w:val="bottom"/>
          </w:tcPr>
          <w:p>
            <w:pPr>
              <w:jc w:val="center"/>
              <w:ind w:left="2734"/>
              <w:spacing w:after="0"/>
              <w:rPr>
                <w:sz w:val="20"/>
                <w:szCs w:val="20"/>
                <w:color w:val="auto"/>
              </w:rPr>
            </w:pPr>
            <w:r>
              <w:rPr>
                <w:rFonts w:ascii="Arial" w:cs="Arial" w:eastAsia="Arial" w:hAnsi="Arial"/>
                <w:sz w:val="17"/>
                <w:szCs w:val="17"/>
                <w:b w:val="1"/>
                <w:bCs w:val="1"/>
                <w:color w:val="auto"/>
                <w:w w:val="97"/>
              </w:rPr>
              <w:t>NN, Inc.</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6280" w:type="dxa"/>
            <w:vAlign w:val="bottom"/>
          </w:tcPr>
          <w:p>
            <w:pPr>
              <w:jc w:val="center"/>
              <w:ind w:left="2754"/>
              <w:spacing w:after="0"/>
              <w:rPr>
                <w:sz w:val="20"/>
                <w:szCs w:val="20"/>
                <w:color w:val="auto"/>
              </w:rPr>
            </w:pPr>
            <w:r>
              <w:rPr>
                <w:rFonts w:ascii="Arial" w:cs="Arial" w:eastAsia="Arial" w:hAnsi="Arial"/>
                <w:sz w:val="17"/>
                <w:szCs w:val="17"/>
                <w:b w:val="1"/>
                <w:bCs w:val="1"/>
                <w:color w:val="auto"/>
                <w:w w:val="89"/>
              </w:rPr>
              <w:t>Consolidated Statements of Income</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6280" w:type="dxa"/>
            <w:vAlign w:val="bottom"/>
          </w:tcPr>
          <w:p>
            <w:pPr>
              <w:jc w:val="center"/>
              <w:ind w:left="2734"/>
              <w:spacing w:after="0"/>
              <w:rPr>
                <w:sz w:val="20"/>
                <w:szCs w:val="20"/>
                <w:color w:val="auto"/>
              </w:rPr>
            </w:pPr>
            <w:r>
              <w:rPr>
                <w:rFonts w:ascii="Arial" w:cs="Arial" w:eastAsia="Arial" w:hAnsi="Arial"/>
                <w:sz w:val="17"/>
                <w:szCs w:val="17"/>
                <w:b w:val="1"/>
                <w:bCs w:val="1"/>
                <w:color w:val="auto"/>
                <w:w w:val="89"/>
              </w:rPr>
              <w:t>(In thousands, except per share amounts)</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80" w:type="dxa"/>
            <w:vAlign w:val="bottom"/>
          </w:tcPr>
          <w:p>
            <w:pPr>
              <w:jc w:val="center"/>
              <w:ind w:left="2734"/>
              <w:spacing w:after="0"/>
              <w:rPr>
                <w:sz w:val="20"/>
                <w:szCs w:val="20"/>
                <w:color w:val="auto"/>
              </w:rPr>
            </w:pPr>
            <w:r>
              <w:rPr>
                <w:rFonts w:ascii="Arial" w:cs="Arial" w:eastAsia="Arial" w:hAnsi="Arial"/>
                <w:sz w:val="17"/>
                <w:szCs w:val="17"/>
                <w:b w:val="1"/>
                <w:bCs w:val="1"/>
                <w:color w:val="auto"/>
                <w:w w:val="95"/>
              </w:rPr>
              <w:t>(Unaudited)</w:t>
            </w:r>
          </w:p>
        </w:tc>
        <w:tc>
          <w:tcPr>
            <w:tcW w:w="1820" w:type="dxa"/>
            <w:vAlign w:val="bottom"/>
            <w:gridSpan w:val="4"/>
            <w:vMerge w:val="restart"/>
          </w:tcPr>
          <w:p>
            <w:pPr>
              <w:jc w:val="right"/>
              <w:ind w:right="40"/>
              <w:spacing w:after="0"/>
              <w:rPr>
                <w:sz w:val="20"/>
                <w:szCs w:val="20"/>
                <w:color w:val="auto"/>
              </w:rPr>
            </w:pPr>
            <w:r>
              <w:rPr>
                <w:rFonts w:ascii="Arial" w:cs="Arial" w:eastAsia="Arial" w:hAnsi="Arial"/>
                <w:sz w:val="17"/>
                <w:szCs w:val="17"/>
                <w:b w:val="1"/>
                <w:bCs w:val="1"/>
                <w:color w:val="auto"/>
              </w:rPr>
              <w:t>Three Months Ended</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182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820" w:type="dxa"/>
            <w:vAlign w:val="bottom"/>
            <w:gridSpan w:val="4"/>
          </w:tcPr>
          <w:p>
            <w:pPr>
              <w:jc w:val="right"/>
              <w:ind w:right="600"/>
              <w:spacing w:after="0"/>
              <w:rPr>
                <w:sz w:val="20"/>
                <w:szCs w:val="20"/>
                <w:color w:val="auto"/>
              </w:rPr>
            </w:pPr>
            <w:r>
              <w:rPr>
                <w:rFonts w:ascii="Arial" w:cs="Arial" w:eastAsia="Arial" w:hAnsi="Arial"/>
                <w:sz w:val="17"/>
                <w:szCs w:val="17"/>
                <w:b w:val="1"/>
                <w:bCs w:val="1"/>
                <w:color w:val="auto"/>
              </w:rPr>
              <w:t>March 31,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16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2011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2010</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111,307</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85,340</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Cost of goods sold (exclusive of depreciation shown separately below)</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90,299</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68,916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7,966</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7,890</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4,035</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6,120</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(Gain) loss on disposal of assets</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Gain from deconsolidation of bankrupt facility</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(209)</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Restructuring and impairment charges</w:t>
            </w:r>
          </w:p>
        </w:tc>
        <w:tc>
          <w:tcPr>
            <w:tcW w:w="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569</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Income from operations</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9,217</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1,844</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Interest expense</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1,224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1,728</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Reduction of unamortized debt cost</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1,036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(1,188)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Income before provision for income taxes</w:t>
            </w:r>
          </w:p>
        </w:tc>
        <w:tc>
          <w:tcPr>
            <w:tcW w:w="7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6,957</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1,174</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Net income</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5,507</w:t>
            </w:r>
          </w:p>
        </w:tc>
        <w:tc>
          <w:tcPr>
            <w:tcW w:w="140" w:type="dxa"/>
            <w:vAlign w:val="bottom"/>
          </w:tcPr>
          <w:p>
            <w:pPr>
              <w:spacing w:after="0"/>
              <w:rPr>
                <w:sz w:val="17"/>
                <w:szCs w:val="17"/>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225</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6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Diluted income per common share</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0.33</w:t>
            </w:r>
          </w:p>
        </w:tc>
        <w:tc>
          <w:tcPr>
            <w:tcW w:w="140" w:type="dxa"/>
            <w:vAlign w:val="bottom"/>
          </w:tcPr>
          <w:p>
            <w:pPr>
              <w:spacing w:after="0"/>
              <w:rPr>
                <w:sz w:val="17"/>
                <w:szCs w:val="17"/>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0.01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6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Weighted average diluted shares</w:t>
            </w:r>
          </w:p>
        </w:tc>
        <w:tc>
          <w:tcPr>
            <w:tcW w:w="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16,910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16,405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1"/>
        </w:trPr>
        <w:tc>
          <w:tcPr>
            <w:tcW w:w="7440" w:type="dxa"/>
            <w:vAlign w:val="bottom"/>
            <w:gridSpan w:val="2"/>
          </w:tcPr>
          <w:p>
            <w:pPr>
              <w:jc w:val="center"/>
              <w:ind w:left="3914"/>
              <w:spacing w:after="0"/>
              <w:rPr>
                <w:sz w:val="20"/>
                <w:szCs w:val="20"/>
                <w:color w:val="auto"/>
              </w:rPr>
            </w:pPr>
            <w:r>
              <w:rPr>
                <w:rFonts w:ascii="Arial" w:cs="Arial" w:eastAsia="Arial" w:hAnsi="Arial"/>
                <w:sz w:val="17"/>
                <w:szCs w:val="17"/>
                <w:color w:val="auto"/>
                <w:w w:val="84"/>
              </w:rPr>
              <w:t>4</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60" w:type="dxa"/>
            <w:vAlign w:val="bottom"/>
            <w:tcBorders>
              <w:bottom w:val="single" w:sz="8" w:color="808080"/>
            </w:tcBorders>
          </w:tcPr>
          <w:p>
            <w:pPr>
              <w:spacing w:after="0"/>
              <w:rPr>
                <w:sz w:val="9"/>
                <w:szCs w:val="9"/>
                <w:color w:val="auto"/>
              </w:rPr>
            </w:pPr>
          </w:p>
        </w:tc>
        <w:tc>
          <w:tcPr>
            <w:tcW w:w="62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ind w:left="60"/>
              <w:spacing w:after="0"/>
              <w:rPr>
                <w:sz w:val="20"/>
                <w:szCs w:val="20"/>
                <w:color w:val="auto"/>
              </w:rPr>
            </w:pPr>
            <w:r>
              <w:rPr>
                <w:rFonts w:ascii="Arial" w:cs="Arial" w:eastAsia="Arial" w:hAnsi="Arial"/>
                <w:sz w:val="17"/>
                <w:szCs w:val="17"/>
                <w:b w:val="1"/>
                <w:bCs w:val="1"/>
                <w:color w:val="auto"/>
              </w:rPr>
              <w:t>December</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auto"/>
              </w:rPr>
              <w:t>March 31,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74"/>
              <w:spacing w:after="0"/>
              <w:rPr>
                <w:sz w:val="20"/>
                <w:szCs w:val="20"/>
                <w:color w:val="auto"/>
              </w:rPr>
            </w:pPr>
            <w:r>
              <w:rPr>
                <w:rFonts w:ascii="Arial" w:cs="Arial" w:eastAsia="Arial" w:hAnsi="Arial"/>
                <w:sz w:val="17"/>
                <w:szCs w:val="17"/>
                <w:b w:val="1"/>
                <w:bCs w:val="1"/>
                <w:color w:val="auto"/>
              </w:rPr>
              <w:t>31,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1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2011</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2010</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3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Current Assets:</w:t>
            </w:r>
          </w:p>
        </w:tc>
        <w:tc>
          <w:tcPr>
            <w:tcW w:w="3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36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4,572</w:t>
            </w:r>
          </w:p>
        </w:tc>
        <w:tc>
          <w:tcPr>
            <w:tcW w:w="3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5,556</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3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84,207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63,331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Inventories, net</w:t>
            </w:r>
          </w:p>
        </w:tc>
        <w:tc>
          <w:tcPr>
            <w:tcW w:w="3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41,222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41,882</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Other current assets</w:t>
            </w:r>
          </w:p>
        </w:tc>
        <w:tc>
          <w:tcPr>
            <w:tcW w:w="3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6,977</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current assets</w:t>
            </w:r>
          </w:p>
        </w:tc>
        <w:tc>
          <w:tcPr>
            <w:tcW w:w="36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136,978</w:t>
            </w:r>
          </w:p>
        </w:tc>
        <w:tc>
          <w:tcPr>
            <w:tcW w:w="3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115,670</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3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120,812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118,488</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Goodwill, net</w:t>
            </w:r>
          </w:p>
        </w:tc>
        <w:tc>
          <w:tcPr>
            <w:tcW w:w="3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9,110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8,396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assets</w:t>
            </w:r>
          </w:p>
        </w:tc>
        <w:tc>
          <w:tcPr>
            <w:tcW w:w="3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6,273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6,001</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640" w:type="dxa"/>
            <w:vAlign w:val="bottom"/>
          </w:tcPr>
          <w:p>
            <w:pPr>
              <w:ind w:left="120"/>
              <w:spacing w:after="0"/>
              <w:rPr>
                <w:sz w:val="20"/>
                <w:szCs w:val="20"/>
                <w:color w:val="auto"/>
              </w:rPr>
            </w:pPr>
            <w:r>
              <w:rPr>
                <w:rFonts w:ascii="Arial" w:cs="Arial" w:eastAsia="Arial" w:hAnsi="Arial"/>
                <w:sz w:val="17"/>
                <w:szCs w:val="17"/>
                <w:color w:val="auto"/>
              </w:rPr>
              <w:t>Total assets</w:t>
            </w:r>
          </w:p>
        </w:tc>
        <w:tc>
          <w:tcPr>
            <w:tcW w:w="360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273,173</w:t>
            </w:r>
          </w:p>
        </w:tc>
        <w:tc>
          <w:tcPr>
            <w:tcW w:w="36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248,555</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60" w:type="dxa"/>
            <w:vAlign w:val="bottom"/>
            <w:vMerge w:val="restart"/>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3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3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Accounts payable</w:t>
            </w:r>
          </w:p>
        </w:tc>
        <w:tc>
          <w:tcPr>
            <w:tcW w:w="360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54,134</w:t>
            </w:r>
          </w:p>
        </w:tc>
        <w:tc>
          <w:tcPr>
            <w:tcW w:w="36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55,549</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Accrued salaries, wages and benefits</w:t>
            </w:r>
          </w:p>
        </w:tc>
        <w:tc>
          <w:tcPr>
            <w:tcW w:w="3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12,082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13,548</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Current maturities of long-term debt</w:t>
            </w:r>
          </w:p>
        </w:tc>
        <w:tc>
          <w:tcPr>
            <w:tcW w:w="3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7,407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5,714</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current liabilities</w:t>
            </w:r>
          </w:p>
        </w:tc>
        <w:tc>
          <w:tcPr>
            <w:tcW w:w="3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8,264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8,776</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640" w:type="dxa"/>
            <w:vAlign w:val="bottom"/>
          </w:tcPr>
          <w:p>
            <w:pPr>
              <w:ind w:left="120"/>
              <w:spacing w:after="0"/>
              <w:rPr>
                <w:sz w:val="20"/>
                <w:szCs w:val="20"/>
                <w:color w:val="auto"/>
              </w:rPr>
            </w:pPr>
            <w:r>
              <w:rPr>
                <w:rFonts w:ascii="Arial" w:cs="Arial" w:eastAsia="Arial" w:hAnsi="Arial"/>
                <w:sz w:val="17"/>
                <w:szCs w:val="17"/>
                <w:color w:val="auto"/>
              </w:rPr>
              <w:t>Total current liabilities</w:t>
            </w:r>
          </w:p>
        </w:tc>
        <w:tc>
          <w:tcPr>
            <w:tcW w:w="3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81,887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83,587</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Non-current deferred tax liabilities</w:t>
            </w:r>
          </w:p>
        </w:tc>
        <w:tc>
          <w:tcPr>
            <w:tcW w:w="3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4,296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3,954</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Long-term debt, net of current portion</w:t>
            </w:r>
          </w:p>
        </w:tc>
        <w:tc>
          <w:tcPr>
            <w:tcW w:w="3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84,843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67,643</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3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10,316</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15,264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3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181,342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170,448</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3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91,831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78,107</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160" w:type="dxa"/>
            <w:vAlign w:val="bottom"/>
            <w:vMerge w:val="continue"/>
          </w:tcPr>
          <w:p>
            <w:pPr>
              <w:spacing w:after="0"/>
              <w:rPr>
                <w:sz w:val="21"/>
                <w:szCs w:val="21"/>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36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273,173</w:t>
            </w:r>
          </w:p>
        </w:tc>
        <w:tc>
          <w:tcPr>
            <w:tcW w:w="3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248,555</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3"/>
        </w:trPr>
        <w:tc>
          <w:tcPr>
            <w:tcW w:w="1160" w:type="dxa"/>
            <w:vAlign w:val="bottom"/>
          </w:tcPr>
          <w:p>
            <w:pPr>
              <w:spacing w:after="0"/>
              <w:rPr>
                <w:sz w:val="24"/>
                <w:szCs w:val="24"/>
                <w:color w:val="auto"/>
              </w:rPr>
            </w:pPr>
          </w:p>
        </w:tc>
        <w:tc>
          <w:tcPr>
            <w:tcW w:w="3640" w:type="dxa"/>
            <w:vAlign w:val="bottom"/>
            <w:tcBorders>
              <w:top w:val="single" w:sz="8" w:color="CCEEFF"/>
            </w:tcBorders>
          </w:tcPr>
          <w:p>
            <w:pPr>
              <w:spacing w:after="0"/>
              <w:rPr>
                <w:sz w:val="24"/>
                <w:szCs w:val="24"/>
                <w:color w:val="auto"/>
              </w:rPr>
            </w:pPr>
          </w:p>
        </w:tc>
        <w:tc>
          <w:tcPr>
            <w:tcW w:w="3420" w:type="dxa"/>
            <w:vAlign w:val="bottom"/>
            <w:tcBorders>
              <w:top w:val="single" w:sz="8" w:color="CCEEFF"/>
            </w:tcBorders>
          </w:tcPr>
          <w:p>
            <w:pPr>
              <w:jc w:val="right"/>
              <w:ind w:right="2374"/>
              <w:spacing w:after="0"/>
              <w:rPr>
                <w:sz w:val="20"/>
                <w:szCs w:val="20"/>
                <w:color w:val="auto"/>
              </w:rPr>
            </w:pPr>
            <w:r>
              <w:rPr>
                <w:rFonts w:ascii="Arial" w:cs="Arial" w:eastAsia="Arial" w:hAnsi="Arial"/>
                <w:sz w:val="17"/>
                <w:szCs w:val="17"/>
                <w:color w:val="auto"/>
              </w:rPr>
              <w:t>5</w:t>
            </w: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60" w:type="dxa"/>
            <w:vAlign w:val="bottom"/>
            <w:tcBorders>
              <w:bottom w:val="single" w:sz="8" w:color="808080"/>
            </w:tcBorders>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Reconciliation of Non-GAAP to GAAP Financial Measures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6"/>
          </w:tcPr>
          <w:p>
            <w:pPr>
              <w:jc w:val="right"/>
              <w:ind w:right="300"/>
              <w:spacing w:after="0"/>
              <w:rPr>
                <w:sz w:val="20"/>
                <w:szCs w:val="20"/>
                <w:color w:val="auto"/>
              </w:rPr>
            </w:pPr>
            <w:r>
              <w:rPr>
                <w:rFonts w:ascii="Arial" w:cs="Arial" w:eastAsia="Arial" w:hAnsi="Arial"/>
                <w:sz w:val="17"/>
                <w:szCs w:val="17"/>
                <w:b w:val="1"/>
                <w:bCs w:val="1"/>
                <w:color w:val="auto"/>
                <w:w w:val="95"/>
              </w:rPr>
              <w:t>Three Months Ended</w:t>
            </w:r>
          </w:p>
        </w:tc>
      </w:tr>
      <w:tr>
        <w:trPr>
          <w:trHeight w:val="206"/>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6"/>
          </w:tcPr>
          <w:p>
            <w:pPr>
              <w:jc w:val="right"/>
              <w:ind w:right="520"/>
              <w:spacing w:after="0"/>
              <w:rPr>
                <w:sz w:val="20"/>
                <w:szCs w:val="20"/>
                <w:color w:val="auto"/>
              </w:rPr>
            </w:pPr>
            <w:r>
              <w:rPr>
                <w:rFonts w:ascii="Arial" w:cs="Arial" w:eastAsia="Arial" w:hAnsi="Arial"/>
                <w:sz w:val="17"/>
                <w:szCs w:val="17"/>
                <w:b w:val="1"/>
                <w:bCs w:val="1"/>
                <w:color w:val="auto"/>
              </w:rPr>
              <w:t>March 31, 2011</w:t>
            </w:r>
          </w:p>
        </w:tc>
      </w:tr>
      <w:tr>
        <w:trPr>
          <w:trHeight w:val="206"/>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7"/>
              </w:rPr>
              <w:t>Diluted</w:t>
            </w:r>
          </w:p>
        </w:tc>
      </w:tr>
      <w:tr>
        <w:trPr>
          <w:trHeight w:val="206"/>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In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3"/>
              </w:rPr>
              <w:t>Earnings</w:t>
            </w:r>
          </w:p>
        </w:tc>
      </w:tr>
      <w:tr>
        <w:trPr>
          <w:trHeight w:val="231"/>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0"/>
              </w:rPr>
              <w:t>Thousands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Per share</w:t>
            </w:r>
          </w:p>
        </w:tc>
        <w:tc>
          <w:tcPr>
            <w:tcW w:w="80" w:type="dxa"/>
            <w:vAlign w:val="bottom"/>
          </w:tcPr>
          <w:p>
            <w:pPr>
              <w:spacing w:after="0"/>
              <w:rPr>
                <w:sz w:val="20"/>
                <w:szCs w:val="20"/>
                <w:color w:val="auto"/>
              </w:rPr>
            </w:pPr>
          </w:p>
        </w:tc>
      </w:tr>
      <w:tr>
        <w:trPr>
          <w:trHeight w:val="206"/>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5,507</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0.33</w:t>
            </w:r>
          </w:p>
        </w:tc>
        <w:tc>
          <w:tcPr>
            <w:tcW w:w="8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7"/>
                <w:szCs w:val="17"/>
                <w:color w:val="auto"/>
              </w:rPr>
              <w:t>After-tax gain from deconsolidation of bankrupt subsidiary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(840)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(0.05)</w:t>
            </w:r>
          </w:p>
        </w:tc>
      </w:tr>
      <w:tr>
        <w:trPr>
          <w:trHeight w:val="206"/>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After-tax foreign currency loss on intercompany loans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8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7"/>
                <w:szCs w:val="17"/>
                <w:color w:val="auto"/>
              </w:rPr>
              <w:t>Net from normal operations</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5,518</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0.33</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6"/>
          </w:tcPr>
          <w:p>
            <w:pPr>
              <w:jc w:val="right"/>
              <w:ind w:right="300"/>
              <w:spacing w:after="0"/>
              <w:rPr>
                <w:sz w:val="20"/>
                <w:szCs w:val="20"/>
                <w:color w:val="auto"/>
              </w:rPr>
            </w:pPr>
            <w:r>
              <w:rPr>
                <w:rFonts w:ascii="Arial" w:cs="Arial" w:eastAsia="Arial" w:hAnsi="Arial"/>
                <w:sz w:val="17"/>
                <w:szCs w:val="17"/>
                <w:b w:val="1"/>
                <w:bCs w:val="1"/>
                <w:color w:val="auto"/>
                <w:w w:val="95"/>
              </w:rPr>
              <w:t>Three Months Ended</w:t>
            </w:r>
          </w:p>
        </w:tc>
      </w:tr>
      <w:tr>
        <w:trPr>
          <w:trHeight w:val="206"/>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6"/>
          </w:tcPr>
          <w:p>
            <w:pPr>
              <w:jc w:val="right"/>
              <w:ind w:right="520"/>
              <w:spacing w:after="0"/>
              <w:rPr>
                <w:sz w:val="20"/>
                <w:szCs w:val="20"/>
                <w:color w:val="auto"/>
              </w:rPr>
            </w:pPr>
            <w:r>
              <w:rPr>
                <w:rFonts w:ascii="Arial" w:cs="Arial" w:eastAsia="Arial" w:hAnsi="Arial"/>
                <w:sz w:val="17"/>
                <w:szCs w:val="17"/>
                <w:b w:val="1"/>
                <w:bCs w:val="1"/>
                <w:color w:val="auto"/>
              </w:rPr>
              <w:t>March 31, 2010</w:t>
            </w:r>
          </w:p>
        </w:tc>
      </w:tr>
      <w:tr>
        <w:trPr>
          <w:trHeight w:val="206"/>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7"/>
              </w:rPr>
              <w:t>Diluted</w:t>
            </w:r>
          </w:p>
        </w:tc>
      </w:tr>
      <w:tr>
        <w:trPr>
          <w:trHeight w:val="206"/>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In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3"/>
              </w:rPr>
              <w:t>Earnings</w:t>
            </w:r>
          </w:p>
        </w:tc>
      </w:tr>
      <w:tr>
        <w:trPr>
          <w:trHeight w:val="231"/>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0"/>
              </w:rPr>
              <w:t>Thousands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Per share</w:t>
            </w:r>
          </w:p>
        </w:tc>
        <w:tc>
          <w:tcPr>
            <w:tcW w:w="80" w:type="dxa"/>
            <w:vAlign w:val="bottom"/>
          </w:tcPr>
          <w:p>
            <w:pPr>
              <w:spacing w:after="0"/>
              <w:rPr>
                <w:sz w:val="20"/>
                <w:szCs w:val="20"/>
                <w:color w:val="auto"/>
              </w:rPr>
            </w:pPr>
          </w:p>
        </w:tc>
      </w:tr>
      <w:tr>
        <w:trPr>
          <w:trHeight w:val="206"/>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8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After-tax cost of stock grants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0.07</w:t>
            </w:r>
          </w:p>
        </w:tc>
        <w:tc>
          <w:tcPr>
            <w:tcW w:w="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After-tax accelerated depreciation for assets to be taken out of service</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8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After-tax foreign currency gain on intercompany loans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(910)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(0.06)</w:t>
            </w:r>
          </w:p>
        </w:tc>
      </w:tr>
      <w:tr>
        <w:trPr>
          <w:trHeight w:val="206"/>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After-tax benefit of labor cost adjustments</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(0.04)</w:t>
            </w:r>
          </w:p>
        </w:tc>
      </w:tr>
      <w:tr>
        <w:trPr>
          <w:trHeight w:val="206"/>
        </w:trPr>
        <w:tc>
          <w:tcPr>
            <w:tcW w:w="2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After-tax severance cost for plant closing</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533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0.03</w:t>
            </w:r>
          </w:p>
        </w:tc>
        <w:tc>
          <w:tcPr>
            <w:tcW w:w="80" w:type="dxa"/>
            <w:vAlign w:val="bottom"/>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Net income from normal operations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1,307</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Company’s management evaluates operating performance excluding unusual and/or nonrecurring items. The Company believes excluding such items provides a more effective and comparable measure of performance and a clearer view of underlying trends. Since net income excluding these items is not a measure calculated in accordance with GAAP, this should not be considered as a substitute for other GAAP measures, including net income, as an indicator of performance. Accordingly, net income/loss excluding the above items is reconciled to net income/loss on a GAAP basis.</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495" w:right="25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2019-12-10T13:10:08Z</dcterms:created>
  <dcterms:modified xsi:type="dcterms:W3CDTF">2019-12-10T13:10:08Z</dcterms:modified>
</cp:coreProperties>
</file>