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108" w:lineRule="exact"/>
        <w:rPr>
          <w:sz w:val="24"/>
          <w:szCs w:val="24"/>
          <w:color w:val="auto"/>
        </w:rPr>
      </w:pPr>
    </w:p>
    <w:p>
      <w:pPr>
        <w:sectPr>
          <w:pgSz w:w="11900" w:h="16892"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1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ind w:left="350" w:hanging="350"/>
        <w:spacing w:after="0"/>
        <w:tabs>
          <w:tab w:leader="none" w:pos="350"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ind w:left="10"/>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1739" w:val="left"/>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4" w:lineRule="exact"/>
        <w:rPr>
          <w:sz w:val="24"/>
          <w:szCs w:val="24"/>
          <w:color w:val="auto"/>
        </w:rPr>
      </w:pPr>
    </w:p>
    <w:p>
      <w:pPr>
        <w:sectPr>
          <w:pgSz w:w="11900" w:h="16892" w:orient="portrait"/>
          <w:cols w:equalWidth="0" w:num="3">
            <w:col w:w="3190" w:space="720"/>
            <w:col w:w="3110" w:space="720"/>
            <w:col w:w="3340"/>
          </w:cols>
          <w:pgMar w:left="460" w:top="217"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5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5" w:lineRule="exact"/>
        <w:rPr>
          <w:sz w:val="24"/>
          <w:szCs w:val="24"/>
          <w:color w:val="auto"/>
        </w:rPr>
      </w:pPr>
    </w:p>
    <w:p>
      <w:pPr>
        <w:sectPr>
          <w:pgSz w:w="11900" w:h="16892" w:orient="portrait"/>
          <w:cols w:equalWidth="0" w:num="2">
            <w:col w:w="7020" w:space="720"/>
            <w:col w:w="33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06/22/2022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51,200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2.3303</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4,502,634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06/23/2022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16,883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2.3645</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4,519,517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905,735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40" w:type="dxa"/>
            <w:vAlign w:val="bottom"/>
            <w:gridSpan w:val="17"/>
          </w:tcPr>
          <w:p>
            <w:pPr>
              <w:jc w:val="center"/>
              <w:ind w:left="85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gridSpan w:val="11"/>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5"/>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5"/>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720,000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720,000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195,000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195,000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Corre Partners Advisors LLC</w:t>
              </w:r>
            </w:hyperlink>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-5867400</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92"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Corre Opportunities Qualified Master Fund, LP</w:t>
        </w:r>
      </w:hyperlink>
    </w:p>
    <w:p>
      <w:pPr>
        <w:sectPr>
          <w:pgSz w:w="11900" w:h="16892"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Barrett John Frederick</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Soderlund Eric Hjalmar</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240" cy="4475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240" cy="44754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$2.33 to $2.35.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80" w:firstLine="2"/>
        <w:spacing w:after="0" w:line="235"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$2.33 to $2.38.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60" w:firstLine="2"/>
        <w:spacing w:after="0" w:line="237"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900"/>
          </w:cols>
          <w:pgMar w:left="480" w:top="423" w:right="519" w:bottom="1440" w:gutter="0" w:footer="0" w:header="0"/>
        </w:sectPr>
      </w:pP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049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819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wp:posOffset>
            </wp:positionV>
            <wp:extent cx="1309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253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60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8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83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72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09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650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7689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40"/>
            <w:col w:w="2120"/>
          </w:cols>
          <w:pgMar w:left="480" w:top="423"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2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6" Type="http://schemas.openxmlformats.org/officeDocument/2006/relationships/hyperlink" Target="http://www.sec.gov/cgi-bin/browse-edgar?action=getcompany&amp;CIK=0001601971" TargetMode="External"/><Relationship Id="rId17" Type="http://schemas.openxmlformats.org/officeDocument/2006/relationships/hyperlink" Target="http://www.sec.gov/cgi-bin/browse-edgar?action=getcompany&amp;CIK=0001858308" TargetMode="External"/><Relationship Id="rId18"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2022-06-24T16:44:04Z</dcterms:created>
  <dcterms:modified xsi:type="dcterms:W3CDTF">2022-06-24T16:44:04Z</dcterms:modified>
</cp:coreProperties>
</file>