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28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8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8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215900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83"/>
        <w:spacing w:after="0"/>
        <w:rPr>
          <w:sz w:val="20"/>
          <w:szCs w:val="20"/>
          <w:color w:val="auto"/>
        </w:rPr>
      </w:pPr>
      <w:r>
        <w:rPr>
          <w:rFonts w:ascii="Arial" w:cs="Arial" w:eastAsia="Arial" w:hAnsi="Arial"/>
          <w:sz w:val="19"/>
          <w:szCs w:val="19"/>
          <w:b w:val="1"/>
          <w:bCs w:val="1"/>
          <w:color w:val="auto"/>
        </w:rPr>
        <w:t>CURRENT REPORT PURSUANT TO</w:t>
      </w:r>
    </w:p>
    <w:p>
      <w:pPr>
        <w:spacing w:after="0" w:line="17" w:lineRule="exact"/>
        <w:rPr>
          <w:sz w:val="24"/>
          <w:szCs w:val="24"/>
          <w:color w:val="auto"/>
        </w:rPr>
      </w:pPr>
    </w:p>
    <w:p>
      <w:pPr>
        <w:jc w:val="center"/>
        <w:ind w:right="-283"/>
        <w:spacing w:after="0"/>
        <w:rPr>
          <w:sz w:val="20"/>
          <w:szCs w:val="20"/>
          <w:color w:val="auto"/>
        </w:rPr>
      </w:pPr>
      <w:r>
        <w:rPr>
          <w:rFonts w:ascii="Arial" w:cs="Arial" w:eastAsia="Arial" w:hAnsi="Arial"/>
          <w:sz w:val="19"/>
          <w:szCs w:val="19"/>
          <w:b w:val="1"/>
          <w:bCs w:val="1"/>
          <w:color w:val="auto"/>
        </w:rPr>
        <w:t>SECTION 13 OR 15(d) OF THE</w:t>
      </w:r>
    </w:p>
    <w:p>
      <w:pPr>
        <w:jc w:val="center"/>
        <w:ind w:right="-283"/>
        <w:spacing w:after="0"/>
        <w:rPr>
          <w:sz w:val="20"/>
          <w:szCs w:val="20"/>
          <w:color w:val="auto"/>
        </w:rPr>
      </w:pPr>
      <w:r>
        <w:rPr>
          <w:rFonts w:ascii="Arial" w:cs="Arial" w:eastAsia="Arial" w:hAnsi="Arial"/>
          <w:sz w:val="19"/>
          <w:szCs w:val="19"/>
          <w:b w:val="1"/>
          <w:bCs w:val="1"/>
          <w:color w:val="auto"/>
        </w:rPr>
        <w:t>SECURITIES EXCHANGE ACT OF 1934</w:t>
      </w:r>
    </w:p>
    <w:p>
      <w:pPr>
        <w:spacing w:after="0" w:line="176" w:lineRule="exact"/>
        <w:rPr>
          <w:sz w:val="24"/>
          <w:szCs w:val="24"/>
          <w:color w:val="auto"/>
        </w:rPr>
      </w:pPr>
    </w:p>
    <w:p>
      <w:pPr>
        <w:jc w:val="center"/>
        <w:ind w:right="-283"/>
        <w:spacing w:after="0"/>
        <w:rPr>
          <w:sz w:val="20"/>
          <w:szCs w:val="20"/>
          <w:color w:val="auto"/>
        </w:rPr>
      </w:pPr>
      <w:r>
        <w:rPr>
          <w:rFonts w:ascii="Arial" w:cs="Arial" w:eastAsia="Arial" w:hAnsi="Arial"/>
          <w:sz w:val="15"/>
          <w:szCs w:val="15"/>
          <w:b w:val="1"/>
          <w:bCs w:val="1"/>
          <w:color w:val="auto"/>
        </w:rPr>
        <w:t>Date of Report (Date of earliest event reported): November 5, 2015 (November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221615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389255</wp:posOffset>
            </wp:positionV>
            <wp:extent cx="610235" cy="602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0235" cy="602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283"/>
        <w:spacing w:after="0"/>
        <w:rPr>
          <w:sz w:val="20"/>
          <w:szCs w:val="20"/>
          <w:color w:val="auto"/>
        </w:rPr>
      </w:pPr>
      <w:r>
        <w:rPr>
          <w:rFonts w:ascii="Arial" w:cs="Arial" w:eastAsia="Arial" w:hAnsi="Arial"/>
          <w:sz w:val="38"/>
          <w:szCs w:val="38"/>
          <w:b w:val="1"/>
          <w:bCs w:val="1"/>
          <w:color w:val="auto"/>
        </w:rPr>
        <w:t>NN, INC.</w:t>
      </w:r>
    </w:p>
    <w:p>
      <w:pPr>
        <w:spacing w:after="0" w:line="47" w:lineRule="exact"/>
        <w:rPr>
          <w:sz w:val="24"/>
          <w:szCs w:val="24"/>
          <w:color w:val="auto"/>
        </w:rPr>
      </w:pPr>
    </w:p>
    <w:p>
      <w:pPr>
        <w:jc w:val="center"/>
        <w:ind w:right="-28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202565</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164"/>
          </w:cols>
          <w:pgMar w:left="236" w:top="343" w:right="499" w:bottom="1440" w:gutter="0" w:footer="0" w:header="0"/>
        </w:sectPr>
      </w:pPr>
    </w:p>
    <w:p>
      <w:pPr>
        <w:spacing w:after="0" w:line="200" w:lineRule="exact"/>
        <w:rPr>
          <w:sz w:val="24"/>
          <w:szCs w:val="24"/>
          <w:color w:val="auto"/>
        </w:rPr>
      </w:pPr>
    </w:p>
    <w:p>
      <w:pPr>
        <w:spacing w:after="0" w:line="367" w:lineRule="exact"/>
        <w:rPr>
          <w:sz w:val="24"/>
          <w:szCs w:val="24"/>
          <w:color w:val="auto"/>
        </w:rPr>
      </w:pPr>
    </w:p>
    <w:p>
      <w:pPr>
        <w:ind w:left="162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jc w:val="center"/>
        <w:ind w:right="2380"/>
        <w:spacing w:after="0"/>
        <w:rPr>
          <w:sz w:val="20"/>
          <w:szCs w:val="20"/>
          <w:color w:val="auto"/>
        </w:rPr>
      </w:pPr>
      <w:r>
        <w:rPr>
          <w:rFonts w:ascii="Arial" w:cs="Arial" w:eastAsia="Arial" w:hAnsi="Arial"/>
          <w:sz w:val="14"/>
          <w:szCs w:val="14"/>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62-1096725</w:t>
      </w:r>
    </w:p>
    <w:p>
      <w:pPr>
        <w:spacing w:after="0" w:line="48" w:lineRule="exact"/>
        <w:rPr>
          <w:sz w:val="24"/>
          <w:szCs w:val="24"/>
          <w:color w:val="auto"/>
        </w:rPr>
      </w:pPr>
    </w:p>
    <w:p>
      <w:pPr>
        <w:sectPr>
          <w:pgSz w:w="11900" w:h="16838" w:orient="portrait"/>
          <w:cols w:equalWidth="0" w:num="3">
            <w:col w:w="4864" w:space="720"/>
            <w:col w:w="2920" w:space="720"/>
            <w:col w:w="1940"/>
          </w:cols>
          <w:pgMar w:left="236" w:top="343" w:right="499" w:bottom="1440" w:gutter="0" w:footer="0" w:header="0"/>
          <w:type w:val="continuous"/>
        </w:sectPr>
      </w:pPr>
    </w:p>
    <w:p>
      <w:pPr>
        <w:ind w:left="684"/>
        <w:spacing w:after="0"/>
        <w:rPr>
          <w:sz w:val="20"/>
          <w:szCs w:val="20"/>
          <w:color w:val="auto"/>
        </w:rPr>
      </w:pPr>
      <w:r>
        <w:rPr>
          <w:rFonts w:ascii="Arial" w:cs="Arial" w:eastAsia="Arial" w:hAnsi="Arial"/>
          <w:sz w:val="11"/>
          <w:szCs w:val="11"/>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181" w:lineRule="exact"/>
        <w:rPr>
          <w:sz w:val="24"/>
          <w:szCs w:val="24"/>
          <w:color w:val="auto"/>
        </w:rPr>
      </w:pPr>
    </w:p>
    <w:p>
      <w:pPr>
        <w:sectPr>
          <w:pgSz w:w="11900" w:h="16838" w:orient="portrait"/>
          <w:cols w:equalWidth="0" w:num="3">
            <w:col w:w="4384" w:space="720"/>
            <w:col w:w="2800" w:space="720"/>
            <w:col w:w="2540"/>
          </w:cols>
          <w:pgMar w:left="236" w:top="343" w:right="499" w:bottom="1440" w:gutter="0" w:footer="0" w:header="0"/>
          <w:type w:val="continuous"/>
        </w:sectPr>
      </w:pPr>
    </w:p>
    <w:p>
      <w:pPr>
        <w:ind w:left="3044"/>
        <w:spacing w:after="0"/>
        <w:rPr>
          <w:sz w:val="20"/>
          <w:szCs w:val="20"/>
          <w:color w:val="auto"/>
        </w:rPr>
      </w:pPr>
      <w:r>
        <w:rPr>
          <w:rFonts w:ascii="Arial" w:cs="Arial" w:eastAsia="Arial" w:hAnsi="Arial"/>
          <w:sz w:val="15"/>
          <w:szCs w:val="15"/>
          <w:b w:val="1"/>
          <w:bCs w:val="1"/>
          <w:color w:val="auto"/>
        </w:rPr>
        <w:t>207 Mockingbird Lane,</w:t>
      </w:r>
    </w:p>
    <w:p>
      <w:pPr>
        <w:spacing w:after="0" w:line="36" w:lineRule="exact"/>
        <w:rPr>
          <w:sz w:val="24"/>
          <w:szCs w:val="24"/>
          <w:color w:val="auto"/>
        </w:rPr>
      </w:pPr>
    </w:p>
    <w:p>
      <w:pPr>
        <w:ind w:left="3004"/>
        <w:spacing w:after="0"/>
        <w:rPr>
          <w:sz w:val="20"/>
          <w:szCs w:val="20"/>
          <w:color w:val="auto"/>
        </w:rPr>
      </w:pPr>
      <w:r>
        <w:rPr>
          <w:rFonts w:ascii="Arial" w:cs="Arial" w:eastAsia="Arial" w:hAnsi="Arial"/>
          <w:sz w:val="13"/>
          <w:szCs w:val="13"/>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37604</w:t>
      </w:r>
    </w:p>
    <w:p>
      <w:pPr>
        <w:spacing w:after="0" w:line="48" w:lineRule="exact"/>
        <w:rPr>
          <w:sz w:val="24"/>
          <w:szCs w:val="24"/>
          <w:color w:val="auto"/>
        </w:rPr>
      </w:pPr>
    </w:p>
    <w:p>
      <w:pPr>
        <w:sectPr>
          <w:pgSz w:w="11900" w:h="16838" w:orient="portrait"/>
          <w:cols w:equalWidth="0" w:num="2">
            <w:col w:w="8684" w:space="720"/>
            <w:col w:w="1760"/>
          </w:cols>
          <w:pgMar w:left="236" w:top="343" w:right="499" w:bottom="1440" w:gutter="0" w:footer="0" w:header="0"/>
          <w:type w:val="continuous"/>
        </w:sectPr>
      </w:pPr>
    </w:p>
    <w:p>
      <w:pPr>
        <w:ind w:left="2784"/>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201930</wp:posOffset>
            </wp:positionV>
            <wp:extent cx="1525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8584" w:space="720"/>
            <w:col w:w="1860"/>
          </w:cols>
          <w:pgMar w:left="236" w:top="343" w:right="499" w:bottom="1440" w:gutter="0" w:footer="0" w:header="0"/>
          <w:type w:val="continuous"/>
        </w:sectPr>
      </w:pPr>
    </w:p>
    <w:p>
      <w:pPr>
        <w:spacing w:after="0" w:line="294" w:lineRule="exact"/>
        <w:rPr>
          <w:sz w:val="24"/>
          <w:szCs w:val="24"/>
          <w:color w:val="auto"/>
        </w:rPr>
      </w:pPr>
    </w:p>
    <w:p>
      <w:pPr>
        <w:jc w:val="center"/>
        <w:ind w:right="-263"/>
        <w:spacing w:after="0"/>
        <w:rPr>
          <w:sz w:val="20"/>
          <w:szCs w:val="20"/>
          <w:color w:val="auto"/>
        </w:rPr>
      </w:pPr>
      <w:r>
        <w:rPr>
          <w:rFonts w:ascii="Arial" w:cs="Arial" w:eastAsia="Arial" w:hAnsi="Arial"/>
          <w:sz w:val="16"/>
          <w:szCs w:val="16"/>
          <w:b w:val="1"/>
          <w:bCs w:val="1"/>
          <w:color w:val="auto"/>
        </w:rPr>
        <w:t>(423) 743-9151</w:t>
      </w:r>
    </w:p>
    <w:p>
      <w:pPr>
        <w:spacing w:after="0" w:line="25" w:lineRule="exact"/>
        <w:rPr>
          <w:sz w:val="24"/>
          <w:szCs w:val="24"/>
          <w:color w:val="auto"/>
        </w:rPr>
      </w:pPr>
    </w:p>
    <w:p>
      <w:pPr>
        <w:jc w:val="center"/>
        <w:ind w:right="-263"/>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84" w:lineRule="exact"/>
        <w:rPr>
          <w:sz w:val="24"/>
          <w:szCs w:val="24"/>
          <w:color w:val="auto"/>
        </w:rPr>
      </w:pPr>
    </w:p>
    <w:p>
      <w:pPr>
        <w:jc w:val="center"/>
        <w:ind w:right="-263"/>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221615</wp:posOffset>
            </wp:positionV>
            <wp:extent cx="15252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Check the appropriate box if the Form 8-K filing is intended to simultaneously satisfy the filing obligation of the registrant under any of the following provisions (see General Instruction A.2. below):</w:t>
      </w:r>
    </w:p>
    <w:p>
      <w:pPr>
        <w:spacing w:after="0" w:line="68"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240.14d- 2(b))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61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7261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164"/>
          </w:cols>
          <w:pgMar w:left="236" w:top="343" w:right="49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08" w:lineRule="exact"/>
        <w:rPr>
          <w:sz w:val="20"/>
          <w:szCs w:val="20"/>
          <w:color w:val="auto"/>
        </w:rPr>
      </w:pPr>
    </w:p>
    <w:p>
      <w:pPr>
        <w:ind w:right="280" w:firstLine="458"/>
        <w:spacing w:after="0" w:line="277" w:lineRule="auto"/>
        <w:rPr>
          <w:sz w:val="20"/>
          <w:szCs w:val="20"/>
          <w:color w:val="auto"/>
        </w:rPr>
      </w:pPr>
      <w:r>
        <w:rPr>
          <w:rFonts w:ascii="Arial" w:cs="Arial" w:eastAsia="Arial" w:hAnsi="Arial"/>
          <w:sz w:val="16"/>
          <w:szCs w:val="16"/>
          <w:color w:val="auto"/>
        </w:rPr>
        <w:t>On November 4, 2015, NN, Inc. (the “Company”) issued a press release announcing the Company’s results of operations and financial condition for the three months ended September 30, 2015. The full text of the press release is furnished as Exhibit 99.1 and is incorporated herein by reference.</w:t>
      </w:r>
    </w:p>
    <w:p>
      <w:pPr>
        <w:spacing w:after="0" w:line="28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08" w:lineRule="exact"/>
        <w:rPr>
          <w:sz w:val="20"/>
          <w:szCs w:val="20"/>
          <w:color w:val="auto"/>
        </w:rPr>
      </w:pPr>
    </w:p>
    <w:p>
      <w:pPr>
        <w:ind w:right="140" w:firstLine="458"/>
        <w:spacing w:after="0" w:line="351" w:lineRule="auto"/>
        <w:rPr>
          <w:sz w:val="20"/>
          <w:szCs w:val="20"/>
          <w:color w:val="auto"/>
        </w:rPr>
      </w:pPr>
      <w:r>
        <w:rPr>
          <w:rFonts w:ascii="Arial" w:cs="Arial" w:eastAsia="Arial" w:hAnsi="Arial"/>
          <w:sz w:val="14"/>
          <w:szCs w:val="14"/>
          <w:color w:val="auto"/>
        </w:rPr>
        <w:t>On November 4, 2015, the Company posted a presentation regarding the Company’s results of operations and financial condition for the three months ended September 30, 2015 to the Investor Relations section of its website at www.nninc.com. A copy of the presentation is furnished as Exhibit 99.2 and is incorporated herein by reference.</w:t>
      </w:r>
    </w:p>
    <w:p>
      <w:pPr>
        <w:spacing w:after="0" w:line="106" w:lineRule="exact"/>
        <w:rPr>
          <w:sz w:val="20"/>
          <w:szCs w:val="20"/>
          <w:color w:val="auto"/>
        </w:rPr>
      </w:pPr>
    </w:p>
    <w:p>
      <w:pPr>
        <w:ind w:right="20" w:firstLine="458"/>
        <w:spacing w:after="0" w:line="312" w:lineRule="auto"/>
        <w:rPr>
          <w:sz w:val="20"/>
          <w:szCs w:val="20"/>
          <w:color w:val="auto"/>
        </w:rPr>
      </w:pPr>
      <w:r>
        <w:rPr>
          <w:rFonts w:ascii="Arial" w:cs="Arial" w:eastAsia="Arial" w:hAnsi="Arial"/>
          <w:sz w:val="15"/>
          <w:szCs w:val="15"/>
          <w:color w:val="auto"/>
        </w:rPr>
        <w:t>On November 4, 2015, the Company also posted to its website a presentation containing a reconciliation of the non-GAAP financial measures included in Exhibit 99.2 to their nearest GAAP (as defined below) financial measures. A copy of the presentation is furnished as Exhibit 99.3 and is incorporated herein by reference.</w:t>
      </w:r>
    </w:p>
    <w:p>
      <w:pPr>
        <w:spacing w:after="0" w:line="128"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 2.02 and 7.01 of this Current Report on Form 8-K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167"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Exhibit 99.1 and Exhibit 99.2 contain certain “non-GAAP financial measures” as that term is defined by the rules and regulations of the SEC. The non-GAAP financial measures used in Exhibit 99.1 and Exhibit 99.2 have inherent limitations as performance measures and should not be considered in isolation of, as a substitute for, or superior to, financial information prepared in accordance with U.S. generally accepted accounting principles (“GAAP”). The non-GAAP financial measures contained in Exhibit 99.1 and Exhibit 99.2 may differ from similarly titled measures presented by other companies. The non-GAAP financial measures, as well as other information contained in Exhibit 99.1 and Exhibit 99.2, should be read in conjunction with the Company’s financial statements filed with the SEC.</w:t>
      </w:r>
    </w:p>
    <w:p>
      <w:pPr>
        <w:spacing w:after="0" w:line="282"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No.</w:t>
            </w:r>
          </w:p>
        </w:tc>
        <w:tc>
          <w:tcPr>
            <w:tcW w:w="760" w:type="dxa"/>
            <w:vAlign w:val="bottom"/>
          </w:tcPr>
          <w:p>
            <w:pPr>
              <w:spacing w:after="0"/>
              <w:rPr>
                <w:sz w:val="13"/>
                <w:szCs w:val="13"/>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Description</w:t>
            </w:r>
          </w:p>
        </w:tc>
        <w:tc>
          <w:tcPr>
            <w:tcW w:w="620" w:type="dxa"/>
            <w:vAlign w:val="bottom"/>
          </w:tcPr>
          <w:p>
            <w:pPr>
              <w:spacing w:after="0"/>
              <w:rPr>
                <w:sz w:val="13"/>
                <w:szCs w:val="13"/>
                <w:color w:val="auto"/>
              </w:rPr>
            </w:pPr>
          </w:p>
        </w:tc>
        <w:tc>
          <w:tcPr>
            <w:tcW w:w="5660" w:type="dxa"/>
            <w:vAlign w:val="bottom"/>
          </w:tcPr>
          <w:p>
            <w:pPr>
              <w:spacing w:after="0"/>
              <w:rPr>
                <w:sz w:val="13"/>
                <w:szCs w:val="13"/>
                <w:color w:val="auto"/>
              </w:rPr>
            </w:pPr>
          </w:p>
        </w:tc>
      </w:tr>
      <w:tr>
        <w:trPr>
          <w:trHeight w:val="280"/>
        </w:trPr>
        <w:tc>
          <w:tcPr>
            <w:tcW w:w="640" w:type="dxa"/>
            <w:vAlign w:val="bottom"/>
          </w:tcPr>
          <w:p>
            <w:pPr>
              <w:spacing w:after="0"/>
              <w:rPr>
                <w:sz w:val="20"/>
                <w:szCs w:val="20"/>
                <w:color w:val="auto"/>
              </w:rPr>
            </w:pPr>
            <w:r>
              <w:rPr>
                <w:rFonts w:ascii="Arial" w:cs="Arial" w:eastAsia="Arial" w:hAnsi="Arial"/>
                <w:sz w:val="16"/>
                <w:szCs w:val="16"/>
                <w:color w:val="auto"/>
              </w:rPr>
              <w:t>99.1</w:t>
            </w:r>
          </w:p>
        </w:tc>
        <w:tc>
          <w:tcPr>
            <w:tcW w:w="76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6"/>
                <w:szCs w:val="16"/>
                <w:color w:val="auto"/>
              </w:rPr>
              <w:t>Press Release of NN, Inc. dated November 4, 2015.</w:t>
            </w:r>
          </w:p>
        </w:tc>
      </w:tr>
      <w:tr>
        <w:trPr>
          <w:trHeight w:val="288"/>
        </w:trPr>
        <w:tc>
          <w:tcPr>
            <w:tcW w:w="640" w:type="dxa"/>
            <w:vAlign w:val="bottom"/>
          </w:tcPr>
          <w:p>
            <w:pPr>
              <w:spacing w:after="0"/>
              <w:rPr>
                <w:sz w:val="20"/>
                <w:szCs w:val="20"/>
                <w:color w:val="auto"/>
              </w:rPr>
            </w:pPr>
            <w:r>
              <w:rPr>
                <w:rFonts w:ascii="Arial" w:cs="Arial" w:eastAsia="Arial" w:hAnsi="Arial"/>
                <w:sz w:val="16"/>
                <w:szCs w:val="16"/>
                <w:color w:val="auto"/>
              </w:rPr>
              <w:t>99.2</w:t>
            </w:r>
          </w:p>
        </w:tc>
        <w:tc>
          <w:tcPr>
            <w:tcW w:w="7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w w:val="91"/>
              </w:rPr>
              <w:t>Third Quarter 2015</w:t>
            </w:r>
          </w:p>
        </w:tc>
        <w:tc>
          <w:tcPr>
            <w:tcW w:w="5660" w:type="dxa"/>
            <w:vAlign w:val="bottom"/>
          </w:tcPr>
          <w:p>
            <w:pPr>
              <w:ind w:left="20"/>
              <w:spacing w:after="0"/>
              <w:rPr>
                <w:sz w:val="20"/>
                <w:szCs w:val="20"/>
                <w:color w:val="auto"/>
              </w:rPr>
            </w:pPr>
            <w:r>
              <w:rPr>
                <w:rFonts w:ascii="Arial" w:cs="Arial" w:eastAsia="Arial" w:hAnsi="Arial"/>
                <w:sz w:val="16"/>
                <w:szCs w:val="16"/>
                <w:color w:val="auto"/>
              </w:rPr>
              <w:t>Earnings Release Presentation of NN, Inc. dated November 4, 2015.</w:t>
            </w:r>
          </w:p>
        </w:tc>
      </w:tr>
      <w:tr>
        <w:trPr>
          <w:trHeight w:val="288"/>
        </w:trPr>
        <w:tc>
          <w:tcPr>
            <w:tcW w:w="640" w:type="dxa"/>
            <w:vAlign w:val="bottom"/>
          </w:tcPr>
          <w:p>
            <w:pPr>
              <w:spacing w:after="0"/>
              <w:rPr>
                <w:sz w:val="20"/>
                <w:szCs w:val="20"/>
                <w:color w:val="auto"/>
              </w:rPr>
            </w:pPr>
            <w:r>
              <w:rPr>
                <w:rFonts w:ascii="Arial" w:cs="Arial" w:eastAsia="Arial" w:hAnsi="Arial"/>
                <w:sz w:val="16"/>
                <w:szCs w:val="16"/>
                <w:color w:val="auto"/>
              </w:rPr>
              <w:t>99.3</w:t>
            </w:r>
          </w:p>
        </w:tc>
        <w:tc>
          <w:tcPr>
            <w:tcW w:w="7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w w:val="91"/>
              </w:rPr>
              <w:t>Third Quarter 2015</w:t>
            </w:r>
          </w:p>
        </w:tc>
        <w:tc>
          <w:tcPr>
            <w:tcW w:w="5660" w:type="dxa"/>
            <w:vAlign w:val="bottom"/>
          </w:tcPr>
          <w:p>
            <w:pPr>
              <w:ind w:left="20"/>
              <w:spacing w:after="0"/>
              <w:rPr>
                <w:sz w:val="20"/>
                <w:szCs w:val="20"/>
                <w:color w:val="auto"/>
              </w:rPr>
            </w:pPr>
            <w:r>
              <w:rPr>
                <w:rFonts w:ascii="Arial" w:cs="Arial" w:eastAsia="Arial" w:hAnsi="Arial"/>
                <w:sz w:val="16"/>
                <w:szCs w:val="16"/>
                <w:color w:val="auto"/>
                <w:w w:val="92"/>
              </w:rPr>
              <w:t>Non-GAAP to GAAP Reconciliation Presentation of NN, Inc. dated November 4, 2015.</w:t>
            </w:r>
          </w:p>
        </w:tc>
      </w:tr>
    </w:tbl>
    <w:p>
      <w:pPr>
        <w:sectPr>
          <w:pgSz w:w="11900" w:h="16838" w:orient="portrait"/>
          <w:cols w:equalWidth="0" w:num="1">
            <w:col w:w="11340"/>
          </w:cols>
          <w:pgMar w:left="240" w:top="25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SIGNATURES</w:t>
      </w:r>
    </w:p>
    <w:p>
      <w:pPr>
        <w:spacing w:after="0" w:line="204" w:lineRule="exact"/>
        <w:rPr>
          <w:sz w:val="20"/>
          <w:szCs w:val="20"/>
          <w:color w:val="auto"/>
        </w:rPr>
      </w:pPr>
    </w:p>
    <w:p>
      <w:pPr>
        <w:ind w:right="100" w:firstLine="458"/>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2015</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NN, INC.</w:t>
      </w:r>
    </w:p>
    <w:p>
      <w:pPr>
        <w:spacing w:after="0" w:line="204" w:lineRule="exact"/>
        <w:rPr>
          <w:sz w:val="20"/>
          <w:szCs w:val="20"/>
          <w:color w:val="auto"/>
        </w:rPr>
      </w:pPr>
    </w:p>
    <w:tbl>
      <w:tblPr>
        <w:tblLayout w:type="fixed"/>
        <w:tblInd w:w="6860" w:type="dxa"/>
        <w:tblCellMar>
          <w:top w:w="0" w:type="dxa"/>
          <w:left w:w="0" w:type="dxa"/>
          <w:bottom w:w="0" w:type="dxa"/>
          <w:right w:w="0" w:type="dxa"/>
        </w:tblCellMar>
      </w:tblP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Matthew S. Heiter</w:t>
            </w:r>
          </w:p>
        </w:tc>
      </w:tr>
      <w:tr>
        <w:trPr>
          <w:trHeight w:val="184"/>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980" w:type="dxa"/>
            <w:vAlign w:val="bottom"/>
          </w:tcPr>
          <w:p>
            <w:pPr>
              <w:spacing w:after="0"/>
              <w:rPr>
                <w:sz w:val="20"/>
                <w:szCs w:val="20"/>
                <w:color w:val="auto"/>
              </w:rPr>
            </w:pPr>
            <w:r>
              <w:rPr>
                <w:rFonts w:ascii="Arial" w:cs="Arial" w:eastAsia="Arial" w:hAnsi="Arial"/>
                <w:sz w:val="16"/>
                <w:szCs w:val="16"/>
                <w:color w:val="auto"/>
              </w:rPr>
              <w:t>Matthew S. Heiter</w:t>
            </w:r>
          </w:p>
        </w:tc>
      </w:t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80" w:type="dxa"/>
            <w:vAlign w:val="bottom"/>
          </w:tcPr>
          <w:p>
            <w:pPr>
              <w:spacing w:after="0"/>
              <w:rPr>
                <w:sz w:val="20"/>
                <w:szCs w:val="20"/>
                <w:color w:val="auto"/>
              </w:rPr>
            </w:pPr>
            <w:r>
              <w:rPr>
                <w:rFonts w:ascii="Arial" w:cs="Arial" w:eastAsia="Arial" w:hAnsi="Arial"/>
                <w:sz w:val="16"/>
                <w:szCs w:val="16"/>
                <w:color w:val="auto"/>
              </w:rPr>
              <w:t>Senior Vice President and General Counsel</w:t>
            </w:r>
          </w:p>
        </w:tc>
      </w:tr>
    </w:tbl>
    <w:p>
      <w:pPr>
        <w:sectPr>
          <w:pgSz w:w="11900" w:h="16838" w:orient="portrait"/>
          <w:cols w:equalWidth="0" w:num="1">
            <w:col w:w="11440"/>
          </w:cols>
          <w:pgMar w:left="240" w:top="255"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60" w:type="dxa"/>
            <w:vAlign w:val="bottom"/>
          </w:tcPr>
          <w:p>
            <w:pPr>
              <w:ind w:left="2440"/>
              <w:spacing w:after="0"/>
              <w:rPr>
                <w:sz w:val="20"/>
                <w:szCs w:val="20"/>
                <w:color w:val="auto"/>
              </w:rPr>
            </w:pPr>
            <w:r>
              <w:rPr>
                <w:rFonts w:ascii="Arial" w:cs="Arial" w:eastAsia="Arial" w:hAnsi="Arial"/>
                <w:sz w:val="16"/>
                <w:szCs w:val="16"/>
                <w:b w:val="1"/>
                <w:bCs w:val="1"/>
                <w:color w:val="auto"/>
              </w:rPr>
              <w:t>EXHIBIT INDEX</w:t>
            </w:r>
          </w:p>
        </w:tc>
      </w:tr>
      <w:tr>
        <w:trPr>
          <w:trHeight w:val="348"/>
        </w:trPr>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No.</w:t>
            </w:r>
          </w:p>
        </w:tc>
        <w:tc>
          <w:tcPr>
            <w:tcW w:w="76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Description</w:t>
            </w:r>
          </w:p>
        </w:tc>
        <w:tc>
          <w:tcPr>
            <w:tcW w:w="62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280"/>
        </w:trPr>
        <w:tc>
          <w:tcPr>
            <w:tcW w:w="640" w:type="dxa"/>
            <w:vAlign w:val="bottom"/>
          </w:tcPr>
          <w:p>
            <w:pPr>
              <w:spacing w:after="0"/>
              <w:rPr>
                <w:sz w:val="20"/>
                <w:szCs w:val="20"/>
                <w:color w:val="auto"/>
              </w:rPr>
            </w:pPr>
            <w:r>
              <w:rPr>
                <w:rFonts w:ascii="Arial" w:cs="Arial" w:eastAsia="Arial" w:hAnsi="Arial"/>
                <w:sz w:val="16"/>
                <w:szCs w:val="16"/>
                <w:color w:val="auto"/>
              </w:rPr>
              <w:t>99.1</w:t>
            </w:r>
          </w:p>
        </w:tc>
        <w:tc>
          <w:tcPr>
            <w:tcW w:w="76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6"/>
                <w:szCs w:val="16"/>
                <w:color w:val="auto"/>
              </w:rPr>
              <w:t>Press Release of NN, Inc. dated November 4, 2015.</w:t>
            </w:r>
          </w:p>
        </w:tc>
      </w:tr>
      <w:tr>
        <w:trPr>
          <w:trHeight w:val="288"/>
        </w:trPr>
        <w:tc>
          <w:tcPr>
            <w:tcW w:w="640" w:type="dxa"/>
            <w:vAlign w:val="bottom"/>
          </w:tcPr>
          <w:p>
            <w:pPr>
              <w:spacing w:after="0"/>
              <w:rPr>
                <w:sz w:val="20"/>
                <w:szCs w:val="20"/>
                <w:color w:val="auto"/>
              </w:rPr>
            </w:pPr>
            <w:r>
              <w:rPr>
                <w:rFonts w:ascii="Arial" w:cs="Arial" w:eastAsia="Arial" w:hAnsi="Arial"/>
                <w:sz w:val="16"/>
                <w:szCs w:val="16"/>
                <w:color w:val="auto"/>
              </w:rPr>
              <w:t>99.2</w:t>
            </w:r>
          </w:p>
        </w:tc>
        <w:tc>
          <w:tcPr>
            <w:tcW w:w="7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w w:val="91"/>
              </w:rPr>
              <w:t>Third Quarter 2015</w:t>
            </w:r>
          </w:p>
        </w:tc>
        <w:tc>
          <w:tcPr>
            <w:tcW w:w="5660" w:type="dxa"/>
            <w:vAlign w:val="bottom"/>
          </w:tcPr>
          <w:p>
            <w:pPr>
              <w:ind w:left="20"/>
              <w:spacing w:after="0"/>
              <w:rPr>
                <w:sz w:val="20"/>
                <w:szCs w:val="20"/>
                <w:color w:val="auto"/>
              </w:rPr>
            </w:pPr>
            <w:r>
              <w:rPr>
                <w:rFonts w:ascii="Arial" w:cs="Arial" w:eastAsia="Arial" w:hAnsi="Arial"/>
                <w:sz w:val="16"/>
                <w:szCs w:val="16"/>
                <w:color w:val="auto"/>
              </w:rPr>
              <w:t>Earnings Release Presentation of NN, Inc. dated November 4, 2015.</w:t>
            </w:r>
          </w:p>
        </w:tc>
      </w:tr>
      <w:tr>
        <w:trPr>
          <w:trHeight w:val="288"/>
        </w:trPr>
        <w:tc>
          <w:tcPr>
            <w:tcW w:w="640" w:type="dxa"/>
            <w:vAlign w:val="bottom"/>
          </w:tcPr>
          <w:p>
            <w:pPr>
              <w:spacing w:after="0"/>
              <w:rPr>
                <w:sz w:val="20"/>
                <w:szCs w:val="20"/>
                <w:color w:val="auto"/>
              </w:rPr>
            </w:pPr>
            <w:r>
              <w:rPr>
                <w:rFonts w:ascii="Arial" w:cs="Arial" w:eastAsia="Arial" w:hAnsi="Arial"/>
                <w:sz w:val="16"/>
                <w:szCs w:val="16"/>
                <w:color w:val="auto"/>
              </w:rPr>
              <w:t>99.3</w:t>
            </w:r>
          </w:p>
        </w:tc>
        <w:tc>
          <w:tcPr>
            <w:tcW w:w="7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w w:val="91"/>
              </w:rPr>
              <w:t>Third Quarter 2015</w:t>
            </w:r>
          </w:p>
        </w:tc>
        <w:tc>
          <w:tcPr>
            <w:tcW w:w="5660" w:type="dxa"/>
            <w:vAlign w:val="bottom"/>
          </w:tcPr>
          <w:p>
            <w:pPr>
              <w:ind w:left="20"/>
              <w:spacing w:after="0"/>
              <w:rPr>
                <w:sz w:val="20"/>
                <w:szCs w:val="20"/>
                <w:color w:val="auto"/>
              </w:rPr>
            </w:pPr>
            <w:r>
              <w:rPr>
                <w:rFonts w:ascii="Arial" w:cs="Arial" w:eastAsia="Arial" w:hAnsi="Arial"/>
                <w:sz w:val="16"/>
                <w:szCs w:val="16"/>
                <w:color w:val="auto"/>
                <w:w w:val="92"/>
              </w:rPr>
              <w:t>Non-GAAP to GAAP Reconciliation Presentation of NN, Inc. dated November 4, 2015.</w:t>
            </w:r>
          </w:p>
        </w:tc>
      </w:tr>
    </w:tbl>
    <w:p>
      <w:pPr>
        <w:sectPr>
          <w:pgSz w:w="11900" w:h="16838" w:orient="portrait"/>
          <w:cols w:equalWidth="0" w:num="1">
            <w:col w:w="10219"/>
          </w:cols>
          <w:pgMar w:left="240" w:top="25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153035</wp:posOffset>
            </wp:positionV>
            <wp:extent cx="1510030" cy="396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0030" cy="3968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687070</wp:posOffset>
            </wp:positionV>
            <wp:extent cx="1113790" cy="266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3790" cy="26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 NN,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207 Mockingbird Lane</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3</w:t>
      </w:r>
      <w:r>
        <w:rPr>
          <w:rFonts w:ascii="Arial" w:cs="Arial" w:eastAsia="Arial" w:hAnsi="Arial"/>
          <w:sz w:val="13"/>
          <w:szCs w:val="13"/>
          <w:color w:val="auto"/>
        </w:rPr>
        <w:t>rd</w:t>
      </w:r>
      <w:r>
        <w:rPr>
          <w:rFonts w:ascii="Arial" w:cs="Arial" w:eastAsia="Arial" w:hAnsi="Arial"/>
          <w:sz w:val="16"/>
          <w:szCs w:val="16"/>
          <w:color w:val="auto"/>
        </w:rPr>
        <w:t xml:space="preserve"> Floor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Johnson City, TN 37604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w:t>
      </w:r>
    </w:p>
    <w:p>
      <w:pPr>
        <w:sectPr>
          <w:pgSz w:w="11900" w:h="16838" w:orient="portrait"/>
          <w:cols w:equalWidth="0" w:num="1">
            <w:col w:w="11440"/>
          </w:cols>
          <w:pgMar w:left="240" w:top="123" w:right="21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AT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Robbie Atkinson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Corporate Treasurer &amp; 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(423) 434-8398</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AT FINANCIAL RELATIONS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Marilynn Meek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(General info)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212-827-3773</w:t>
      </w:r>
    </w:p>
    <w:p>
      <w:pPr>
        <w:spacing w:after="0" w:line="184" w:lineRule="exact"/>
        <w:rPr>
          <w:sz w:val="20"/>
          <w:szCs w:val="20"/>
          <w:color w:val="auto"/>
        </w:rPr>
      </w:pPr>
    </w:p>
    <w:p>
      <w:pPr>
        <w:sectPr>
          <w:pgSz w:w="11900" w:h="16838" w:orient="portrait"/>
          <w:cols w:equalWidth="0" w:num="2">
            <w:col w:w="5340" w:space="720"/>
            <w:col w:w="5380"/>
          </w:cols>
          <w:pgMar w:left="240" w:top="123" w:right="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November 4, 2015</w:t>
      </w:r>
    </w:p>
    <w:p>
      <w:pPr>
        <w:sectPr>
          <w:pgSz w:w="11900" w:h="16838" w:orient="portrait"/>
          <w:cols w:equalWidth="0" w:num="1">
            <w:col w:w="11440"/>
          </w:cols>
          <w:pgMar w:left="240" w:top="123" w:right="219" w:bottom="1440" w:gutter="0" w:footer="0" w:header="0"/>
          <w:type w:val="continuous"/>
        </w:sect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NN, INC. REPORTS THIRD QUARTER 2015 RESULTS</w:t>
      </w:r>
    </w:p>
    <w:p>
      <w:pPr>
        <w:spacing w:after="0" w:line="224" w:lineRule="exact"/>
        <w:rPr>
          <w:sz w:val="20"/>
          <w:szCs w:val="20"/>
          <w:color w:val="auto"/>
        </w:rPr>
      </w:pPr>
    </w:p>
    <w:p>
      <w:pPr>
        <w:ind w:left="900" w:hanging="339"/>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Net sales of $154.8 million, an increase of $29.2 million</w:t>
      </w:r>
    </w:p>
    <w:p>
      <w:pPr>
        <w:spacing w:after="0" w:line="116" w:lineRule="exact"/>
        <w:rPr>
          <w:rFonts w:ascii="Arial" w:cs="Arial" w:eastAsia="Arial" w:hAnsi="Arial"/>
          <w:sz w:val="16"/>
          <w:szCs w:val="16"/>
          <w:b w:val="1"/>
          <w:bCs w:val="1"/>
          <w:color w:val="auto"/>
        </w:rPr>
      </w:pPr>
    </w:p>
    <w:p>
      <w:pPr>
        <w:ind w:left="900" w:hanging="339"/>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Adjusted income from operations grew to $15.3 million</w:t>
      </w:r>
    </w:p>
    <w:p>
      <w:pPr>
        <w:spacing w:after="0" w:line="116" w:lineRule="exact"/>
        <w:rPr>
          <w:rFonts w:ascii="Arial" w:cs="Arial" w:eastAsia="Arial" w:hAnsi="Arial"/>
          <w:sz w:val="16"/>
          <w:szCs w:val="16"/>
          <w:b w:val="1"/>
          <w:bCs w:val="1"/>
          <w:color w:val="auto"/>
        </w:rPr>
      </w:pPr>
    </w:p>
    <w:p>
      <w:pPr>
        <w:ind w:left="900" w:hanging="339"/>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Adjusted net income of $8.3 million or $0.31 per diluted share</w:t>
      </w:r>
    </w:p>
    <w:p>
      <w:pPr>
        <w:spacing w:after="0" w:line="200" w:lineRule="exact"/>
        <w:rPr>
          <w:sz w:val="20"/>
          <w:szCs w:val="20"/>
          <w:color w:val="auto"/>
        </w:rPr>
      </w:pPr>
    </w:p>
    <w:p>
      <w:pPr>
        <w:ind w:right="680"/>
        <w:spacing w:after="0" w:line="282" w:lineRule="auto"/>
        <w:rPr>
          <w:sz w:val="20"/>
          <w:szCs w:val="20"/>
          <w:color w:val="auto"/>
        </w:rPr>
      </w:pPr>
      <w:r>
        <w:rPr>
          <w:rFonts w:ascii="Arial" w:cs="Arial" w:eastAsia="Arial" w:hAnsi="Arial"/>
          <w:sz w:val="16"/>
          <w:szCs w:val="16"/>
          <w:b w:val="1"/>
          <w:bCs w:val="1"/>
          <w:color w:val="auto"/>
        </w:rPr>
        <w:t>Johnson City, Tenn, November 4, 2015 –</w:t>
      </w:r>
      <w:r>
        <w:rPr>
          <w:rFonts w:ascii="Arial" w:cs="Arial" w:eastAsia="Arial" w:hAnsi="Arial"/>
          <w:sz w:val="16"/>
          <w:szCs w:val="16"/>
          <w:color w:val="auto"/>
        </w:rPr>
        <w:t>NN, Inc., (NASDAQ: NNBR) a diversified industrial company, today reported its financial results for the third quarter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2015.</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2015 Results</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color w:val="auto"/>
        </w:rPr>
        <w:t>Net sales for the third quarter of 2015 increased $29.2 million, or 23% to $154.8 million, compared to $125.6 million for the third quarter of 2014. Acquisitions added $41.6 million in revenue. Negative currency impacts reduced reported net sales by $7.8 million versus the third quarter of last year.</w:t>
      </w:r>
    </w:p>
    <w:p>
      <w:pPr>
        <w:spacing w:after="0" w:line="152"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Adjusted income from operations for the third quarter of 2015 was $15.3 million, an increase of 44%, compared to $10.6 million for the same period in 2014. Adjusted net income, which excludes the after-tax impact of foreign exchange on inter-company loans and after-tax acquisition and integration expenses, increased to $8.3 million, or $0.31 per diluted share, compared to $6.3 million, or $0.34 per diluted share for the same period in 2014. In the quarter the Company also issued 7.6 million shares related to the completion of the follow-on stock offering earlier this year.</w:t>
      </w:r>
    </w:p>
    <w:p>
      <w:pPr>
        <w:spacing w:after="0" w:line="167" w:lineRule="exact"/>
        <w:rPr>
          <w:sz w:val="20"/>
          <w:szCs w:val="20"/>
          <w:color w:val="auto"/>
        </w:rPr>
      </w:pPr>
    </w:p>
    <w:p>
      <w:pPr>
        <w:ind w:right="200"/>
        <w:spacing w:after="0" w:line="351" w:lineRule="auto"/>
        <w:rPr>
          <w:sz w:val="20"/>
          <w:szCs w:val="20"/>
          <w:color w:val="auto"/>
        </w:rPr>
      </w:pPr>
      <w:r>
        <w:rPr>
          <w:rFonts w:ascii="Arial" w:cs="Arial" w:eastAsia="Arial" w:hAnsi="Arial"/>
          <w:sz w:val="14"/>
          <w:szCs w:val="14"/>
          <w:color w:val="auto"/>
        </w:rPr>
        <w:t>On a GAAP basis, income from operations for the third quarter of 2015 was $10.1 million, compared to $2.6 million for the same period in 2014. Net income on a GAAP basis for the third quarter of 2015 was $4.6 million, or $0.17 per diluted share. This compares to a net loss $3.8 million, or $0.21 per diluted share in the third quarter of 2014.</w:t>
      </w:r>
    </w:p>
    <w:p>
      <w:pPr>
        <w:sectPr>
          <w:pgSz w:w="11900" w:h="16838" w:orient="portrait"/>
          <w:cols w:equalWidth="0" w:num="1">
            <w:col w:w="11440"/>
          </w:cols>
          <w:pgMar w:left="240" w:top="123" w:right="219" w:bottom="1440" w:gutter="0" w:footer="0" w:header="0"/>
          <w:type w:val="continuous"/>
        </w:sectPr>
      </w:pPr>
    </w:p>
    <w:bookmarkStart w:id="5" w:name="page6"/>
    <w:bookmarkEnd w:id="5"/>
    <w:p>
      <w:pPr>
        <w:ind w:right="2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Richard Holder, President and Chief Executive Officer, commented, “The third quarter presented a series of challenges in the broader economy that impacted our sales during the quarter. Despite these headwinds we began to see the impact of the NN Operating System as we were able to appropriately manage our business in a rapidly changing environment and deliver strong operating performance.”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Group Results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Metal Bearing Components</w:t>
      </w:r>
    </w:p>
    <w:p>
      <w:pPr>
        <w:spacing w:after="0" w:line="108"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Net sales for the group decreased $9.0 million to $60.5 million during the third quarter of 2015, compared to $69.6 million for third quarter 2014. Negative currency impacts of $6.7 million as well as volume and price/mix reductions of $2.3 million accounted for the decline. Income from operations for the third quarter was $6.6 million, compared to $7.6 million in the third quarter of 2014.</w:t>
      </w:r>
    </w:p>
    <w:p>
      <w:pPr>
        <w:spacing w:after="0" w:line="162" w:lineRule="exact"/>
        <w:rPr>
          <w:sz w:val="20"/>
          <w:szCs w:val="20"/>
          <w:color w:val="auto"/>
        </w:rPr>
      </w:pPr>
    </w:p>
    <w:p>
      <w:pPr>
        <w:ind w:right="240"/>
        <w:spacing w:after="0" w:line="351" w:lineRule="auto"/>
        <w:rPr>
          <w:sz w:val="20"/>
          <w:szCs w:val="20"/>
          <w:color w:val="auto"/>
        </w:rPr>
      </w:pPr>
      <w:r>
        <w:rPr>
          <w:rFonts w:ascii="Arial" w:cs="Arial" w:eastAsia="Arial" w:hAnsi="Arial"/>
          <w:sz w:val="14"/>
          <w:szCs w:val="14"/>
          <w:color w:val="auto"/>
        </w:rPr>
        <w:t>“Changes in demand in Asia as well as the continued effects of negative currency translation weighed on our MBC business during the quarter as sales declined $9.0 million,” said Holder. “However, the business was still able to hold operating margins on a year over year basis as we continue to drive results through the operating system.”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Autocam Precision Components</w:t>
      </w:r>
    </w:p>
    <w:p>
      <w:pPr>
        <w:spacing w:after="0" w:line="108"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Net sales for the third quarter of 2015 were $83.2 million, compared to $46.6 million in the third quarter of 2014, an increase of $36.6 million. Acquisitions accounted for $39.7 million of the increase. Income from operations for the quarter increased $5.4 million to $10.9 million, compared to $5.5 million in the third quarter of 2014.</w:t>
      </w:r>
    </w:p>
    <w:p>
      <w:pPr>
        <w:spacing w:after="0" w:line="128"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Holder commented, “The Autocam Precision Components Group continued to perform well despite the conditions in Asia and Brazil. APC’s focus is on CAFE technologies that have adoption rates and growth trends not tied to normal end market cyclicality. In accordance with our continued execution of our Autocam synergy plan we’re announcing the closure of one of our APC facilities early next year.”</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Plastic and Rubber Components</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Net sales for the third quarter increased $1.6 million to $11.0 million, compared to $9.4 million for the same period in 2014. Income from operations for the quarter was $0.6 million, compared to $0.2 million in 2014.</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Precision Engineered Products (PEP) Acquisition Update</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Holder commented, “As announced during the third quarter we closed the PEP acquisition in October. Year to date PEP’s sales and margins continue to be in line with our expectations. Starting with the fourth quarter we will be reporting PEP as a segment within our portfolio. Additionally, the PEP Group will include our existing Plastic and Rubber Components Group as part of our continued focus on properly aligning all of our businesses to address the end markets we serve. PEP is an important part of our strategic plan and we again welcome the team to our family.”</w:t>
      </w:r>
    </w:p>
    <w:p>
      <w:pPr>
        <w:sectPr>
          <w:pgSz w:w="11900" w:h="16838" w:orient="portrait"/>
          <w:cols w:equalWidth="0" w:num="1">
            <w:col w:w="11400"/>
          </w:cols>
          <w:pgMar w:left="240" w:top="259" w:right="259" w:bottom="1440" w:gutter="0" w:footer="0" w:header="0"/>
        </w:sectPr>
      </w:pPr>
    </w:p>
    <w:bookmarkStart w:id="6" w:name="page7"/>
    <w:bookmarkEnd w:id="6"/>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Guidance</w:t>
      </w:r>
    </w:p>
    <w:p>
      <w:pPr>
        <w:spacing w:after="0" w:line="108"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auto"/>
        </w:rPr>
        <w:t>Holder continued, “As previously committed, beginning with the fourth quarter we will initiate a more comprehensive set of financial guidance designed to help our shareholders have the appropriate information to accurately evaluate our performance. This will include sales, adjusted EBITDA, adjusted operating margin, and adjusted earnings per share. With the completion of the PEP acquisition we will also begin excluding non-cash amortization charges from our adjusted earnings per share. We believe removing these charges provides the shareholder with the best evaluation of the Company’s performance.”</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full set of financial guidance for the fourth quarter and 2016 can be found in our supplemental deck on our website.</w:t>
      </w:r>
    </w:p>
    <w:p>
      <w:pPr>
        <w:spacing w:after="0" w:line="200" w:lineRule="exact"/>
        <w:rPr>
          <w:sz w:val="20"/>
          <w:szCs w:val="20"/>
          <w:color w:val="auto"/>
        </w:rPr>
      </w:pPr>
    </w:p>
    <w:p>
      <w:pPr>
        <w:ind w:left="4" w:right="300"/>
        <w:spacing w:after="0" w:line="264" w:lineRule="auto"/>
        <w:rPr>
          <w:sz w:val="20"/>
          <w:szCs w:val="20"/>
          <w:color w:val="auto"/>
        </w:rPr>
      </w:pPr>
      <w:r>
        <w:rPr>
          <w:rFonts w:ascii="Arial" w:cs="Arial" w:eastAsia="Arial" w:hAnsi="Arial"/>
          <w:sz w:val="16"/>
          <w:szCs w:val="16"/>
          <w:color w:val="auto"/>
        </w:rPr>
        <w:t>Holder concluded, “I am encouraged with our results in the face of an ever changing macro environment. Our focus this year on implementing the NN Operating System and managing our organizational flex has had a significant impact on the quarter as we were able to deliver operating improvements in all of our businesses. Finally, with the announcement and subsequent close of the PEP acquisition we remain focused on executing our strategic plan.”</w:t>
      </w:r>
    </w:p>
    <w:p>
      <w:pPr>
        <w:spacing w:after="0" w:line="162" w:lineRule="exact"/>
        <w:rPr>
          <w:sz w:val="20"/>
          <w:szCs w:val="20"/>
          <w:color w:val="auto"/>
        </w:rPr>
      </w:pPr>
    </w:p>
    <w:p>
      <w:pPr>
        <w:ind w:left="4" w:right="400" w:hanging="4"/>
        <w:spacing w:after="0" w:line="264" w:lineRule="auto"/>
        <w:tabs>
          <w:tab w:leader="none" w:pos="275" w:val="left"/>
        </w:tabs>
        <w:numPr>
          <w:ilvl w:val="0"/>
          <w:numId w:val="3"/>
        </w:numPr>
        <w:rPr>
          <w:rFonts w:ascii="Arial" w:cs="Arial" w:eastAsia="Arial" w:hAnsi="Arial"/>
          <w:sz w:val="16"/>
          <w:szCs w:val="16"/>
          <w:color w:val="auto"/>
        </w:rPr>
      </w:pPr>
      <w:r>
        <w:rPr>
          <w:rFonts w:ascii="Arial" w:cs="Arial" w:eastAsia="Arial" w:hAnsi="Arial"/>
          <w:sz w:val="16"/>
          <w:szCs w:val="16"/>
          <w:color w:val="auto"/>
        </w:rPr>
        <w:t>will discuss its results during its quarterly investor conference call tomorrow morning starting at 9:00 a.m. ET. The call and an accompanying slide presentation may be accessed via NN’s website. The conference call can also be accessed by dialing 888-427-9376; conference id – 5901109. For those who are unavailable to listen to the live broadcast, a replay will be available shortly after the call for 90 days.</w:t>
      </w:r>
    </w:p>
    <w:p>
      <w:pPr>
        <w:spacing w:after="0" w:line="162" w:lineRule="exact"/>
        <w:rPr>
          <w:sz w:val="20"/>
          <w:szCs w:val="20"/>
          <w:color w:val="auto"/>
        </w:rPr>
      </w:pPr>
    </w:p>
    <w:p>
      <w:pPr>
        <w:ind w:left="4" w:right="500"/>
        <w:spacing w:after="0" w:line="277" w:lineRule="auto"/>
        <w:rPr>
          <w:sz w:val="20"/>
          <w:szCs w:val="20"/>
          <w:color w:val="auto"/>
        </w:rPr>
      </w:pPr>
      <w:r>
        <w:rPr>
          <w:rFonts w:ascii="Arial" w:cs="Arial" w:eastAsia="Arial" w:hAnsi="Arial"/>
          <w:sz w:val="16"/>
          <w:szCs w:val="16"/>
          <w:color w:val="auto"/>
        </w:rPr>
        <w:t>The attached financial tables include a reconciliation of adjusted income from operations, adjusted net income and adjusted earnings per share to the U.S. GAAP financial measures of income from operations and net income.</w:t>
      </w:r>
    </w:p>
    <w:p>
      <w:pPr>
        <w:spacing w:after="0" w:line="152"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43 manufacturing plants in the North America, Western Europe, Eastern Europe, South America and China.</w:t>
      </w:r>
    </w:p>
    <w:p>
      <w:pPr>
        <w:spacing w:after="0" w:line="162" w:lineRule="exact"/>
        <w:rPr>
          <w:sz w:val="20"/>
          <w:szCs w:val="20"/>
          <w:color w:val="auto"/>
        </w:rPr>
      </w:pPr>
    </w:p>
    <w:p>
      <w:pPr>
        <w:ind w:left="4"/>
        <w:spacing w:after="0" w:line="291" w:lineRule="auto"/>
        <w:rPr>
          <w:sz w:val="20"/>
          <w:szCs w:val="20"/>
          <w:color w:val="auto"/>
        </w:rPr>
      </w:pPr>
      <w:r>
        <w:rPr>
          <w:rFonts w:ascii="Arial" w:cs="Arial" w:eastAsia="Arial" w:hAnsi="Arial"/>
          <w:sz w:val="14"/>
          <w:szCs w:val="14"/>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ectPr>
          <w:pgSz w:w="11900" w:h="16838" w:orient="portrait"/>
          <w:cols w:equalWidth="0" w:num="1">
            <w:col w:w="11404"/>
          </w:cols>
          <w:pgMar w:left="236" w:top="255" w:right="259" w:bottom="1440" w:gutter="0" w:footer="0" w:header="0"/>
        </w:sectPr>
      </w:pPr>
    </w:p>
    <w:bookmarkStart w:id="7" w:name="page8"/>
    <w:bookmarkEnd w:id="7"/>
    <w:p>
      <w:pPr>
        <w:spacing w:after="0" w:line="282"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and quarterly report on form 10-Q for the quarterly period ended September 30, 2015. Except as required by law, we undertake no obligation to update or revise any forward-looking statements we make in our press releases, whether as a result of new information, future events or otherwise.</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Financial Tables Follow</w:t>
      </w:r>
    </w:p>
    <w:p>
      <w:pPr>
        <w:sectPr>
          <w:pgSz w:w="11900" w:h="16838" w:orient="portrait"/>
          <w:cols w:equalWidth="0" w:num="1">
            <w:col w:w="11280"/>
          </w:cols>
          <w:pgMar w:left="240" w:top="259"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NN,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Income</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w w:val="96"/>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8"/>
              </w:rPr>
              <w:t>Nine Months Ended</w:t>
            </w:r>
          </w:p>
        </w:tc>
        <w:tc>
          <w:tcPr>
            <w:tcW w:w="0" w:type="dxa"/>
            <w:vAlign w:val="bottom"/>
          </w:tcPr>
          <w:p>
            <w:pPr>
              <w:spacing w:after="0"/>
              <w:rPr>
                <w:sz w:val="1"/>
                <w:szCs w:val="1"/>
                <w:color w:val="auto"/>
              </w:rPr>
            </w:pPr>
          </w:p>
        </w:tc>
      </w:tr>
      <w:tr>
        <w:trPr>
          <w:trHeight w:val="156"/>
        </w:trPr>
        <w:tc>
          <w:tcPr>
            <w:tcW w:w="7940" w:type="dxa"/>
            <w:vAlign w:val="bottom"/>
            <w:gridSpan w:val="3"/>
            <w:vMerge w:val="restart"/>
          </w:tcPr>
          <w:p>
            <w:pPr>
              <w:spacing w:after="0"/>
              <w:rPr>
                <w:sz w:val="20"/>
                <w:szCs w:val="20"/>
                <w:color w:val="auto"/>
              </w:rPr>
            </w:pPr>
            <w:r>
              <w:rPr>
                <w:rFonts w:ascii="Arial" w:cs="Arial" w:eastAsia="Arial" w:hAnsi="Arial"/>
                <w:sz w:val="13"/>
                <w:szCs w:val="13"/>
                <w:color w:val="auto"/>
              </w:rPr>
              <w:t>(In Thousands of Dollars, Except Per Share Data)</w:t>
            </w:r>
          </w:p>
        </w:tc>
        <w:tc>
          <w:tcPr>
            <w:tcW w:w="100" w:type="dxa"/>
            <w:vAlign w:val="bottom"/>
          </w:tcPr>
          <w:p>
            <w:pPr>
              <w:spacing w:after="0"/>
              <w:rPr>
                <w:sz w:val="13"/>
                <w:szCs w:val="13"/>
                <w:color w:val="auto"/>
              </w:rPr>
            </w:pPr>
          </w:p>
        </w:tc>
        <w:tc>
          <w:tcPr>
            <w:tcW w:w="164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0"/>
        </w:trPr>
        <w:tc>
          <w:tcPr>
            <w:tcW w:w="79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2"/>
              <w:spacing w:after="0" w:line="140"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1"/>
              <w:spacing w:after="0" w:line="140" w:lineRule="exact"/>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2"/>
              <w:spacing w:after="0" w:line="140" w:lineRule="exact"/>
              <w:rPr>
                <w:sz w:val="20"/>
                <w:szCs w:val="20"/>
                <w:color w:val="auto"/>
              </w:rPr>
            </w:pPr>
            <w:r>
              <w:rPr>
                <w:rFonts w:ascii="Arial" w:cs="Arial" w:eastAsia="Arial" w:hAnsi="Arial"/>
                <w:sz w:val="13"/>
                <w:szCs w:val="13"/>
                <w:b w:val="1"/>
                <w:bCs w:val="1"/>
                <w:color w:val="auto"/>
              </w:rPr>
              <w:t>2015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1"/>
              <w:spacing w:after="0" w:line="140"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Net sales</w:t>
            </w:r>
          </w:p>
        </w:tc>
        <w:tc>
          <w:tcPr>
            <w:tcW w:w="5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6"/>
              </w:rPr>
              <w:t>154,824</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6"/>
              </w:rPr>
              <w:t>125,632</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6"/>
              </w:rPr>
              <w:t>483,425</w:t>
            </w: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6"/>
              </w:rPr>
              <w:t>334,840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2"/>
          </w:tcPr>
          <w:p>
            <w:pPr>
              <w:spacing w:after="0"/>
              <w:rPr>
                <w:sz w:val="20"/>
                <w:szCs w:val="20"/>
                <w:color w:val="auto"/>
              </w:rPr>
            </w:pPr>
            <w:r>
              <w:rPr>
                <w:rFonts w:ascii="Arial" w:cs="Arial" w:eastAsia="Arial" w:hAnsi="Arial"/>
                <w:sz w:val="16"/>
                <w:szCs w:val="16"/>
                <w:color w:val="auto"/>
              </w:rPr>
              <w:t>Cost of products sold (exclusive of depreciation and amortization shown separately below)</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120,195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w w:val="86"/>
              </w:rPr>
              <w:t>100,441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w w:val="86"/>
              </w:rPr>
              <w:t>378,220</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265,010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11,949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11,124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37,910</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29,799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2"/>
          </w:tcPr>
          <w:p>
            <w:pPr>
              <w:spacing w:after="0"/>
              <w:rPr>
                <w:sz w:val="20"/>
                <w:szCs w:val="20"/>
                <w:color w:val="auto"/>
              </w:rPr>
            </w:pPr>
            <w:r>
              <w:rPr>
                <w:rFonts w:ascii="Arial" w:cs="Arial" w:eastAsia="Arial" w:hAnsi="Arial"/>
                <w:sz w:val="16"/>
                <w:szCs w:val="16"/>
                <w:color w:val="auto"/>
              </w:rPr>
              <w:t>Acquisition related costs excluded from selling, general and administrative</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3,948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5,651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3,948</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8,610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5,864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25,702</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13,824</w:t>
            </w:r>
          </w:p>
        </w:tc>
        <w:tc>
          <w:tcPr>
            <w:tcW w:w="0" w:type="dxa"/>
            <w:vAlign w:val="bottom"/>
          </w:tcPr>
          <w:p>
            <w:pPr>
              <w:spacing w:after="0"/>
              <w:rPr>
                <w:sz w:val="1"/>
                <w:szCs w:val="1"/>
                <w:color w:val="auto"/>
              </w:rPr>
            </w:pPr>
          </w:p>
        </w:tc>
      </w:tr>
      <w:tr>
        <w:trPr>
          <w:trHeight w:val="196"/>
        </w:trPr>
        <w:tc>
          <w:tcPr>
            <w:tcW w:w="7940" w:type="dxa"/>
            <w:vAlign w:val="bottom"/>
            <w:gridSpan w:val="3"/>
          </w:tcPr>
          <w:p>
            <w:pPr>
              <w:spacing w:after="0"/>
              <w:rPr>
                <w:sz w:val="20"/>
                <w:szCs w:val="20"/>
                <w:color w:val="auto"/>
              </w:rPr>
            </w:pPr>
            <w:r>
              <w:rPr>
                <w:rFonts w:ascii="Arial" w:cs="Arial" w:eastAsia="Arial" w:hAnsi="Arial"/>
                <w:sz w:val="16"/>
                <w:szCs w:val="16"/>
                <w:color w:val="auto"/>
              </w:rPr>
              <w:t>Income from operations</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10,122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37,645</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4,584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5,622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16,543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2"/>
          </w:tcPr>
          <w:p>
            <w:pPr>
              <w:spacing w:after="0"/>
              <w:rPr>
                <w:sz w:val="20"/>
                <w:szCs w:val="20"/>
                <w:color w:val="auto"/>
              </w:rPr>
            </w:pPr>
            <w:r>
              <w:rPr>
                <w:rFonts w:ascii="Arial" w:cs="Arial" w:eastAsia="Arial" w:hAnsi="Arial"/>
                <w:sz w:val="16"/>
                <w:szCs w:val="16"/>
                <w:color w:val="auto"/>
              </w:rPr>
              <w:t>Other expense, net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593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1,557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2,012</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before provision (benefit) for income taxes and share of net income from joint venture</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4,945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(4,627)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19,090</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2"/>
          </w:tcPr>
          <w:p>
            <w:pPr>
              <w:spacing w:after="0"/>
              <w:rPr>
                <w:sz w:val="20"/>
                <w:szCs w:val="20"/>
                <w:color w:val="auto"/>
              </w:rPr>
            </w:pPr>
            <w:r>
              <w:rPr>
                <w:rFonts w:ascii="Arial" w:cs="Arial" w:eastAsia="Arial" w:hAnsi="Arial"/>
                <w:sz w:val="16"/>
                <w:szCs w:val="16"/>
                <w:color w:val="auto"/>
              </w:rPr>
              <w:t>Provision (benefit) for income taxes</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936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(562)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4,009</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 of net income from joint venture</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2,503</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gridSpan w:val="2"/>
          </w:tcPr>
          <w:p>
            <w:pPr>
              <w:ind w:left="300"/>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(3,840)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17,584</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6"/>
                <w:szCs w:val="16"/>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40" w:type="dxa"/>
            <w:vAlign w:val="bottom"/>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26,839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17,979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20,122</w:t>
            </w: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17,749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Diluted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0.17</w:t>
            </w:r>
          </w:p>
        </w:tc>
        <w:tc>
          <w:tcPr>
            <w:tcW w:w="2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(0.21)</w:t>
            </w:r>
          </w:p>
        </w:tc>
        <w:tc>
          <w:tcPr>
            <w:tcW w:w="2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20"/>
              <w:spacing w:after="0" w:line="181" w:lineRule="exact"/>
              <w:rPr>
                <w:sz w:val="20"/>
                <w:szCs w:val="20"/>
                <w:color w:val="auto"/>
              </w:rPr>
            </w:pPr>
            <w:r>
              <w:rPr>
                <w:rFonts w:ascii="Arial" w:cs="Arial" w:eastAsia="Arial" w:hAnsi="Arial"/>
                <w:sz w:val="16"/>
                <w:szCs w:val="16"/>
                <w:color w:val="auto"/>
              </w:rPr>
              <w:t>0.86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6"/>
                <w:szCs w:val="16"/>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40" w:type="dxa"/>
            <w:vAlign w:val="bottom"/>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27,167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17,979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20,467</w:t>
            </w: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18,120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Cash 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0.07</w:t>
            </w:r>
          </w:p>
        </w:tc>
        <w:tc>
          <w:tcPr>
            <w:tcW w:w="2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0.07</w:t>
            </w:r>
          </w:p>
        </w:tc>
        <w:tc>
          <w:tcPr>
            <w:tcW w:w="2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20"/>
              <w:spacing w:after="0" w:line="181" w:lineRule="exact"/>
              <w:rPr>
                <w:sz w:val="20"/>
                <w:szCs w:val="20"/>
                <w:color w:val="auto"/>
              </w:rPr>
            </w:pPr>
            <w:r>
              <w:rPr>
                <w:rFonts w:ascii="Arial" w:cs="Arial" w:eastAsia="Arial" w:hAnsi="Arial"/>
                <w:sz w:val="16"/>
                <w:szCs w:val="16"/>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55" w:right="2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NN,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Balance Sheets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2"/>
        </w:trPr>
        <w:tc>
          <w:tcPr>
            <w:tcW w:w="6380" w:type="dxa"/>
            <w:vAlign w:val="bottom"/>
            <w:gridSpan w:val="2"/>
          </w:tcPr>
          <w:p>
            <w:pPr>
              <w:spacing w:after="0"/>
              <w:rPr>
                <w:sz w:val="20"/>
                <w:szCs w:val="20"/>
                <w:color w:val="auto"/>
              </w:rPr>
            </w:pPr>
            <w:r>
              <w:rPr>
                <w:rFonts w:ascii="Arial" w:cs="Arial" w:eastAsia="Arial" w:hAnsi="Arial"/>
                <w:sz w:val="13"/>
                <w:szCs w:val="13"/>
                <w:color w:val="auto"/>
              </w:rPr>
              <w:t>(In Thousands of Dollars)</w:t>
            </w:r>
          </w:p>
        </w:tc>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1"/>
              <w:spacing w:after="0"/>
              <w:rPr>
                <w:sz w:val="20"/>
                <w:szCs w:val="20"/>
                <w:color w:val="auto"/>
              </w:rPr>
            </w:pPr>
            <w:r>
              <w:rPr>
                <w:rFonts w:ascii="Arial" w:cs="Arial" w:eastAsia="Arial" w:hAnsi="Arial"/>
                <w:sz w:val="13"/>
                <w:szCs w:val="13"/>
                <w:b w:val="1"/>
                <w:bCs w:val="1"/>
                <w:color w:val="auto"/>
              </w:rPr>
              <w:t>2015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1"/>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6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Assets</w:t>
            </w:r>
          </w:p>
        </w:tc>
        <w:tc>
          <w:tcPr>
            <w:tcW w:w="29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Current assets:</w:t>
            </w:r>
          </w:p>
        </w:tc>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w:t>
            </w:r>
          </w:p>
        </w:tc>
        <w:tc>
          <w:tcPr>
            <w:tcW w:w="3080" w:type="dxa"/>
            <w:vAlign w:val="bottom"/>
            <w:gridSpan w:val="2"/>
            <w:shd w:val="clear" w:color="auto" w:fill="CCEEFF"/>
          </w:tcPr>
          <w:p>
            <w:pPr>
              <w:ind w:left="29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40,102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108,144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97,510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Inventories</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92,579</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91,469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Other current assets</w:t>
            </w: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17,560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16,503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9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258,385</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242,799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266,562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278,442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Goodwill, net</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85,447</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Intangible asset, net</w:t>
            </w:r>
          </w:p>
        </w:tc>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51,829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52,827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joint venture</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37,088</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20,165</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20,001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assets</w:t>
            </w:r>
          </w:p>
        </w:tc>
        <w:tc>
          <w:tcPr>
            <w:tcW w:w="3080" w:type="dxa"/>
            <w:vAlign w:val="bottom"/>
            <w:gridSpan w:val="2"/>
            <w:shd w:val="clear" w:color="auto" w:fill="CCEEFF"/>
          </w:tcPr>
          <w:p>
            <w:pPr>
              <w:ind w:left="29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719,476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712,713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80" w:type="dxa"/>
            <w:vAlign w:val="bottom"/>
            <w:gridSpan w:val="2"/>
            <w:vMerge w:val="continue"/>
          </w:tcPr>
          <w:p>
            <w:pPr>
              <w:spacing w:after="0"/>
              <w:rPr>
                <w:sz w:val="15"/>
                <w:szCs w:val="15"/>
                <w:color w:val="auto"/>
              </w:rPr>
            </w:pPr>
          </w:p>
        </w:tc>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3080" w:type="dxa"/>
            <w:vAlign w:val="bottom"/>
            <w:gridSpan w:val="2"/>
          </w:tcPr>
          <w:p>
            <w:pPr>
              <w:ind w:left="29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60,338</w:t>
            </w:r>
          </w:p>
        </w:tc>
        <w:tc>
          <w:tcPr>
            <w:tcW w:w="4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71,094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salaries, wages and benefits</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18,362</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Current maturities of long-term debt</w:t>
            </w:r>
          </w:p>
        </w:tc>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21,677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22,160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payable</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4,933</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Current portion of obligations under capital lease</w:t>
            </w:r>
          </w:p>
        </w:tc>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5,066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10,747</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ind w:left="620"/>
              <w:spacing w:after="0"/>
              <w:rPr>
                <w:sz w:val="20"/>
                <w:szCs w:val="20"/>
                <w:color w:val="auto"/>
              </w:rPr>
            </w:pPr>
            <w:r>
              <w:rPr>
                <w:rFonts w:ascii="Arial" w:cs="Arial" w:eastAsia="Arial" w:hAnsi="Arial"/>
                <w:sz w:val="16"/>
                <w:szCs w:val="16"/>
                <w:color w:val="auto"/>
              </w:rPr>
              <w:t>Total current liabilities</w:t>
            </w:r>
          </w:p>
        </w:tc>
        <w:tc>
          <w:tcPr>
            <w:tcW w:w="2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121,123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137,598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Non-current deferred tax liabilities</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46,950</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49,461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184,356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328,026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Obligations under capital lease, net of current portion</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10,759</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liabilities</w:t>
            </w:r>
          </w:p>
        </w:tc>
        <w:tc>
          <w:tcPr>
            <w:tcW w:w="2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375,772</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539,014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343,704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173,699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3080" w:type="dxa"/>
            <w:vAlign w:val="bottom"/>
            <w:gridSpan w:val="2"/>
            <w:shd w:val="clear" w:color="auto" w:fill="CCEEFF"/>
          </w:tcPr>
          <w:p>
            <w:pPr>
              <w:ind w:left="29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719,476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712,713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55" w:right="219"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NN, Inc.</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Reconciliation of Non-GAAP to GAAP Financial Measures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net income to adjusted net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7"/>
          </w:tcPr>
          <w:p>
            <w:pPr>
              <w:jc w:val="right"/>
              <w:ind w:right="740"/>
              <w:spacing w:after="0"/>
              <w:rPr>
                <w:sz w:val="20"/>
                <w:szCs w:val="20"/>
                <w:color w:val="auto"/>
              </w:rPr>
            </w:pPr>
            <w:r>
              <w:rPr>
                <w:rFonts w:ascii="Arial" w:cs="Arial" w:eastAsia="Arial" w:hAnsi="Arial"/>
                <w:sz w:val="13"/>
                <w:szCs w:val="13"/>
                <w:b w:val="1"/>
                <w:bCs w:val="1"/>
                <w:color w:val="auto"/>
              </w:rPr>
              <w:t>Three Months Ended</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6"/>
          </w:tcPr>
          <w:p>
            <w:pPr>
              <w:jc w:val="center"/>
              <w:ind w:left="285"/>
              <w:spacing w:after="0"/>
              <w:rPr>
                <w:sz w:val="20"/>
                <w:szCs w:val="20"/>
                <w:color w:val="auto"/>
              </w:rPr>
            </w:pPr>
            <w:r>
              <w:rPr>
                <w:rFonts w:ascii="Arial" w:cs="Arial" w:eastAsia="Arial" w:hAnsi="Arial"/>
                <w:sz w:val="13"/>
                <w:szCs w:val="13"/>
                <w:b w:val="1"/>
                <w:bCs w:val="1"/>
                <w:color w:val="auto"/>
                <w:w w:val="90"/>
              </w:rPr>
              <w:t>Three Months Ended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gridSpan w:val="7"/>
          </w:tcPr>
          <w:p>
            <w:pPr>
              <w:jc w:val="right"/>
              <w:ind w:right="780"/>
              <w:spacing w:after="0" w:line="144" w:lineRule="exact"/>
              <w:rPr>
                <w:sz w:val="20"/>
                <w:szCs w:val="20"/>
                <w:color w:val="auto"/>
              </w:rPr>
            </w:pPr>
            <w:r>
              <w:rPr>
                <w:rFonts w:ascii="Arial" w:cs="Arial" w:eastAsia="Arial" w:hAnsi="Arial"/>
                <w:sz w:val="13"/>
                <w:szCs w:val="13"/>
                <w:b w:val="1"/>
                <w:bCs w:val="1"/>
                <w:color w:val="auto"/>
              </w:rPr>
              <w:t>September 30, 2015</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6"/>
          </w:tcPr>
          <w:p>
            <w:pPr>
              <w:jc w:val="center"/>
              <w:ind w:left="285"/>
              <w:spacing w:after="0" w:line="144" w:lineRule="exact"/>
              <w:rPr>
                <w:sz w:val="20"/>
                <w:szCs w:val="20"/>
                <w:color w:val="auto"/>
              </w:rPr>
            </w:pPr>
            <w:r>
              <w:rPr>
                <w:rFonts w:ascii="Arial" w:cs="Arial" w:eastAsia="Arial" w:hAnsi="Arial"/>
                <w:sz w:val="13"/>
                <w:szCs w:val="13"/>
                <w:b w:val="1"/>
                <w:bCs w:val="1"/>
                <w:color w:val="auto"/>
                <w:w w:val="88"/>
              </w:rPr>
              <w:t>September 30, 2014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80"/>
              <w:spacing w:after="0" w:line="133" w:lineRule="exact"/>
              <w:rPr>
                <w:sz w:val="20"/>
                <w:szCs w:val="20"/>
                <w:color w:val="auto"/>
              </w:rPr>
            </w:pPr>
            <w:r>
              <w:rPr>
                <w:rFonts w:ascii="Arial" w:cs="Arial" w:eastAsia="Arial" w:hAnsi="Arial"/>
                <w:sz w:val="13"/>
                <w:szCs w:val="13"/>
                <w:b w:val="1"/>
                <w:bCs w:val="1"/>
                <w:color w:val="auto"/>
                <w:w w:val="90"/>
              </w:rPr>
              <w:t>Diluted</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3"/>
          </w:tcPr>
          <w:p>
            <w:pPr>
              <w:jc w:val="center"/>
              <w:ind w:right="400"/>
              <w:spacing w:after="0" w:line="133" w:lineRule="exact"/>
              <w:rPr>
                <w:sz w:val="20"/>
                <w:szCs w:val="20"/>
                <w:color w:val="auto"/>
              </w:rPr>
            </w:pPr>
            <w:r>
              <w:rPr>
                <w:rFonts w:ascii="Arial" w:cs="Arial" w:eastAsia="Arial" w:hAnsi="Arial"/>
                <w:sz w:val="13"/>
                <w:szCs w:val="13"/>
                <w:b w:val="1"/>
                <w:bCs w:val="1"/>
                <w:color w:val="auto"/>
                <w:w w:val="90"/>
              </w:rPr>
              <w:t>Diluted</w:t>
            </w: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92"/>
              </w:rPr>
              <w:t>(In Thousands)</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89"/>
              </w:rPr>
              <w:t>Earnings</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40"/>
              <w:spacing w:after="0" w:line="133" w:lineRule="exact"/>
              <w:rPr>
                <w:sz w:val="20"/>
                <w:szCs w:val="20"/>
                <w:color w:val="auto"/>
              </w:rPr>
            </w:pPr>
            <w:r>
              <w:rPr>
                <w:rFonts w:ascii="Arial" w:cs="Arial" w:eastAsia="Arial" w:hAnsi="Arial"/>
                <w:sz w:val="13"/>
                <w:szCs w:val="13"/>
                <w:b w:val="1"/>
                <w:bCs w:val="1"/>
                <w:color w:val="auto"/>
                <w:w w:val="89"/>
              </w:rPr>
              <w:t>Earnings Per</w:t>
            </w:r>
          </w:p>
        </w:tc>
        <w:tc>
          <w:tcPr>
            <w:tcW w:w="0" w:type="dxa"/>
            <w:vAlign w:val="bottom"/>
          </w:tcPr>
          <w:p>
            <w:pPr>
              <w:spacing w:after="0"/>
              <w:rPr>
                <w:sz w:val="1"/>
                <w:szCs w:val="1"/>
                <w:color w:val="auto"/>
              </w:rPr>
            </w:pPr>
          </w:p>
        </w:tc>
      </w:tr>
      <w:tr>
        <w:trPr>
          <w:trHeight w:val="152"/>
        </w:trPr>
        <w:tc>
          <w:tcPr>
            <w:tcW w:w="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Per Share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8"/>
              </w:rPr>
              <w:t>Share</w:t>
            </w:r>
          </w:p>
        </w:tc>
        <w:tc>
          <w:tcPr>
            <w:tcW w:w="0" w:type="dxa"/>
            <w:vAlign w:val="bottom"/>
          </w:tcPr>
          <w:p>
            <w:pPr>
              <w:spacing w:after="0"/>
              <w:rPr>
                <w:sz w:val="1"/>
                <w:szCs w:val="1"/>
                <w:color w:val="auto"/>
              </w:rPr>
            </w:pPr>
          </w:p>
        </w:tc>
      </w:tr>
      <w:tr>
        <w:trPr>
          <w:trHeight w:val="184"/>
        </w:trPr>
        <w:tc>
          <w:tcPr>
            <w:tcW w:w="46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5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4,630</w:t>
            </w: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After tax acquisition and integration expenses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3,372</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0.13</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9,222</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After-tax foreign exchange gain on inter-company loans</w:t>
            </w:r>
          </w:p>
        </w:tc>
        <w:tc>
          <w:tcPr>
            <w:tcW w:w="5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ind w:left="460"/>
              <w:spacing w:after="0"/>
              <w:rPr>
                <w:sz w:val="20"/>
                <w:szCs w:val="20"/>
                <w:color w:val="auto"/>
              </w:rPr>
            </w:pPr>
            <w:r>
              <w:rPr>
                <w:rFonts w:ascii="Arial" w:cs="Arial" w:eastAsia="Arial" w:hAnsi="Arial"/>
                <w:sz w:val="16"/>
                <w:szCs w:val="16"/>
                <w:color w:val="auto"/>
              </w:rPr>
              <w:t>Adjusted Net Income</w:t>
            </w:r>
          </w:p>
        </w:tc>
        <w:tc>
          <w:tcPr>
            <w:tcW w:w="540" w:type="dxa"/>
            <w:vAlign w:val="bottom"/>
          </w:tcPr>
          <w:p>
            <w:pPr>
              <w:spacing w:after="0"/>
              <w:rPr>
                <w:sz w:val="17"/>
                <w:szCs w:val="17"/>
                <w:color w:val="auto"/>
              </w:rPr>
            </w:pPr>
          </w:p>
        </w:tc>
        <w:tc>
          <w:tcPr>
            <w:tcW w:w="3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8,286</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Reconciliation of net income to adjusted net income:</w:t>
            </w: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5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7"/>
          </w:tcPr>
          <w:p>
            <w:pPr>
              <w:jc w:val="right"/>
              <w:ind w:right="740"/>
              <w:spacing w:after="0"/>
              <w:rPr>
                <w:sz w:val="20"/>
                <w:szCs w:val="20"/>
                <w:color w:val="auto"/>
              </w:rPr>
            </w:pPr>
            <w:r>
              <w:rPr>
                <w:rFonts w:ascii="Arial" w:cs="Arial" w:eastAsia="Arial" w:hAnsi="Arial"/>
                <w:sz w:val="13"/>
                <w:szCs w:val="13"/>
                <w:b w:val="1"/>
                <w:bCs w:val="1"/>
                <w:color w:val="auto"/>
              </w:rPr>
              <w:t>Nine Months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6"/>
          </w:tcPr>
          <w:p>
            <w:pPr>
              <w:jc w:val="center"/>
              <w:ind w:left="325"/>
              <w:spacing w:after="0"/>
              <w:rPr>
                <w:sz w:val="20"/>
                <w:szCs w:val="20"/>
                <w:color w:val="auto"/>
              </w:rPr>
            </w:pPr>
            <w:r>
              <w:rPr>
                <w:rFonts w:ascii="Arial" w:cs="Arial" w:eastAsia="Arial" w:hAnsi="Arial"/>
                <w:sz w:val="13"/>
                <w:szCs w:val="13"/>
                <w:b w:val="1"/>
                <w:bCs w:val="1"/>
                <w:color w:val="auto"/>
                <w:w w:val="88"/>
              </w:rPr>
              <w:t>Nine Months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gridSpan w:val="7"/>
          </w:tcPr>
          <w:p>
            <w:pPr>
              <w:jc w:val="right"/>
              <w:ind w:right="760"/>
              <w:spacing w:after="0" w:line="144" w:lineRule="exact"/>
              <w:rPr>
                <w:sz w:val="20"/>
                <w:szCs w:val="20"/>
                <w:color w:val="auto"/>
              </w:rPr>
            </w:pPr>
            <w:r>
              <w:rPr>
                <w:rFonts w:ascii="Arial" w:cs="Arial" w:eastAsia="Arial" w:hAnsi="Arial"/>
                <w:sz w:val="13"/>
                <w:szCs w:val="13"/>
                <w:b w:val="1"/>
                <w:bCs w:val="1"/>
                <w:color w:val="auto"/>
              </w:rPr>
              <w:t>September 30, 2015</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6"/>
          </w:tcPr>
          <w:p>
            <w:pPr>
              <w:jc w:val="center"/>
              <w:ind w:left="325"/>
              <w:spacing w:after="0" w:line="144" w:lineRule="exact"/>
              <w:rPr>
                <w:sz w:val="20"/>
                <w:szCs w:val="20"/>
                <w:color w:val="auto"/>
              </w:rPr>
            </w:pPr>
            <w:r>
              <w:rPr>
                <w:rFonts w:ascii="Arial" w:cs="Arial" w:eastAsia="Arial" w:hAnsi="Arial"/>
                <w:sz w:val="13"/>
                <w:szCs w:val="13"/>
                <w:b w:val="1"/>
                <w:bCs w:val="1"/>
                <w:color w:val="auto"/>
                <w:w w:val="88"/>
              </w:rPr>
              <w:t>September 30, 2014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90"/>
              </w:rPr>
              <w:t>Diluted</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3"/>
          </w:tcPr>
          <w:p>
            <w:pPr>
              <w:jc w:val="center"/>
              <w:ind w:right="360"/>
              <w:spacing w:after="0" w:line="133" w:lineRule="exact"/>
              <w:rPr>
                <w:sz w:val="20"/>
                <w:szCs w:val="20"/>
                <w:color w:val="auto"/>
              </w:rPr>
            </w:pPr>
            <w:r>
              <w:rPr>
                <w:rFonts w:ascii="Arial" w:cs="Arial" w:eastAsia="Arial" w:hAnsi="Arial"/>
                <w:sz w:val="13"/>
                <w:szCs w:val="13"/>
                <w:b w:val="1"/>
                <w:bCs w:val="1"/>
                <w:color w:val="auto"/>
                <w:w w:val="90"/>
              </w:rPr>
              <w:t>Diluted</w:t>
            </w: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w w:val="96"/>
              </w:rPr>
              <w:t>(In Thousands)</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89"/>
              </w:rPr>
              <w:t>Earnings</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33" w:lineRule="exact"/>
              <w:rPr>
                <w:sz w:val="20"/>
                <w:szCs w:val="20"/>
                <w:color w:val="auto"/>
              </w:rPr>
            </w:pPr>
            <w:r>
              <w:rPr>
                <w:rFonts w:ascii="Arial" w:cs="Arial" w:eastAsia="Arial" w:hAnsi="Arial"/>
                <w:sz w:val="13"/>
                <w:szCs w:val="13"/>
                <w:b w:val="1"/>
                <w:bCs w:val="1"/>
                <w:color w:val="auto"/>
                <w:w w:val="89"/>
              </w:rPr>
              <w:t>Earnings Per</w:t>
            </w:r>
          </w:p>
        </w:tc>
        <w:tc>
          <w:tcPr>
            <w:tcW w:w="0" w:type="dxa"/>
            <w:vAlign w:val="bottom"/>
          </w:tcPr>
          <w:p>
            <w:pPr>
              <w:spacing w:after="0"/>
              <w:rPr>
                <w:sz w:val="1"/>
                <w:szCs w:val="1"/>
                <w:color w:val="auto"/>
              </w:rPr>
            </w:pPr>
          </w:p>
        </w:tc>
      </w:tr>
      <w:tr>
        <w:trPr>
          <w:trHeight w:val="152"/>
        </w:trPr>
        <w:tc>
          <w:tcPr>
            <w:tcW w:w="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Per Share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8"/>
              </w:rPr>
              <w:t>Share</w:t>
            </w:r>
          </w:p>
        </w:tc>
        <w:tc>
          <w:tcPr>
            <w:tcW w:w="0" w:type="dxa"/>
            <w:vAlign w:val="bottom"/>
          </w:tcPr>
          <w:p>
            <w:pPr>
              <w:spacing w:after="0"/>
              <w:rPr>
                <w:sz w:val="1"/>
                <w:szCs w:val="1"/>
                <w:color w:val="auto"/>
              </w:rPr>
            </w:pPr>
          </w:p>
        </w:tc>
      </w:tr>
      <w:tr>
        <w:trPr>
          <w:trHeight w:val="184"/>
        </w:trPr>
        <w:tc>
          <w:tcPr>
            <w:tcW w:w="46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560" w:type="dxa"/>
            <w:vAlign w:val="bottom"/>
            <w:tcBorders>
              <w:top w:val="single" w:sz="8" w:color="CCEEFF"/>
            </w:tcBorders>
            <w:gridSpan w:val="2"/>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17,584</w:t>
            </w:r>
          </w:p>
        </w:tc>
        <w:tc>
          <w:tcPr>
            <w:tcW w:w="60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600" w:type="dxa"/>
            <w:vAlign w:val="bottom"/>
            <w:tcBorders>
              <w:top w:val="single" w:sz="8" w:color="CCEEFF"/>
            </w:tcBorders>
            <w:gridSpan w:val="2"/>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6,599</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gridSpan w:val="2"/>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0.36</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After tax acquisition and integration expenses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3,808</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0.19</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10,354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0.57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After-tax foreign exchange loss on inter-company loans</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939</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ind w:left="460"/>
              <w:spacing w:after="0"/>
              <w:rPr>
                <w:sz w:val="20"/>
                <w:szCs w:val="20"/>
                <w:color w:val="auto"/>
              </w:rPr>
            </w:pPr>
            <w:r>
              <w:rPr>
                <w:rFonts w:ascii="Arial" w:cs="Arial" w:eastAsia="Arial" w:hAnsi="Arial"/>
                <w:sz w:val="16"/>
                <w:szCs w:val="16"/>
                <w:color w:val="auto"/>
              </w:rPr>
              <w:t>Adjusted Net Income</w:t>
            </w:r>
          </w:p>
        </w:tc>
        <w:tc>
          <w:tcPr>
            <w:tcW w:w="560" w:type="dxa"/>
            <w:vAlign w:val="bottom"/>
            <w:gridSpan w:val="2"/>
          </w:tcPr>
          <w:p>
            <w:pPr>
              <w:spacing w:after="0"/>
              <w:rPr>
                <w:sz w:val="17"/>
                <w:szCs w:val="17"/>
                <w:color w:val="auto"/>
              </w:rPr>
            </w:pPr>
          </w:p>
        </w:tc>
        <w:tc>
          <w:tcPr>
            <w:tcW w:w="320" w:type="dxa"/>
            <w:vAlign w:val="bottom"/>
          </w:tcPr>
          <w:p>
            <w:pPr>
              <w:jc w:val="right"/>
              <w:ind w:right="17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22,331</w:t>
            </w:r>
          </w:p>
        </w:tc>
        <w:tc>
          <w:tcPr>
            <w:tcW w:w="600" w:type="dxa"/>
            <w:vAlign w:val="bottom"/>
            <w:gridSpan w:val="2"/>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600" w:type="dxa"/>
            <w:vAlign w:val="bottom"/>
            <w:gridSpan w:val="2"/>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17,833</w:t>
            </w:r>
          </w:p>
        </w:tc>
        <w:tc>
          <w:tcPr>
            <w:tcW w:w="30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0.98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income from operations to adjusted income from operations: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9"/>
              <w:spacing w:after="0"/>
              <w:rPr>
                <w:sz w:val="20"/>
                <w:szCs w:val="20"/>
                <w:color w:val="auto"/>
              </w:rPr>
            </w:pPr>
            <w:r>
              <w:rPr>
                <w:rFonts w:ascii="Arial" w:cs="Arial" w:eastAsia="Arial" w:hAnsi="Arial"/>
                <w:sz w:val="13"/>
                <w:szCs w:val="13"/>
                <w:b w:val="1"/>
                <w:bCs w:val="1"/>
                <w:color w:val="auto"/>
                <w:w w:val="91"/>
              </w:rPr>
              <w:t>Three Months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49"/>
              <w:spacing w:after="0"/>
              <w:rPr>
                <w:sz w:val="20"/>
                <w:szCs w:val="20"/>
                <w:color w:val="auto"/>
              </w:rPr>
            </w:pPr>
            <w:r>
              <w:rPr>
                <w:rFonts w:ascii="Arial" w:cs="Arial" w:eastAsia="Arial" w:hAnsi="Arial"/>
                <w:sz w:val="13"/>
                <w:szCs w:val="13"/>
                <w:b w:val="1"/>
                <w:bCs w:val="1"/>
                <w:color w:val="auto"/>
                <w:w w:val="91"/>
              </w:rPr>
              <w:t>Three Months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29"/>
              <w:spacing w:after="0"/>
              <w:rPr>
                <w:sz w:val="20"/>
                <w:szCs w:val="20"/>
                <w:color w:val="auto"/>
              </w:rPr>
            </w:pPr>
            <w:r>
              <w:rPr>
                <w:rFonts w:ascii="Arial" w:cs="Arial" w:eastAsia="Arial" w:hAnsi="Arial"/>
                <w:sz w:val="13"/>
                <w:szCs w:val="13"/>
                <w:b w:val="1"/>
                <w:bCs w:val="1"/>
                <w:color w:val="auto"/>
                <w:w w:val="92"/>
              </w:rPr>
              <w:t>Nine Months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Nine Months</w:t>
            </w: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29"/>
              <w:spacing w:after="0" w:line="133" w:lineRule="exact"/>
              <w:rPr>
                <w:sz w:val="20"/>
                <w:szCs w:val="20"/>
                <w:color w:val="auto"/>
              </w:rPr>
            </w:pPr>
            <w:r>
              <w:rPr>
                <w:rFonts w:ascii="Arial" w:cs="Arial" w:eastAsia="Arial" w:hAnsi="Arial"/>
                <w:sz w:val="13"/>
                <w:szCs w:val="13"/>
                <w:b w:val="1"/>
                <w:bCs w:val="1"/>
                <w:color w:val="auto"/>
                <w:w w:val="90"/>
              </w:rPr>
              <w:t>Ended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9"/>
              <w:spacing w:after="0" w:line="133" w:lineRule="exact"/>
              <w:rPr>
                <w:sz w:val="20"/>
                <w:szCs w:val="20"/>
                <w:color w:val="auto"/>
              </w:rPr>
            </w:pPr>
            <w:r>
              <w:rPr>
                <w:rFonts w:ascii="Arial" w:cs="Arial" w:eastAsia="Arial" w:hAnsi="Arial"/>
                <w:sz w:val="13"/>
                <w:szCs w:val="13"/>
                <w:b w:val="1"/>
                <w:bCs w:val="1"/>
                <w:color w:val="auto"/>
                <w:w w:val="90"/>
              </w:rPr>
              <w:t>Ended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29"/>
              <w:spacing w:after="0" w:line="133" w:lineRule="exact"/>
              <w:rPr>
                <w:sz w:val="20"/>
                <w:szCs w:val="20"/>
                <w:color w:val="auto"/>
              </w:rPr>
            </w:pPr>
            <w:r>
              <w:rPr>
                <w:rFonts w:ascii="Arial" w:cs="Arial" w:eastAsia="Arial" w:hAnsi="Arial"/>
                <w:sz w:val="13"/>
                <w:szCs w:val="13"/>
                <w:b w:val="1"/>
                <w:bCs w:val="1"/>
                <w:color w:val="auto"/>
                <w:w w:val="90"/>
              </w:rPr>
              <w:t>Ended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3" w:lineRule="exact"/>
              <w:rPr>
                <w:sz w:val="20"/>
                <w:szCs w:val="20"/>
                <w:color w:val="auto"/>
              </w:rPr>
            </w:pPr>
            <w:r>
              <w:rPr>
                <w:rFonts w:ascii="Arial" w:cs="Arial" w:eastAsia="Arial" w:hAnsi="Arial"/>
                <w:sz w:val="13"/>
                <w:szCs w:val="13"/>
                <w:b w:val="1"/>
                <w:bCs w:val="1"/>
                <w:color w:val="auto"/>
                <w:w w:val="90"/>
              </w:rPr>
              <w:t>Ended</w:t>
            </w: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9"/>
              <w:spacing w:after="0" w:line="133" w:lineRule="exact"/>
              <w:rPr>
                <w:sz w:val="20"/>
                <w:szCs w:val="20"/>
                <w:color w:val="auto"/>
              </w:rPr>
            </w:pPr>
            <w:r>
              <w:rPr>
                <w:rFonts w:ascii="Arial" w:cs="Arial" w:eastAsia="Arial" w:hAnsi="Arial"/>
                <w:sz w:val="13"/>
                <w:szCs w:val="13"/>
                <w:b w:val="1"/>
                <w:bCs w:val="1"/>
                <w:color w:val="auto"/>
                <w:w w:val="87"/>
              </w:rPr>
              <w:t>September 30,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9"/>
              <w:spacing w:after="0" w:line="133" w:lineRule="exact"/>
              <w:rPr>
                <w:sz w:val="20"/>
                <w:szCs w:val="20"/>
                <w:color w:val="auto"/>
              </w:rPr>
            </w:pPr>
            <w:r>
              <w:rPr>
                <w:rFonts w:ascii="Arial" w:cs="Arial" w:eastAsia="Arial" w:hAnsi="Arial"/>
                <w:sz w:val="13"/>
                <w:szCs w:val="13"/>
                <w:b w:val="1"/>
                <w:bCs w:val="1"/>
                <w:color w:val="auto"/>
                <w:w w:val="87"/>
              </w:rPr>
              <w:t>September 30,</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9"/>
              <w:spacing w:after="0" w:line="133" w:lineRule="exact"/>
              <w:rPr>
                <w:sz w:val="20"/>
                <w:szCs w:val="20"/>
                <w:color w:val="auto"/>
              </w:rPr>
            </w:pPr>
            <w:r>
              <w:rPr>
                <w:rFonts w:ascii="Arial" w:cs="Arial" w:eastAsia="Arial" w:hAnsi="Arial"/>
                <w:sz w:val="13"/>
                <w:szCs w:val="13"/>
                <w:b w:val="1"/>
                <w:bCs w:val="1"/>
                <w:color w:val="auto"/>
                <w:w w:val="87"/>
              </w:rPr>
              <w:t>September 30,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87"/>
              </w:rPr>
              <w:t>September 30,</w:t>
            </w:r>
          </w:p>
        </w:tc>
      </w:tr>
      <w:tr>
        <w:trPr>
          <w:trHeight w:val="144"/>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9"/>
              <w:spacing w:after="0" w:line="144" w:lineRule="exact"/>
              <w:rPr>
                <w:sz w:val="20"/>
                <w:szCs w:val="20"/>
                <w:color w:val="auto"/>
              </w:rPr>
            </w:pPr>
            <w:r>
              <w:rPr>
                <w:rFonts w:ascii="Arial" w:cs="Arial" w:eastAsia="Arial" w:hAnsi="Arial"/>
                <w:sz w:val="13"/>
                <w:szCs w:val="13"/>
                <w:b w:val="1"/>
                <w:bCs w:val="1"/>
                <w:color w:val="auto"/>
                <w:w w:val="89"/>
              </w:rPr>
              <w:t>2015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9"/>
              <w:spacing w:after="0" w:line="144" w:lineRule="exact"/>
              <w:rPr>
                <w:sz w:val="20"/>
                <w:szCs w:val="20"/>
                <w:color w:val="auto"/>
              </w:rPr>
            </w:pPr>
            <w:r>
              <w:rPr>
                <w:rFonts w:ascii="Arial" w:cs="Arial" w:eastAsia="Arial" w:hAnsi="Arial"/>
                <w:sz w:val="13"/>
                <w:szCs w:val="13"/>
                <w:b w:val="1"/>
                <w:bCs w:val="1"/>
                <w:color w:val="auto"/>
                <w:w w:val="89"/>
              </w:rPr>
              <w:t>2014</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9"/>
              <w:spacing w:after="0" w:line="144" w:lineRule="exact"/>
              <w:rPr>
                <w:sz w:val="20"/>
                <w:szCs w:val="20"/>
                <w:color w:val="auto"/>
              </w:rPr>
            </w:pPr>
            <w:r>
              <w:rPr>
                <w:rFonts w:ascii="Arial" w:cs="Arial" w:eastAsia="Arial" w:hAnsi="Arial"/>
                <w:sz w:val="13"/>
                <w:szCs w:val="13"/>
                <w:b w:val="1"/>
                <w:bCs w:val="1"/>
                <w:color w:val="auto"/>
                <w:w w:val="89"/>
              </w:rPr>
              <w:t>2015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9"/>
              <w:spacing w:after="0" w:line="144" w:lineRule="exact"/>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(In Thousands)</w:t>
            </w:r>
          </w:p>
        </w:tc>
        <w:tc>
          <w:tcPr>
            <w:tcW w:w="6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(In Thousands)</w:t>
            </w:r>
          </w:p>
        </w:tc>
        <w:tc>
          <w:tcPr>
            <w:tcW w:w="62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(In Thousands)</w:t>
            </w:r>
          </w:p>
        </w:tc>
        <w:tc>
          <w:tcPr>
            <w:tcW w:w="62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(In Thousands)</w:t>
            </w:r>
          </w:p>
        </w:tc>
      </w:tr>
      <w:tr>
        <w:trPr>
          <w:trHeight w:val="184"/>
        </w:trPr>
        <w:tc>
          <w:tcPr>
            <w:tcW w:w="20" w:type="dxa"/>
            <w:vAlign w:val="bottom"/>
          </w:tcPr>
          <w:p>
            <w:pPr>
              <w:spacing w:after="0"/>
              <w:rPr>
                <w:sz w:val="16"/>
                <w:szCs w:val="16"/>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10,122</w:t>
            </w: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37,645</w:t>
            </w: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19,127</w:t>
            </w:r>
          </w:p>
        </w:tc>
        <w:tc>
          <w:tcPr>
            <w:tcW w:w="80" w:type="dxa"/>
            <w:vAlign w:val="bottom"/>
            <w:tcBorders>
              <w:top w:val="single" w:sz="8" w:color="CCEEFF"/>
            </w:tcBorders>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Acquisition and integration expenses</w:t>
            </w:r>
          </w:p>
        </w:tc>
        <w:tc>
          <w:tcPr>
            <w:tcW w:w="1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5,138</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w:t>
            </w:r>
          </w:p>
        </w:tc>
        <w:tc>
          <w:tcPr>
            <w:tcW w:w="6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5,819</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9,858</w:t>
            </w:r>
          </w:p>
        </w:tc>
        <w:tc>
          <w:tcPr>
            <w:tcW w:w="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Adjusted Income from operations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28,985</w:t>
            </w:r>
          </w:p>
        </w:tc>
        <w:tc>
          <w:tcPr>
            <w:tcW w:w="8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Company discloses in this press release the non-GAAP financial measures of adjusted income from operations and adjusted net income. Each of adjusted income from operations and adjusted net income provide supplementary information about the impacts of acquisition related expenses and foreign-exchange impacts on intercompany loans. We believe the presentation of adjusted income from operations and adjusted net income provides useful information in assessing our results of operations and potential future results. These measures should not be considered as an alternative to their comparable GAAP measures, nor should they be considered in isolation, or as a substitute for analysis of our results reported under GAAP.</w:t>
      </w:r>
    </w:p>
    <w:p>
      <w:pPr>
        <w:sectPr>
          <w:pgSz w:w="11900" w:h="16838" w:orient="portrait"/>
          <w:cols w:equalWidth="0" w:num="1">
            <w:col w:w="11300"/>
          </w:cols>
          <w:pgMar w:left="240" w:top="255" w:right="359" w:bottom="1440" w:gutter="0" w:footer="0" w:header="0"/>
        </w:sectPr>
      </w:pPr>
    </w:p>
    <w:bookmarkStart w:id="11" w:name="page12"/>
    <w:bookmarkEnd w:id="11"/>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119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411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150495</wp:posOffset>
            </wp:positionV>
            <wp:extent cx="6712585" cy="3775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12585" cy="377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FFFFFF"/>
        </w:rPr>
        <w:t>Exhibit 99.3</w:t>
      </w:r>
    </w:p>
    <w:p>
      <w:pPr>
        <w:spacing w:after="0" w:line="188" w:lineRule="auto"/>
        <w:rPr>
          <w:sz w:val="20"/>
          <w:szCs w:val="20"/>
          <w:color w:val="auto"/>
        </w:rPr>
      </w:pPr>
      <w:r>
        <w:rPr>
          <w:rFonts w:ascii="Arial" w:cs="Arial" w:eastAsia="Arial" w:hAnsi="Arial"/>
          <w:sz w:val="8"/>
          <w:szCs w:val="8"/>
          <w:color w:val="FFFFFF"/>
        </w:rPr>
        <w:t>Third Quarter 2015</w:t>
      </w:r>
    </w:p>
    <w:p>
      <w:pPr>
        <w:spacing w:after="0" w:line="186" w:lineRule="auto"/>
        <w:rPr>
          <w:sz w:val="20"/>
          <w:szCs w:val="20"/>
          <w:color w:val="auto"/>
        </w:rPr>
      </w:pPr>
      <w:r>
        <w:rPr>
          <w:rFonts w:ascii="Arial" w:cs="Arial" w:eastAsia="Arial" w:hAnsi="Arial"/>
          <w:sz w:val="16"/>
          <w:szCs w:val="16"/>
          <w:color w:val="FFFFFF"/>
          <w:vertAlign w:val="subscript"/>
        </w:rPr>
        <w:t>November</w:t>
      </w:r>
      <w:r>
        <w:rPr>
          <w:rFonts w:ascii="Arial" w:cs="Arial" w:eastAsia="Arial" w:hAnsi="Arial"/>
          <w:sz w:val="9"/>
          <w:szCs w:val="9"/>
          <w:color w:val="FFFFFF"/>
        </w:rPr>
        <w:t>n-GAAP4,to2015GAAP Reconciliation</w:t>
      </w:r>
    </w:p>
    <w:p>
      <w:pPr>
        <w:sectPr>
          <w:pgSz w:w="11900" w:h="16838" w:orient="portrait"/>
          <w:cols w:equalWidth="0" w:num="1">
            <w:col w:w="11440"/>
          </w:cols>
          <w:pgMar w:left="240" w:top="127" w:right="21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85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2500" cy="385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FFFFFF"/>
        </w:rPr>
        <w:t>Non-GAAP to GAAP Reconciliations</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85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2500" cy="385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FFFFFF"/>
        </w:rPr>
        <w:t>Non-GAAP to GAAP Reconciliations</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85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2500" cy="385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FFFFFF"/>
        </w:rPr>
        <w:t>Non-GAAP to GAAP Reconciliations</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859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2500" cy="385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FFFFFF"/>
        </w:rPr>
        <w:t>Non-GAAP to GAAP Reconciliations</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85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2500" cy="385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FFFFFF"/>
        </w:rPr>
        <w:t>Guidance</w:t>
      </w:r>
    </w:p>
    <w:p>
      <w:pPr>
        <w:sectPr>
          <w:pgSz w:w="11900" w:h="16838" w:orient="portrait"/>
          <w:cols w:equalWidth="0" w:num="1">
            <w:col w:w="10219"/>
          </w:cols>
          <w:pgMar w:left="2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85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2500" cy="385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FFFFFF"/>
        </w:rPr>
        <w:t>Non-GAAP to GAAP Reconciliations</w:t>
      </w:r>
    </w:p>
    <w:p>
      <w:pPr>
        <w:sectPr>
          <w:pgSz w:w="11900" w:h="16838" w:orient="portrait"/>
          <w:cols w:equalWidth="0" w:num="1">
            <w:col w:w="10219"/>
          </w:cols>
          <w:pgMar w:left="2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85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2500" cy="385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FFFFFF"/>
        </w:rPr>
        <w:t>Non-GAAP to GAAP Reconciliations</w:t>
      </w:r>
    </w:p>
    <w:p>
      <w:pPr>
        <w:sectPr>
          <w:pgSz w:w="11900" w:h="16838" w:orient="portrait"/>
          <w:cols w:equalWidth="0" w:num="1">
            <w:col w:w="10219"/>
          </w:cols>
          <w:pgMar w:left="2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FFFFFF"/>
        </w:rPr>
        <w:t>Non-GAAP to GAAP Reconciliations</w:t>
      </w:r>
    </w:p>
    <w:p>
      <w:pPr>
        <w:sectPr>
          <w:pgSz w:w="11900" w:h="16838" w:orient="portrait"/>
          <w:cols w:equalWidth="0" w:num="1">
            <w:col w:w="10219"/>
          </w:cols>
          <w:pgMar w:left="2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85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2500" cy="385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color w:val="FFFFFF"/>
        </w:rPr>
        <w:t>Third Quarter 2015</w:t>
      </w:r>
    </w:p>
    <w:p>
      <w:pPr>
        <w:spacing w:after="0" w:line="229" w:lineRule="auto"/>
        <w:rPr>
          <w:sz w:val="20"/>
          <w:szCs w:val="20"/>
          <w:color w:val="auto"/>
        </w:rPr>
      </w:pPr>
      <w:r>
        <w:rPr>
          <w:rFonts w:ascii="Arial" w:cs="Arial" w:eastAsia="Arial" w:hAnsi="Arial"/>
          <w:sz w:val="13"/>
          <w:szCs w:val="13"/>
          <w:color w:val="FFFFFF"/>
          <w:vertAlign w:val="subscript"/>
        </w:rPr>
        <w:t>November</w:t>
      </w:r>
      <w:r>
        <w:rPr>
          <w:rFonts w:ascii="Arial" w:cs="Arial" w:eastAsia="Arial" w:hAnsi="Arial"/>
          <w:sz w:val="8"/>
          <w:szCs w:val="8"/>
          <w:color w:val="FFFFFF"/>
        </w:rPr>
        <w:t>n-GAAP4,to2015GAAP Reconciliation</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4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2019-12-06T10:03:57Z</dcterms:created>
  <dcterms:modified xsi:type="dcterms:W3CDTF">2019-12-06T10:03:57Z</dcterms:modified>
</cp:coreProperties>
</file>