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120" w:after="283"/>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333"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333" w:before="0" w:after="100"/>
        <w:jc w:val="center"/>
        <w:rPr>
          <w:rFonts w:ascii="Times New Roman;serif" w:hAnsi="Times New Roman;serif"/>
          <w:b/>
          <w:color w:val="000000"/>
          <w:sz w:val="22"/>
        </w:rPr>
      </w:pPr>
      <w:r>
        <w:rPr>
          <w:rFonts w:ascii="Times New Roman;serif" w:hAnsi="Times New Roman;serif"/>
          <w:b/>
          <w:color w:val="000000"/>
          <w:sz w:val="22"/>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0" w:after="0"/>
        <w:jc w:val="center"/>
        <w:rPr>
          <w:rFonts w:ascii="Times New Roman;serif" w:hAnsi="Times New Roman;serif"/>
          <w:b/>
          <w:color w:val="000000"/>
          <w:sz w:val="32"/>
        </w:rPr>
      </w:pPr>
      <w:r>
        <w:rPr>
          <w:rFonts w:ascii="Times New Roman;serif" w:hAnsi="Times New Roman;serif"/>
          <w:b/>
          <w:color w:val="000000"/>
          <w:sz w:val="32"/>
        </w:rPr>
        <w:t>FORM 8-K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0" w:after="0"/>
        <w:jc w:val="center"/>
        <w:rPr>
          <w:rFonts w:ascii="Times New Roman;serif" w:hAnsi="Times New Roman;serif"/>
          <w:b/>
          <w:color w:val="000000"/>
          <w:sz w:val="32"/>
        </w:rPr>
      </w:pPr>
      <w:r>
        <w:rPr>
          <w:rFonts w:ascii="Times New Roman;serif" w:hAnsi="Times New Roman;serif"/>
          <w:b/>
          <w:color w:val="000000"/>
          <w:sz w:val="32"/>
        </w:rPr>
        <w:t>CURRENT REPORT</w:t>
      </w:r>
    </w:p>
    <w:p>
      <w:pPr>
        <w:pStyle w:val="TextBody"/>
        <w:bidi w:val="0"/>
        <w:spacing w:lineRule="auto" w:line="333" w:before="0" w:after="0"/>
        <w:jc w:val="center"/>
        <w:rPr>
          <w:rFonts w:ascii="Times New Roman;serif" w:hAnsi="Times New Roman;serif"/>
          <w:b/>
          <w:color w:val="000000"/>
          <w:sz w:val="22"/>
        </w:rPr>
      </w:pPr>
      <w:r>
        <w:rPr>
          <w:rFonts w:ascii="Times New Roman;serif" w:hAnsi="Times New Roman;serif"/>
          <w:b/>
          <w:color w:val="000000"/>
          <w:sz w:val="22"/>
        </w:rPr>
        <w:t xml:space="preserve">Pursuant to Section 13 OR 15(d) of The Securities Exchange Act of 1934 </w:t>
      </w:r>
    </w:p>
    <w:p>
      <w:pPr>
        <w:pStyle w:val="TextBody"/>
        <w:bidi w:val="0"/>
        <w:spacing w:lineRule="auto" w:line="333" w:before="120" w:after="60"/>
        <w:jc w:val="center"/>
        <w:rPr>
          <w:rFonts w:ascii="Times New Roman;serif" w:hAnsi="Times New Roman;serif"/>
          <w:b/>
          <w:color w:val="000000"/>
          <w:sz w:val="22"/>
        </w:rPr>
      </w:pPr>
      <w:r>
        <w:rPr>
          <w:rFonts w:ascii="Times New Roman;serif" w:hAnsi="Times New Roman;serif"/>
          <w:b/>
          <w:color w:val="000000"/>
          <w:sz w:val="22"/>
        </w:rPr>
        <w:t xml:space="preserve">Date of Report (Date of earliest event reported): July 23, 2026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drawing>
          <wp:inline distT="0" distB="0" distL="0" distR="0">
            <wp:extent cx="819150" cy="6191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819150" cy="619125"/>
                    </a:xfrm>
                    <a:prstGeom prst="rect">
                      <a:avLst/>
                    </a:prstGeom>
                  </pic:spPr>
                </pic:pic>
              </a:graphicData>
            </a:graphic>
          </wp:inline>
        </w:drawing>
      </w:r>
      <w:bookmarkStart w:id="0" w:name="i-1"/>
      <w:bookmarkEnd w:id="0"/>
    </w:p>
    <w:p>
      <w:pPr>
        <w:pStyle w:val="TextBody"/>
        <w:bidi w:val="0"/>
        <w:spacing w:lineRule="auto" w:line="333" w:before="0" w:after="0"/>
        <w:jc w:val="center"/>
        <w:rPr>
          <w:rFonts w:ascii="Times New Roman;serif" w:hAnsi="Times New Roman;serif"/>
          <w:b/>
          <w:color w:val="000000"/>
          <w:sz w:val="36"/>
        </w:rPr>
      </w:pPr>
      <w:r>
        <w:rPr>
          <w:rFonts w:ascii="Times New Roman;serif" w:hAnsi="Times New Roman;serif"/>
          <w:b/>
          <w:color w:val="000000"/>
          <w:sz w:val="36"/>
        </w:rPr>
        <w:t>NN, Inc.</w:t>
      </w:r>
    </w:p>
    <w:p>
      <w:pPr>
        <w:pStyle w:val="TextBody"/>
        <w:bidi w:val="0"/>
        <w:spacing w:lineRule="auto" w:line="333" w:before="0" w:after="0"/>
        <w:jc w:val="center"/>
        <w:rPr>
          <w:rFonts w:ascii="Times New Roman;serif" w:hAnsi="Times New Roman;serif"/>
          <w:b/>
          <w:color w:val="000000"/>
          <w:sz w:val="18"/>
        </w:rPr>
      </w:pPr>
      <w:r>
        <w:rPr>
          <w:rFonts w:ascii="Times New Roman;serif" w:hAnsi="Times New Roman;serif"/>
          <w:b/>
          <w:color w:val="000000"/>
          <w:sz w:val="18"/>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5698" w:type="dxa"/>
        <w:jc w:val="left"/>
        <w:tblInd w:w="0" w:type="dxa"/>
        <w:tblLayout w:type="fixed"/>
        <w:tblCellMar>
          <w:top w:w="28" w:type="dxa"/>
          <w:left w:w="28" w:type="dxa"/>
          <w:bottom w:w="28" w:type="dxa"/>
          <w:right w:w="28" w:type="dxa"/>
        </w:tblCellMar>
      </w:tblPr>
      <w:tblGrid>
        <w:gridCol w:w="790"/>
        <w:gridCol w:w="698"/>
        <w:gridCol w:w="702"/>
        <w:gridCol w:w="687"/>
        <w:gridCol w:w="687"/>
        <w:gridCol w:w="695"/>
        <w:gridCol w:w="419"/>
        <w:gridCol w:w="419"/>
        <w:gridCol w:w="601"/>
      </w:tblGrid>
      <w:tr>
        <w:trPr/>
        <w:tc>
          <w:tcPr>
            <w:tcW w:w="790"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001-39268</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62-1096725</w:t>
            </w:r>
          </w:p>
        </w:tc>
      </w:tr>
      <w:tr>
        <w:trPr/>
        <w:tc>
          <w:tcPr>
            <w:tcW w:w="2190" w:type="dxa"/>
            <w:gridSpan w:val="3"/>
            <w:tcBorders/>
            <w:tcMar>
              <w:top w:w="0" w:type="dxa"/>
              <w:left w:w="0" w:type="dxa"/>
              <w:bottom w:w="0" w:type="dxa"/>
              <w:right w:w="0" w:type="dxa"/>
            </w:tcMar>
            <w:vAlign w:val="center"/>
          </w:tcPr>
          <w:p>
            <w:pPr>
              <w:pStyle w:val="TableContents"/>
              <w:bidi w:val="0"/>
              <w:spacing w:lineRule="auto" w:line="288" w:before="75" w:after="283"/>
              <w:jc w:val="center"/>
              <w:rPr>
                <w:rFonts w:ascii="Times New Roman;serif" w:hAnsi="Times New Roman;serif"/>
                <w:b w:val="false"/>
                <w:i/>
                <w:color w:val="000000"/>
                <w:sz w:val="18"/>
              </w:rPr>
            </w:pPr>
            <w:r>
              <w:rPr>
                <w:rFonts w:ascii="Times New Roman;serif" w:hAnsi="Times New Roman;serif"/>
                <w:b w:val="false"/>
                <w:i/>
                <w:color w:val="000000"/>
                <w:sz w:val="18"/>
              </w:rPr>
              <w:t>(State or other jurisdiction of</w:t>
            </w:r>
          </w:p>
          <w:p>
            <w:pPr>
              <w:pStyle w:val="TableContents"/>
              <w:bidi w:val="0"/>
              <w:spacing w:lineRule="auto" w:line="288" w:before="0" w:after="30"/>
              <w:jc w:val="center"/>
              <w:rPr>
                <w:rFonts w:ascii="Times New Roman;serif" w:hAnsi="Times New Roman;serif"/>
                <w:b w:val="false"/>
                <w:i/>
                <w:color w:val="000000"/>
                <w:sz w:val="18"/>
              </w:rPr>
            </w:pPr>
            <w:r>
              <w:rPr>
                <w:rFonts w:ascii="Times New Roman;serif" w:hAnsi="Times New Roman;serif"/>
                <w:b w:val="false"/>
                <w:i/>
                <w:color w:val="000000"/>
                <w:sz w:val="18"/>
              </w:rPr>
              <w:t>incorporation)</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(Commission File Number)</w:t>
            </w:r>
          </w:p>
        </w:tc>
        <w:tc>
          <w:tcPr>
            <w:tcW w:w="1439" w:type="dxa"/>
            <w:gridSpan w:val="3"/>
            <w:tcBorders/>
            <w:tcMar>
              <w:top w:w="0" w:type="dxa"/>
              <w:left w:w="0" w:type="dxa"/>
              <w:bottom w:w="0" w:type="dxa"/>
              <w:right w:w="0" w:type="dxa"/>
            </w:tcMar>
            <w:vAlign w:val="center"/>
          </w:tcPr>
          <w:p>
            <w:pPr>
              <w:pStyle w:val="TableContents"/>
              <w:bidi w:val="0"/>
              <w:spacing w:lineRule="auto" w:line="288" w:before="75" w:after="283"/>
              <w:jc w:val="center"/>
              <w:rPr>
                <w:rFonts w:ascii="Times New Roman;serif" w:hAnsi="Times New Roman;serif"/>
                <w:b w:val="false"/>
                <w:i/>
                <w:color w:val="000000"/>
                <w:sz w:val="18"/>
              </w:rPr>
            </w:pPr>
            <w:r>
              <w:rPr>
                <w:rFonts w:ascii="Times New Roman;serif" w:hAnsi="Times New Roman;serif"/>
                <w:b w:val="false"/>
                <w:i/>
                <w:color w:val="000000"/>
                <w:sz w:val="18"/>
              </w:rPr>
              <w:t>(I.R.S. Employer</w:t>
            </w:r>
          </w:p>
          <w:p>
            <w:pPr>
              <w:pStyle w:val="TableContents"/>
              <w:bidi w:val="0"/>
              <w:spacing w:lineRule="auto" w:line="288" w:before="0" w:after="30"/>
              <w:jc w:val="center"/>
              <w:rPr>
                <w:rFonts w:ascii="Times New Roman;serif" w:hAnsi="Times New Roman;serif"/>
                <w:b w:val="false"/>
                <w:i/>
                <w:color w:val="000000"/>
                <w:sz w:val="18"/>
              </w:rPr>
            </w:pPr>
            <w:r>
              <w:rPr>
                <w:rFonts w:ascii="Times New Roman;serif" w:hAnsi="Times New Roman;serif"/>
                <w:b w:val="false"/>
                <w:i/>
                <w:color w:val="000000"/>
                <w:sz w:val="18"/>
              </w:rPr>
              <w:t>Identification No.)</w:t>
            </w:r>
          </w:p>
        </w:tc>
      </w:tr>
    </w:tbl>
    <w:tbl>
      <w:tblPr>
        <w:tblW w:w="4120" w:type="dxa"/>
        <w:jc w:val="left"/>
        <w:tblInd w:w="0" w:type="dxa"/>
        <w:tblLayout w:type="fixed"/>
        <w:tblCellMar>
          <w:top w:w="28" w:type="dxa"/>
          <w:left w:w="28" w:type="dxa"/>
          <w:bottom w:w="28" w:type="dxa"/>
          <w:right w:w="28" w:type="dxa"/>
        </w:tblCellMar>
      </w:tblPr>
      <w:tblGrid>
        <w:gridCol w:w="1038"/>
        <w:gridCol w:w="911"/>
        <w:gridCol w:w="915"/>
        <w:gridCol w:w="109"/>
        <w:gridCol w:w="109"/>
        <w:gridCol w:w="109"/>
        <w:gridCol w:w="272"/>
        <w:gridCol w:w="272"/>
        <w:gridCol w:w="385"/>
      </w:tblGrid>
      <w:tr>
        <w:trPr/>
        <w:tc>
          <w:tcPr>
            <w:tcW w:w="1038"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6210 Ardrey Kell Road, Suite 120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Charlotte, North Carolina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28277</w:t>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(Zip Code)</w:t>
            </w:r>
          </w:p>
        </w:tc>
      </w:tr>
    </w:tbl>
    <w:p>
      <w:pPr>
        <w:pStyle w:val="TextBody"/>
        <w:bidi w:val="0"/>
        <w:spacing w:lineRule="auto" w:line="333" w:before="60" w:after="283"/>
        <w:jc w:val="center"/>
        <w:rPr>
          <w:rFonts w:ascii="Times New Roman;serif" w:hAnsi="Times New Roman;serif"/>
          <w:b/>
          <w:color w:val="000000"/>
          <w:sz w:val="18"/>
        </w:rPr>
      </w:pPr>
      <w:r>
        <w:rPr>
          <w:rFonts w:ascii="Times New Roman;serif" w:hAnsi="Times New Roman;serif"/>
          <w:b/>
          <w:color w:val="000000"/>
          <w:sz w:val="18"/>
        </w:rPr>
        <w:t>(980) 264-4300</w:t>
      </w:r>
    </w:p>
    <w:p>
      <w:pPr>
        <w:pStyle w:val="TextBody"/>
        <w:bidi w:val="0"/>
        <w:spacing w:lineRule="auto" w:line="333" w:before="0" w:after="60"/>
        <w:jc w:val="center"/>
        <w:rPr>
          <w:rFonts w:ascii="Times New Roman;serif" w:hAnsi="Times New Roman;serif"/>
          <w:b w:val="false"/>
          <w:i/>
          <w:color w:val="000000"/>
          <w:sz w:val="18"/>
        </w:rPr>
      </w:pPr>
      <w:r>
        <w:rPr>
          <w:rFonts w:ascii="Times New Roman;serif" w:hAnsi="Times New Roman;serif"/>
          <w:b w:val="false"/>
          <w:i/>
          <w:color w:val="000000"/>
          <w:sz w:val="18"/>
        </w:rPr>
        <w:t>(Registrant’s telephone number, including area code) </w:t>
      </w:r>
    </w:p>
    <w:p>
      <w:pPr>
        <w:pStyle w:val="TextBody"/>
        <w:bidi w:val="0"/>
        <w:spacing w:lineRule="auto" w:line="333" w:before="180" w:after="283"/>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620"/>
        <w:gridCol w:w="1421"/>
        <w:gridCol w:w="1421"/>
        <w:gridCol w:w="2008"/>
        <w:gridCol w:w="1540"/>
        <w:gridCol w:w="2195"/>
      </w:tblGrid>
      <w:tr>
        <w:trPr/>
        <w:tc>
          <w:tcPr>
            <w:tcW w:w="1620"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2008"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c>
          <w:tcPr>
            <w:tcW w:w="2195"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if the Form 8-K filing is intended to simultaneously satisfy the filing obligation of the registrant under any of the following provisions (see General Instruction A.2. below):</w:t>
            </w:r>
          </w:p>
        </w:tc>
      </w:tr>
      <w:tr>
        <w:trPr/>
        <w:tc>
          <w:tcPr>
            <w:tcW w:w="446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7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446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7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446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7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240.14d- 2(b))</w:t>
            </w:r>
          </w:p>
        </w:tc>
      </w:tr>
      <w:tr>
        <w:trPr/>
        <w:tc>
          <w:tcPr>
            <w:tcW w:w="446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57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240.13e- 4(c))</w:t>
            </w:r>
          </w:p>
        </w:tc>
      </w:tr>
    </w:tbl>
    <w:tbl>
      <w:tblPr>
        <w:tblW w:w="8507" w:type="dxa"/>
        <w:jc w:val="left"/>
        <w:tblInd w:w="0" w:type="dxa"/>
        <w:tblLayout w:type="fixed"/>
        <w:tblCellMar>
          <w:top w:w="28" w:type="dxa"/>
          <w:left w:w="28" w:type="dxa"/>
          <w:bottom w:w="28" w:type="dxa"/>
          <w:right w:w="28" w:type="dxa"/>
        </w:tblCellMar>
      </w:tblPr>
      <w:tblGrid>
        <w:gridCol w:w="893"/>
        <w:gridCol w:w="783"/>
        <w:gridCol w:w="783"/>
        <w:gridCol w:w="278"/>
        <w:gridCol w:w="278"/>
        <w:gridCol w:w="278"/>
        <w:gridCol w:w="395"/>
        <w:gridCol w:w="395"/>
        <w:gridCol w:w="395"/>
        <w:gridCol w:w="278"/>
        <w:gridCol w:w="278"/>
        <w:gridCol w:w="278"/>
        <w:gridCol w:w="936"/>
        <w:gridCol w:w="936"/>
        <w:gridCol w:w="1323"/>
      </w:tblGrid>
      <w:tr>
        <w:trPr/>
        <w:tc>
          <w:tcPr>
            <w:tcW w:w="89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r>
      <w:tr>
        <w:trPr/>
        <w:tc>
          <w:tcPr>
            <w:tcW w:w="85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Securities registered pursuant to Section 12(b) of the Act:</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Title of each class</w:t>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Trading symbol</w:t>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Name of each exchange on which registered</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 par value $0.01</w:t>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NNBR</w:t>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The Nasdaq Stock Market LLC</w:t>
            </w:r>
          </w:p>
        </w:tc>
      </w:tr>
    </w:tbl>
    <w:tbl>
      <w:tblPr>
        <w:tblW w:w="10205" w:type="dxa"/>
        <w:jc w:val="left"/>
        <w:tblInd w:w="0" w:type="dxa"/>
        <w:tblLayout w:type="fixed"/>
        <w:tblCellMar>
          <w:top w:w="28" w:type="dxa"/>
          <w:left w:w="28" w:type="dxa"/>
          <w:bottom w:w="28" w:type="dxa"/>
          <w:right w:w="28" w:type="dxa"/>
        </w:tblCellMar>
      </w:tblPr>
      <w:tblGrid>
        <w:gridCol w:w="1955"/>
        <w:gridCol w:w="1516"/>
        <w:gridCol w:w="1516"/>
        <w:gridCol w:w="1516"/>
        <w:gridCol w:w="1516"/>
        <w:gridCol w:w="2186"/>
      </w:tblGrid>
      <w:tr>
        <w:trPr/>
        <w:tc>
          <w:tcPr>
            <w:tcW w:w="1955"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2186"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tc>
      </w:tr>
      <w:tr>
        <w:trPr/>
        <w:tc>
          <w:tcPr>
            <w:tcW w:w="498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 xml:space="preserve">Emerging growth company. </w:t>
            </w:r>
          </w:p>
        </w:tc>
        <w:tc>
          <w:tcPr>
            <w:tcW w:w="521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859790"/>
                <wp:effectExtent l="0" t="0" r="0" b="0"/>
                <wp:wrapNone/>
                <wp:docPr id="2" name="Frame1"/>
                <a:graphic xmlns:a="http://schemas.openxmlformats.org/drawingml/2006/main">
                  <a:graphicData uri="http://schemas.microsoft.com/office/word/2010/wordprocessingShape">
                    <wps:wsp>
                      <wps:cNvSpPr txBox="1"/>
                      <wps:spPr>
                        <a:xfrm>
                          <a:off x="0" y="0"/>
                          <a:ext cx="6480175" cy="859790"/>
                        </a:xfrm>
                        <a:prstGeom prst="rect"/>
                        <a:solidFill>
                          <a:srgbClr val="FFFFFF"/>
                        </a:solidFill>
                      </wps:spPr>
                      <wps:txbx>
                        <w:txbxContent>
                          <w:p>
                            <w:pPr>
                              <w:pStyle w:val="TextBody"/>
                              <w:bidi w:val="0"/>
                              <w:spacing w:before="0" w:after="0"/>
                              <w:jc w:val="center"/>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7.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Item 5.02 Departure of Directors or Certain Officers; Election of Directors; Appointment of Certain Officers; Compensatory Arrangements of Certain Officers</w:t>
      </w:r>
      <w:r>
        <w:rPr>
          <w:color w:val="000000"/>
        </w:rPr>
        <w:t xml:space="preserve"> </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On July 23, 2026 (the “</w:t>
      </w:r>
      <w:r>
        <w:rPr>
          <w:rFonts w:ascii="Times New Roman;serif" w:hAnsi="Times New Roman;serif"/>
          <w:b/>
          <w:i/>
          <w:color w:val="000000"/>
          <w:sz w:val="20"/>
        </w:rPr>
        <w:t>Grant Date</w:t>
      </w:r>
      <w:r>
        <w:rPr>
          <w:color w:val="000000"/>
        </w:rPr>
        <w:t>”</w:t>
      </w:r>
      <w:r>
        <w:rPr>
          <w:rFonts w:ascii="Times New Roman;serif" w:hAnsi="Times New Roman;serif"/>
          <w:b w:val="false"/>
          <w:color w:val="000000"/>
          <w:sz w:val="20"/>
        </w:rPr>
        <w:t>), the Board of Directors (the “</w:t>
      </w:r>
      <w:r>
        <w:rPr>
          <w:rFonts w:ascii="Times New Roman;serif" w:hAnsi="Times New Roman;serif"/>
          <w:b/>
          <w:i/>
          <w:color w:val="000000"/>
          <w:sz w:val="20"/>
        </w:rPr>
        <w:t>Board</w:t>
      </w:r>
      <w:r>
        <w:rPr>
          <w:color w:val="000000"/>
        </w:rPr>
        <w:t>”</w:t>
      </w:r>
      <w:r>
        <w:rPr>
          <w:rFonts w:ascii="Times New Roman;serif" w:hAnsi="Times New Roman;serif"/>
          <w:b w:val="false"/>
          <w:color w:val="000000"/>
          <w:sz w:val="20"/>
        </w:rPr>
        <w:t>) of NN, Inc. (the “</w:t>
      </w:r>
      <w:r>
        <w:rPr>
          <w:rFonts w:ascii="Times New Roman;serif" w:hAnsi="Times New Roman;serif"/>
          <w:b/>
          <w:i/>
          <w:color w:val="000000"/>
          <w:sz w:val="20"/>
        </w:rPr>
        <w:t>Company</w:t>
      </w:r>
      <w:r>
        <w:rPr>
          <w:color w:val="000000"/>
        </w:rPr>
        <w:t>”</w:t>
      </w:r>
      <w:r>
        <w:rPr>
          <w:rFonts w:ascii="Times New Roman;serif" w:hAnsi="Times New Roman;serif"/>
          <w:b w:val="false"/>
          <w:color w:val="000000"/>
          <w:sz w:val="20"/>
        </w:rPr>
        <w:t>) and the Compensation Committee of the Board (the “</w:t>
      </w:r>
      <w:r>
        <w:rPr>
          <w:rFonts w:ascii="Times New Roman;serif" w:hAnsi="Times New Roman;serif"/>
          <w:b/>
          <w:i/>
          <w:color w:val="000000"/>
          <w:sz w:val="20"/>
        </w:rPr>
        <w:t>Committee</w:t>
      </w:r>
      <w:r>
        <w:rPr>
          <w:color w:val="000000"/>
        </w:rPr>
        <w:t>”</w:t>
      </w:r>
      <w:r>
        <w:rPr>
          <w:rFonts w:ascii="Times New Roman;serif" w:hAnsi="Times New Roman;serif"/>
          <w:b w:val="false"/>
          <w:color w:val="000000"/>
          <w:sz w:val="20"/>
        </w:rPr>
        <w:t>), approved the grant of 250,000, 140,000 and 110,000 performance share units (at target) (“</w:t>
      </w:r>
      <w:r>
        <w:rPr>
          <w:rFonts w:ascii="Times New Roman;serif" w:hAnsi="Times New Roman;serif"/>
          <w:b/>
          <w:i/>
          <w:color w:val="000000"/>
          <w:sz w:val="20"/>
        </w:rPr>
        <w:t>PSUs</w:t>
      </w:r>
      <w:r>
        <w:rPr>
          <w:color w:val="000000"/>
        </w:rPr>
        <w:t>”</w:t>
      </w:r>
      <w:r>
        <w:rPr>
          <w:rFonts w:ascii="Times New Roman;serif" w:hAnsi="Times New Roman;serif"/>
          <w:b w:val="false"/>
          <w:color w:val="000000"/>
          <w:sz w:val="20"/>
        </w:rPr>
        <w:t>) pursuant to the Company’s Amended and Restated Omnibus Incentive Plan (the “</w:t>
      </w:r>
      <w:r>
        <w:rPr>
          <w:rFonts w:ascii="Times New Roman;serif" w:hAnsi="Times New Roman;serif"/>
          <w:b/>
          <w:i/>
          <w:color w:val="000000"/>
          <w:sz w:val="20"/>
        </w:rPr>
        <w:t>Plan</w:t>
      </w:r>
      <w:r>
        <w:rPr>
          <w:color w:val="000000"/>
        </w:rPr>
        <w:t>”</w:t>
      </w:r>
      <w:r>
        <w:rPr>
          <w:rFonts w:ascii="Times New Roman;serif" w:hAnsi="Times New Roman;serif"/>
          <w:b w:val="false"/>
          <w:color w:val="000000"/>
          <w:sz w:val="20"/>
        </w:rPr>
        <w:t>) and an award agreement thereunder (the “</w:t>
      </w:r>
      <w:r>
        <w:rPr>
          <w:rFonts w:ascii="Times New Roman;serif" w:hAnsi="Times New Roman;serif"/>
          <w:b/>
          <w:i/>
          <w:color w:val="000000"/>
          <w:sz w:val="20"/>
        </w:rPr>
        <w:t>Award Agreement</w:t>
      </w:r>
      <w:r>
        <w:rPr>
          <w:color w:val="000000"/>
        </w:rPr>
        <w:t>”</w:t>
      </w:r>
      <w:r>
        <w:rPr>
          <w:rFonts w:ascii="Times New Roman;serif" w:hAnsi="Times New Roman;serif"/>
          <w:b w:val="false"/>
          <w:color w:val="000000"/>
          <w:sz w:val="20"/>
        </w:rPr>
        <w:t>) to each of Harold Bevis, the Company’s President and Chief Executive Officer, Tim French, the Company’s Chief Operating Officer, and Chris Bohnert, the Company’s Senior Vice President and Chief Financial Officer, respectively, to reward each such executive for their performance to date, motivate the achievement of the Company’s strategy, and retain each such executive’s leadership.</w:t>
      </w:r>
    </w:p>
    <w:p>
      <w:pPr>
        <w:pStyle w:val="TextBody"/>
        <w:bidi w:val="0"/>
        <w:spacing w:lineRule="auto" w:line="288" w:before="0" w:after="0"/>
        <w:jc w:val="both"/>
        <w:rPr/>
      </w:pPr>
      <w:r>
        <w:rPr>
          <w:rFonts w:ascii="Times New Roman;serif" w:hAnsi="Times New Roman;serif"/>
          <w:b w:val="false"/>
          <w:color w:val="000000"/>
          <w:sz w:val="20"/>
        </w:rPr>
        <w:br/>
        <w:t>The vesting of the PSUs is subject to the achievement of certain performance goals based on four metrics (weighted 25% each): (i) the Company’s cumulative adjusted EBITDA, free cash flow, and net sales, respectively, during the period beginning January 1, 2026 and ending December 31, 2028, and (ii) the Company’s total shareholder return (“</w:t>
      </w:r>
      <w:r>
        <w:rPr>
          <w:rFonts w:ascii="Times New Roman;serif" w:hAnsi="Times New Roman;serif"/>
          <w:b/>
          <w:i/>
          <w:color w:val="000000"/>
          <w:sz w:val="20"/>
        </w:rPr>
        <w:t>TSR</w:t>
      </w:r>
      <w:r>
        <w:rPr>
          <w:color w:val="000000"/>
        </w:rPr>
        <w:t>”</w:t>
      </w:r>
      <w:r>
        <w:rPr>
          <w:rFonts w:ascii="Times New Roman;serif" w:hAnsi="Times New Roman;serif"/>
          <w:b w:val="false"/>
          <w:color w:val="000000"/>
          <w:sz w:val="20"/>
        </w:rPr>
        <w:t xml:space="preserve">) as compared to the TSR of a specified group of peer companies during the three-year period beginning on the Grant Date and ending on the third anniversary of the Grant Date. Payouts of the PSUs will range from 0% to 200% of the target number of PSUs based on actual achievement against the performance goals.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Vesting generally requires each executive’s continued service to the Company through the date that the Committee certifies whether the performance goals have been achieved. However, in the event of a termination of the executive’s service due to death or disability, the PSUs will vest, either at target or based on actual performance, prorated based on the amount of time the executive remained in service with the Company during the applicable performance period. In the event of a Change in Control, vesting will be determined on a prorated basis, using only the relative TSR component. </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foregoing description of the PSUs is a summary of their material terms, does not purport to be complete and is qualified in its entirety by reference to the full text of Plan and Award Agreements. A copy of the form of Award Agreement is filed as Exhibit 10.1 hereto and is incorporated herein by reference. A copy of the Plan is filed as Appendix A to the Company’s definitive proxy statement on Schedule 14A, filed with the Securities and Exchange Commission on April 6, 2026, and is incorporated herein by reference. </w:t>
      </w:r>
    </w:p>
    <w:p>
      <w:pPr>
        <w:pStyle w:val="TextBody"/>
        <w:bidi w:val="0"/>
        <w:spacing w:before="120" w:after="60"/>
        <w:ind w:left="0" w:right="0" w:hanging="1440"/>
        <w:jc w:val="left"/>
        <w:rPr/>
      </w:pPr>
      <w:r>
        <w:rPr/>
      </w:r>
    </w:p>
    <w:p>
      <w:pPr>
        <w:pStyle w:val="TextBody"/>
        <w:bidi w:val="0"/>
        <w:spacing w:lineRule="auto" w:line="333" w:before="120" w:after="60"/>
        <w:ind w:left="0" w:right="0" w:hanging="144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333" w:before="0" w:after="100"/>
        <w:jc w:val="left"/>
        <w:rPr>
          <w:color w:val="000000"/>
        </w:rPr>
      </w:pPr>
      <w:r>
        <w:rPr>
          <w:color w:val="000000"/>
        </w:rPr>
        <w:t> </w:t>
      </w:r>
      <w:r>
        <w:rPr>
          <w:rFonts w:ascii="Times New Roman;serif" w:hAnsi="Times New Roman;serif"/>
          <w:b w:val="false"/>
          <w:i/>
          <w:color w:val="000000"/>
          <w:sz w:val="20"/>
        </w:rPr>
        <w:t>(d)    Exhibits.</w:t>
      </w:r>
    </w:p>
    <w:tbl>
      <w:tblPr>
        <w:tblW w:w="7572" w:type="dxa"/>
        <w:jc w:val="left"/>
        <w:tblInd w:w="0" w:type="dxa"/>
        <w:tblLayout w:type="fixed"/>
        <w:tblCellMar>
          <w:top w:w="28" w:type="dxa"/>
          <w:left w:w="28" w:type="dxa"/>
          <w:bottom w:w="28" w:type="dxa"/>
          <w:right w:w="28" w:type="dxa"/>
        </w:tblCellMar>
      </w:tblPr>
      <w:tblGrid>
        <w:gridCol w:w="234"/>
        <w:gridCol w:w="205"/>
        <w:gridCol w:w="207"/>
        <w:gridCol w:w="109"/>
        <w:gridCol w:w="109"/>
        <w:gridCol w:w="109"/>
        <w:gridCol w:w="1927"/>
        <w:gridCol w:w="1927"/>
        <w:gridCol w:w="2745"/>
      </w:tblGrid>
      <w:tr>
        <w:trPr/>
        <w:tc>
          <w:tcPr>
            <w:tcW w:w="23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2745"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88" w:before="65" w:after="283"/>
              <w:jc w:val="center"/>
              <w:rPr>
                <w:rFonts w:ascii="Times New Roman;serif" w:hAnsi="Times New Roman;serif"/>
                <w:b/>
                <w:color w:val="000000"/>
                <w:sz w:val="16"/>
                <w:u w:val="single"/>
              </w:rPr>
            </w:pPr>
            <w:r>
              <w:rPr>
                <w:rFonts w:ascii="Times New Roman;serif" w:hAnsi="Times New Roman;serif"/>
                <w:b/>
                <w:color w:val="000000"/>
                <w:sz w:val="16"/>
                <w:u w:val="single"/>
              </w:rPr>
              <w:t>Exhibit</w:t>
            </w:r>
          </w:p>
          <w:p>
            <w:pPr>
              <w:pStyle w:val="TableContents"/>
              <w:bidi w:val="0"/>
              <w:spacing w:lineRule="auto" w:line="288" w:before="0" w:after="20"/>
              <w:jc w:val="center"/>
              <w:rPr>
                <w:rFonts w:ascii="Times New Roman;serif" w:hAnsi="Times New Roman;serif"/>
                <w:b/>
                <w:color w:val="000000"/>
                <w:sz w:val="16"/>
                <w:u w:val="single"/>
              </w:rPr>
            </w:pPr>
            <w:r>
              <w:rPr>
                <w:rFonts w:ascii="Times New Roman;serif" w:hAnsi="Times New Roman;serif"/>
                <w:b/>
                <w:color w:val="000000"/>
                <w:sz w:val="16"/>
                <w:u w:val="single"/>
              </w:rPr>
              <w:t>No.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Description of Exhibit</w:t>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ormofaward.htm">
              <w:r>
                <w:rPr>
                  <w:rStyle w:val="InternetLink"/>
                  <w:rFonts w:ascii="Times New Roman;serif" w:hAnsi="Times New Roman;serif"/>
                  <w:b w:val="false"/>
                  <w:color w:val="0000FF"/>
                  <w:sz w:val="20"/>
                  <w:u w:val="single"/>
                </w:rPr>
                <w:t>Form of Award Agreement.</w:t>
              </w:r>
            </w:hyperlink>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0"/>
        <w:jc w:val="left"/>
        <w:rPr/>
      </w:pPr>
      <w:r>
        <w:rPr/>
      </w:r>
    </w:p>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771"/>
        <w:gridCol w:w="1556"/>
        <w:gridCol w:w="1556"/>
        <w:gridCol w:w="1556"/>
        <w:gridCol w:w="1556"/>
        <w:gridCol w:w="2210"/>
      </w:tblGrid>
      <w:tr>
        <w:trPr/>
        <w:tc>
          <w:tcPr>
            <w:tcW w:w="1771"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c>
          <w:tcPr>
            <w:tcW w:w="2210"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88" w:before="65" w:after="2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c>
      </w:tr>
      <w:tr>
        <w:trPr/>
        <w:tc>
          <w:tcPr>
            <w:tcW w:w="4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w:t>
            </w:r>
          </w:p>
        </w:tc>
        <w:tc>
          <w:tcPr>
            <w:tcW w:w="532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July 24, 2026</w:t>
            </w:r>
          </w:p>
        </w:tc>
      </w:tr>
    </w:tbl>
    <w:p>
      <w:pPr>
        <w:pStyle w:val="TextBody"/>
        <w:bidi w:val="0"/>
        <w:spacing w:before="0" w:after="100"/>
        <w:jc w:val="left"/>
        <w:rPr/>
      </w:pPr>
      <w:r>
        <w:rPr/>
      </w:r>
    </w:p>
    <w:tbl>
      <w:tblPr>
        <w:tblW w:w="5112" w:type="dxa"/>
        <w:jc w:val="left"/>
        <w:tblInd w:w="0" w:type="dxa"/>
        <w:tblLayout w:type="fixed"/>
        <w:tblCellMar>
          <w:top w:w="28" w:type="dxa"/>
          <w:left w:w="28" w:type="dxa"/>
          <w:bottom w:w="28" w:type="dxa"/>
          <w:right w:w="28" w:type="dxa"/>
        </w:tblCellMar>
      </w:tblPr>
      <w:tblGrid>
        <w:gridCol w:w="124"/>
        <w:gridCol w:w="109"/>
        <w:gridCol w:w="109"/>
        <w:gridCol w:w="233"/>
        <w:gridCol w:w="197"/>
        <w:gridCol w:w="200"/>
        <w:gridCol w:w="1210"/>
        <w:gridCol w:w="1210"/>
        <w:gridCol w:w="172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72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NN,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Christopher H. Bohnert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4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Christopher H. Bohnert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and Chief Financial Officer</w:t>
            </w:r>
          </w:p>
        </w:tc>
      </w:tr>
    </w:tbl>
    <w:p>
      <w:pPr>
        <w:pStyle w:val="TextBody"/>
        <w:bidi w:val="0"/>
        <w:spacing w:before="0" w:after="0"/>
        <w:jc w:val="left"/>
        <w:rPr/>
      </w:pPr>
      <w:r>
        <w:rPr/>
      </w:r>
    </w:p>
    <w:p>
      <w:pPr>
        <w:pStyle w:val="TextBody"/>
        <w:bidi w:val="0"/>
        <w:spacing w:before="240" w:after="283"/>
        <w:ind w:left="0" w:right="0" w:firstLine="495"/>
        <w:jc w:val="left"/>
        <w:rPr/>
      </w:pPr>
      <w:r>
        <w:rPr/>
      </w:r>
    </w:p>
    <w:p>
      <w:pPr>
        <w:pStyle w:val="TextBody"/>
        <w:bidi w:val="0"/>
        <w:spacing w:before="0" w:after="0"/>
        <w:jc w:val="center"/>
        <w:rPr/>
      </w:pPr>
      <w:bookmarkStart w:id="1" w:name="formofaward.htm"/>
      <w:bookmarkStart w:id="2" w:name="ksformofaward"/>
      <w:bookmarkEnd w:id="1"/>
      <w:bookmarkEnd w:id="2"/>
      <w:r>
        <w:rPr/>
        <w:drawing>
          <wp:inline distT="0" distB="0" distL="0" distR="0">
            <wp:extent cx="10048875" cy="13001625"/>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NN, INC. AMENDED AND RESTATED 2022 OMNIBUS INCENTIVE PLAN PERFORMANCE SHARE UNIT GRANT NOTICE NN, Inc., a Delaware corporation (the “Company”), pursuant to its Amended and Restated 2022 Omnibus Incentive Plan (as amended from time to time, the “Plan”), hereby grants to the holder listed below (“Grantee”) the right to receive a number of performance share units (the “Performance Share Units”) as set forth below (the “Performance Share Unit Award”). The Performance Share Units are subject to the terms and conditions set forth in this Performance Share Unit Grant Notice (the “Grant Notice”), the Performance Share Unit Award Agreement attached hereto as Exhibit A (the “Agreement”) and the Plan, which are incorporated herein by reference. Unless otherwise defined, the terms defined in the Plan shall have the same defined meanings in the Grant Notice and the Agreement. By his or her signature and the Company’s signature below, Grantee agrees to be bound by the terms and conditions of the Plan, the Agreement and the Grant Notice. Grantee has reviewed the Agreement, the Plan and the Grant Notice in their entirety. Grantee hereby agrees to accept as binding, conclusive and final all decisions or interpretations of the Committee upon any questions arising under the Plan, the Grant Notice or the Agreement. NN, INC. GRANTEE By: By: Print Name: Print Name: Title: Address: _________________________________ Grantee: Grant Date: July 23, 2026 Target Number of Performance Share Units: Performance Period: January 1, 2026 through July 22, 2029; see Exhibit A-1 Determination Date: The date on which the Committee determines whether the performance goals to which this Performance Share Unit Award relates have been met.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1092</Words>
  <Characters>5884</Characters>
  <CharactersWithSpaces>6927</CharactersWithSpaces>
  <Paragraphs>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formofaward</dc:title>
</cp:coreProperties>
</file>