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February 20, 2020 (February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422910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180" w:type="dxa"/>
            <w:vAlign w:val="bottom"/>
          </w:tcPr>
          <w:p>
            <w:pPr>
              <w:jc w:val="center"/>
              <w:ind w:left="459"/>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gridSpan w:val="4"/>
          </w:tcPr>
          <w:p>
            <w:pPr>
              <w:jc w:val="center"/>
              <w:ind w:left="1314"/>
              <w:spacing w:after="0"/>
              <w:rPr>
                <w:sz w:val="20"/>
                <w:szCs w:val="20"/>
                <w:color w:val="auto"/>
              </w:rPr>
            </w:pPr>
            <w:r>
              <w:rPr>
                <w:rFonts w:ascii="Arial" w:cs="Arial" w:eastAsia="Arial" w:hAnsi="Arial"/>
                <w:sz w:val="18"/>
                <w:szCs w:val="18"/>
                <w:b w:val="1"/>
                <w:bCs w:val="1"/>
                <w:color w:val="auto"/>
                <w:w w:val="90"/>
              </w:rPr>
              <w:t>000-23486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jc w:val="right"/>
              <w:ind w:right="1261"/>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149"/>
        </w:trPr>
        <w:tc>
          <w:tcPr>
            <w:tcW w:w="3180" w:type="dxa"/>
            <w:vAlign w:val="bottom"/>
          </w:tcPr>
          <w:p>
            <w:pPr>
              <w:jc w:val="center"/>
              <w:ind w:left="4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52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(Commission</w:t>
            </w:r>
          </w:p>
        </w:tc>
        <w:tc>
          <w:tcPr>
            <w:tcW w:w="3160" w:type="dxa"/>
            <w:vAlign w:val="bottom"/>
          </w:tcPr>
          <w:p>
            <w:pPr>
              <w:jc w:val="center"/>
              <w:ind w:right="32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180" w:type="dxa"/>
            <w:vAlign w:val="bottom"/>
          </w:tcPr>
          <w:p>
            <w:pPr>
              <w:jc w:val="center"/>
              <w:ind w:left="439"/>
              <w:spacing w:after="0"/>
              <w:rPr>
                <w:sz w:val="20"/>
                <w:szCs w:val="20"/>
                <w:color w:val="auto"/>
              </w:rPr>
            </w:pPr>
            <w:r>
              <w:rPr>
                <w:rFonts w:ascii="Arial" w:cs="Arial" w:eastAsia="Arial" w:hAnsi="Arial"/>
                <w:sz w:val="14"/>
                <w:szCs w:val="14"/>
                <w:b w:val="1"/>
                <w:bCs w:val="1"/>
                <w:color w:val="auto"/>
                <w:w w:val="94"/>
              </w:rPr>
              <w:t>of Incorporation)</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5"/>
              </w:rPr>
              <w:t>File Number)</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39"/>
        </w:trPr>
        <w:tc>
          <w:tcPr>
            <w:tcW w:w="786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3"/>
              </w:rPr>
              <w:t>6210 Ardrey Kell Road</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86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3"/>
              </w:rPr>
              <w:t>Charlotte, North Carolina</w:t>
            </w:r>
          </w:p>
        </w:tc>
        <w:tc>
          <w:tcPr>
            <w:tcW w:w="3160" w:type="dxa"/>
            <w:vAlign w:val="bottom"/>
          </w:tcPr>
          <w:p>
            <w:pPr>
              <w:jc w:val="right"/>
              <w:ind w:right="1481"/>
              <w:spacing w:after="0"/>
              <w:rPr>
                <w:sz w:val="20"/>
                <w:szCs w:val="20"/>
                <w:color w:val="auto"/>
              </w:rPr>
            </w:pPr>
            <w:r>
              <w:rPr>
                <w:rFonts w:ascii="Arial" w:cs="Arial" w:eastAsia="Arial" w:hAnsi="Arial"/>
                <w:sz w:val="18"/>
                <w:szCs w:val="18"/>
                <w:b w:val="1"/>
                <w:bCs w:val="1"/>
                <w:color w:val="auto"/>
              </w:rPr>
              <w:t>28277</w:t>
            </w:r>
          </w:p>
        </w:tc>
        <w:tc>
          <w:tcPr>
            <w:tcW w:w="0" w:type="dxa"/>
            <w:vAlign w:val="bottom"/>
          </w:tcPr>
          <w:p>
            <w:pPr>
              <w:spacing w:after="0"/>
              <w:rPr>
                <w:sz w:val="1"/>
                <w:szCs w:val="1"/>
                <w:color w:val="auto"/>
              </w:rPr>
            </w:pPr>
          </w:p>
        </w:tc>
      </w:tr>
      <w:tr>
        <w:trPr>
          <w:trHeight w:val="186"/>
        </w:trPr>
        <w:tc>
          <w:tcPr>
            <w:tcW w:w="786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4"/>
        </w:trPr>
        <w:tc>
          <w:tcPr>
            <w:tcW w:w="3180" w:type="dxa"/>
            <w:vAlign w:val="bottom"/>
          </w:tcPr>
          <w:p>
            <w:pPr>
              <w:spacing w:after="0"/>
              <w:rPr>
                <w:sz w:val="24"/>
                <w:szCs w:val="24"/>
                <w:color w:val="auto"/>
              </w:rPr>
            </w:pPr>
          </w:p>
        </w:tc>
        <w:tc>
          <w:tcPr>
            <w:tcW w:w="3460" w:type="dxa"/>
            <w:vAlign w:val="bottom"/>
            <w:gridSpan w:val="4"/>
          </w:tcPr>
          <w:p>
            <w:pPr>
              <w:jc w:val="center"/>
              <w:ind w:left="1094"/>
              <w:spacing w:after="0"/>
              <w:rPr>
                <w:sz w:val="20"/>
                <w:szCs w:val="20"/>
                <w:color w:val="auto"/>
              </w:rPr>
            </w:pPr>
            <w:r>
              <w:rPr>
                <w:rFonts w:ascii="Arial" w:cs="Arial" w:eastAsia="Arial" w:hAnsi="Arial"/>
                <w:sz w:val="18"/>
                <w:szCs w:val="18"/>
                <w:b w:val="1"/>
                <w:bCs w:val="1"/>
                <w:color w:val="auto"/>
                <w:w w:val="90"/>
              </w:rPr>
              <w:t>(980) 264-4300</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1"/>
        </w:trPr>
        <w:tc>
          <w:tcPr>
            <w:tcW w:w="3180" w:type="dxa"/>
            <w:vAlign w:val="bottom"/>
          </w:tcPr>
          <w:p>
            <w:pPr>
              <w:spacing w:after="0"/>
              <w:rPr>
                <w:sz w:val="24"/>
                <w:szCs w:val="24"/>
                <w:color w:val="auto"/>
              </w:rPr>
            </w:pPr>
          </w:p>
        </w:tc>
        <w:tc>
          <w:tcPr>
            <w:tcW w:w="468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180" w:type="dxa"/>
            <w:vAlign w:val="bottom"/>
          </w:tcPr>
          <w:p>
            <w:pPr>
              <w:spacing w:after="0"/>
              <w:rPr>
                <w:sz w:val="24"/>
                <w:szCs w:val="24"/>
                <w:color w:val="auto"/>
              </w:rPr>
            </w:pPr>
          </w:p>
        </w:tc>
        <w:tc>
          <w:tcPr>
            <w:tcW w:w="468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180" w:type="dxa"/>
            <w:vAlign w:val="bottom"/>
            <w:vMerge w:val="restart"/>
          </w:tcPr>
          <w:p>
            <w:pPr>
              <w:jc w:val="center"/>
              <w:ind w:left="459"/>
              <w:spacing w:after="0"/>
              <w:rPr>
                <w:sz w:val="20"/>
                <w:szCs w:val="20"/>
                <w:color w:val="auto"/>
              </w:rPr>
            </w:pPr>
            <w:r>
              <w:rPr>
                <w:rFonts w:ascii="Arial" w:cs="Arial" w:eastAsia="Arial" w:hAnsi="Arial"/>
                <w:sz w:val="14"/>
                <w:szCs w:val="14"/>
                <w:b w:val="1"/>
                <w:bCs w:val="1"/>
                <w:color w:val="auto"/>
                <w:w w:val="89"/>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97"/>
              </w:rPr>
              <w:t>Trading</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2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w w:val="89"/>
              </w:rPr>
              <w:t>symbol</w:t>
            </w:r>
          </w:p>
        </w:tc>
        <w:tc>
          <w:tcPr>
            <w:tcW w:w="3160" w:type="dxa"/>
            <w:vAlign w:val="bottom"/>
          </w:tcPr>
          <w:p>
            <w:pPr>
              <w:jc w:val="center"/>
              <w:ind w:right="321"/>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180" w:type="dxa"/>
            <w:vAlign w:val="bottom"/>
            <w:tcBorders>
              <w:top w:val="single" w:sz="8" w:color="auto"/>
            </w:tcBorders>
          </w:tcPr>
          <w:p>
            <w:pPr>
              <w:jc w:val="center"/>
              <w:ind w:left="439"/>
              <w:spacing w:after="0"/>
              <w:rPr>
                <w:sz w:val="20"/>
                <w:szCs w:val="20"/>
                <w:color w:val="auto"/>
              </w:rPr>
            </w:pPr>
            <w:r>
              <w:rPr>
                <w:rFonts w:ascii="Arial" w:cs="Arial" w:eastAsia="Arial" w:hAnsi="Arial"/>
                <w:sz w:val="18"/>
                <w:szCs w:val="18"/>
                <w:b w:val="1"/>
                <w:bCs w:val="1"/>
                <w:color w:val="auto"/>
                <w:w w:val="90"/>
              </w:rPr>
              <w:t>Common Stock, par value $0.01</w:t>
            </w: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tcPr>
          <w:p>
            <w:pPr>
              <w:jc w:val="center"/>
              <w:ind w:right="321"/>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040"/>
          </w:cols>
          <w:pgMar w:left="440" w:top="368" w:right="419" w:bottom="196"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125" w:right="719" w:bottom="1440" w:gutter="0" w:footer="0" w:header="0"/>
        </w:sectPr>
      </w:pPr>
    </w:p>
    <w:bookmarkStart w:id="2" w:name="page3"/>
    <w:bookmarkEnd w:id="2"/>
    <w:p>
      <w:pPr>
        <w:ind w:left="1200" w:right="60" w:hanging="120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1"/>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On February 18, 2020, NN, Inc. (the “Company”) announced the appointment of Warren A. Veltman as the President and Chief Executive Officer of the Company, effective as of February 17, 2020. Mr. Veltman has served as the Company’s Interim President and Chief Executive Officer since September 16, 2019. The information related to Mr. Veltman in the Company’s Current Report on </w:t>
      </w:r>
      <w:hyperlink r:id="rId19">
        <w:r>
          <w:rPr>
            <w:rFonts w:ascii="Arial" w:cs="Arial" w:eastAsia="Arial" w:hAnsi="Arial"/>
            <w:sz w:val="18"/>
            <w:szCs w:val="18"/>
            <w:u w:val="single" w:color="auto"/>
            <w:color w:val="0000EE"/>
          </w:rPr>
          <w:t>Form 8-K filed on September 16,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is incorporated by reference herein.</w:t>
      </w:r>
    </w:p>
    <w:p>
      <w:pPr>
        <w:spacing w:after="0" w:line="187" w:lineRule="exact"/>
        <w:rPr>
          <w:sz w:val="20"/>
          <w:szCs w:val="20"/>
          <w:color w:val="auto"/>
        </w:rPr>
      </w:pPr>
    </w:p>
    <w:p>
      <w:pPr>
        <w:ind w:firstLine="441"/>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In connection with Mr. Veltman’s appointment, on February 17, 2020, the Company and Mr. Veltman entered into Amendment No. 2 to Executive Employment Agreement (the “Amendment”), which amends that certain Executive Employment Agreement, dated September 9, 2014, as amended by that certain Amendment No. 1 to Executive Employment Agreement, dated as of September 20, 2019, each by and between the Company and Mr. Veltman, which were filed as </w:t>
      </w:r>
      <w:hyperlink r:id="rId20">
        <w:r>
          <w:rPr>
            <w:rFonts w:ascii="Arial" w:cs="Arial" w:eastAsia="Arial" w:hAnsi="Arial"/>
            <w:sz w:val="17"/>
            <w:szCs w:val="17"/>
            <w:u w:val="single" w:color="auto"/>
            <w:color w:val="0000EE"/>
          </w:rPr>
          <w:t>Exhibit 10.27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to the Company’s Annual Report on Form 10-K for the year ended December 31, 2014 and </w:t>
      </w:r>
      <w:hyperlink r:id="rId21">
        <w:r>
          <w:rPr>
            <w:rFonts w:ascii="Arial" w:cs="Arial" w:eastAsia="Arial" w:hAnsi="Arial"/>
            <w:sz w:val="17"/>
            <w:szCs w:val="17"/>
            <w:u w:val="single" w:color="auto"/>
            <w:color w:val="0000EE"/>
          </w:rPr>
          <w:t>Exhibit 10.1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Company’s Current Report on Form 8-K filed on September 24, 2019, respectively, and are incorporated by reference herein. The Amendment reflects Mr. Veltman’s position as the President and Chief Executive Officer of the Company.</w:t>
      </w:r>
    </w:p>
    <w:p>
      <w:pPr>
        <w:spacing w:after="0" w:line="178"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foregoing description of the Amendment is only a summary and is qualified in its entirety by the full text of the Amendment, a copy of which is filed as Exhibit 10.1 to this Current Report on Form 8-K and is incorporated by reference herein.</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On February 18, 2020, the Company issued a press release announcing Mr. Veltman’s appointment. A copy of the press release is furnished as Exhibit 99.1 to this Current Report on Form 8-K.</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(d)</w:t>
        <w:tab/>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8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9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Amendment No. 2 to Executive Employment Agreement, dated as of February 17, 2020, by and between NN, Inc. and Warren A. Veltman</w:t>
              </w:r>
            </w:hyperlink>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980" w:type="dxa"/>
            <w:vAlign w:val="bottom"/>
            <w:gridSpan w:val="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issued by NN, Inc. dated February 18, 2020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60"/>
          </w:cols>
          <w:pgMar w:left="440" w:top="270" w:right="49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07" w:lineRule="exact"/>
        <w:rPr>
          <w:sz w:val="20"/>
          <w:szCs w:val="20"/>
          <w:color w:val="auto"/>
        </w:rPr>
      </w:pPr>
    </w:p>
    <w:p>
      <w:pPr>
        <w:ind w:firstLine="992"/>
        <w:spacing w:after="0" w:line="261" w:lineRule="auto"/>
        <w:rPr>
          <w:sz w:val="20"/>
          <w:szCs w:val="20"/>
          <w:color w:val="auto"/>
        </w:rPr>
      </w:pPr>
      <w:r>
        <w:rPr>
          <w:rFonts w:ascii="Arial" w:cs="Arial" w:eastAsia="Arial" w:hAnsi="Arial"/>
          <w:sz w:val="18"/>
          <w:szCs w:val="18"/>
          <w:color w:val="auto"/>
        </w:rPr>
        <w:t>THIS AMENDMENT NO. 2 TO EXECUTIVE EMPLOYMENT AGREEMENT (the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February 17, 2020 by and among NN, Inc., a Delaware corporation (the “Company”), and Warren A. Veltman (the “Executive”), and amends that certain Executive Employment Agreement dated as of September 9, 2014, as amended, by and among the Company and the Executive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right="340" w:firstLine="992"/>
        <w:spacing w:after="0" w:line="308" w:lineRule="auto"/>
        <w:rPr>
          <w:sz w:val="20"/>
          <w:szCs w:val="20"/>
          <w:color w:val="auto"/>
        </w:rPr>
      </w:pPr>
      <w:r>
        <w:rPr>
          <w:rFonts w:ascii="Arial" w:cs="Arial" w:eastAsia="Arial" w:hAnsi="Arial"/>
          <w:sz w:val="17"/>
          <w:szCs w:val="17"/>
          <w:color w:val="auto"/>
        </w:rPr>
        <w:t>In consideration of the mutual promises, representations, warranties, covenants and conditions set forth in this Amendment, the parties hereto, intending to be legally bound, hereby agree that the Employment Agreement is hereby amended as follows:</w:t>
      </w:r>
    </w:p>
    <w:p>
      <w:pPr>
        <w:spacing w:after="0" w:line="147" w:lineRule="exact"/>
        <w:rPr>
          <w:sz w:val="20"/>
          <w:szCs w:val="20"/>
          <w:color w:val="auto"/>
        </w:rPr>
      </w:pPr>
    </w:p>
    <w:p>
      <w:pPr>
        <w:ind w:left="760" w:hanging="316"/>
        <w:spacing w:after="0"/>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Section 3 of the Employment Agreement is hereby amended by deleting said Section 3 in its entirety and inserting in lieu thereof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103" w:lineRule="exact"/>
        <w:rPr>
          <w:sz w:val="20"/>
          <w:szCs w:val="20"/>
          <w:color w:val="auto"/>
        </w:rPr>
      </w:pPr>
    </w:p>
    <w:p>
      <w:pPr>
        <w:ind w:left="1000" w:right="100" w:firstLine="40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Position and Duties</w:t>
      </w:r>
      <w:r>
        <w:rPr>
          <w:rFonts w:ascii="Arial" w:cs="Arial" w:eastAsia="Arial" w:hAnsi="Arial"/>
          <w:sz w:val="16"/>
          <w:szCs w:val="16"/>
          <w:color w:val="auto"/>
        </w:rPr>
        <w:t>. The Executive shall serve as the President and Chief Executive Officer of the Company with responsibilities and authority as may from time to time be assigned by the Board of Directors of the Company. Executive agrees to perform faithfully and industriously the duties which the Company may assign to him. The Executive shall devote substantially all of his working time and efforts to the business affairs of the Company, to the exclusion of all other employment or business interest other than passive personal investments, charitable, religious or civic activities. Executive may not engage, directly or indirectly, in any other business or businesses, whether or not similar to that of the Company, except with the consent of the Board of Directors of the Company.”</w:t>
      </w:r>
    </w:p>
    <w:p>
      <w:pPr>
        <w:spacing w:after="0" w:line="165" w:lineRule="exact"/>
        <w:rPr>
          <w:sz w:val="20"/>
          <w:szCs w:val="20"/>
          <w:color w:val="auto"/>
        </w:rPr>
      </w:pPr>
    </w:p>
    <w:p>
      <w:pPr>
        <w:ind w:left="760" w:hanging="3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all other respects, the Employment Agreement shall remain in full force and effect.</w:t>
      </w:r>
    </w:p>
    <w:p>
      <w:pPr>
        <w:spacing w:after="0" w:line="225" w:lineRule="exact"/>
        <w:rPr>
          <w:rFonts w:ascii="Arial" w:cs="Arial" w:eastAsia="Arial" w:hAnsi="Arial"/>
          <w:sz w:val="18"/>
          <w:szCs w:val="18"/>
          <w:color w:val="auto"/>
        </w:rPr>
      </w:pPr>
    </w:p>
    <w:p>
      <w:pPr>
        <w:ind w:right="100" w:firstLine="444"/>
        <w:spacing w:after="0" w:line="308" w:lineRule="auto"/>
        <w:tabs>
          <w:tab w:leader="none" w:pos="75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Amendment may be executed in counterparts, each of which when so executed shall be deemed an original, but all of which when taken together shall constitute one and the same instrument. Any or all of the signatures to this Amendment may be by facsimile transmission.</w:t>
      </w:r>
    </w:p>
    <w:p>
      <w:pPr>
        <w:spacing w:after="0" w:line="146" w:lineRule="exact"/>
        <w:rPr>
          <w:rFonts w:ascii="Arial" w:cs="Arial" w:eastAsia="Arial" w:hAnsi="Arial"/>
          <w:sz w:val="17"/>
          <w:szCs w:val="17"/>
          <w:color w:val="auto"/>
        </w:rPr>
      </w:pPr>
    </w:p>
    <w:p>
      <w:pPr>
        <w:ind w:left="1000" w:right="100" w:hanging="556"/>
        <w:spacing w:after="0" w:line="578" w:lineRule="auto"/>
        <w:tabs>
          <w:tab w:leader="none" w:pos="76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Amendment shall be governed in accordance with the laws of the State of Tennessee, without regard to principles of conflict of laws. IN WITNESS WHEREOF, the parties have executed this Amendment No. 2 to Employment Agreement as of the date first above written.</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Warren A. Veltman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A. Veltman</w:t>
      </w:r>
    </w:p>
    <w:p>
      <w:pPr>
        <w:sectPr>
          <w:pgSz w:w="11900" w:h="16838" w:orient="portrait"/>
          <w:cols w:equalWidth="0" w:num="1">
            <w:col w:w="11020"/>
          </w:cols>
          <w:pgMar w:left="440" w:top="121"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172085</wp:posOffset>
            </wp:positionV>
            <wp:extent cx="184404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883285</wp:posOffset>
            </wp:positionV>
            <wp:extent cx="823595" cy="79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Names Warren Veltman President and CEO</w:t>
      </w:r>
    </w:p>
    <w:p>
      <w:pPr>
        <w:spacing w:after="0" w:line="225" w:lineRule="exact"/>
        <w:rPr>
          <w:sz w:val="20"/>
          <w:szCs w:val="20"/>
          <w:color w:val="auto"/>
        </w:rPr>
      </w:pPr>
    </w:p>
    <w:p>
      <w:pPr>
        <w:jc w:val="both"/>
        <w:ind w:right="600"/>
        <w:spacing w:after="0" w:line="266" w:lineRule="auto"/>
        <w:rPr>
          <w:sz w:val="20"/>
          <w:szCs w:val="20"/>
          <w:color w:val="auto"/>
        </w:rPr>
      </w:pPr>
      <w:r>
        <w:rPr>
          <w:rFonts w:ascii="Arial" w:cs="Arial" w:eastAsia="Arial" w:hAnsi="Arial"/>
          <w:sz w:val="18"/>
          <w:szCs w:val="18"/>
          <w:b w:val="1"/>
          <w:bCs w:val="1"/>
          <w:color w:val="auto"/>
        </w:rPr>
        <w:t xml:space="preserve">CHARLOTTE, N.C., February 18, 2020 </w:t>
      </w:r>
      <w:r>
        <w:rPr>
          <w:rFonts w:ascii="Arial" w:cs="Arial" w:eastAsia="Arial" w:hAnsi="Arial"/>
          <w:sz w:val="18"/>
          <w:szCs w:val="18"/>
          <w:color w:val="auto"/>
        </w:rPr>
        <w:t>— NN, Inc. (NASDAQ: NNBR), a diversified industrial company, today announced that its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has appointed Warren Veltman President and Chief Executive Officer, effective immediately. Mr. Veltman has served as NN’s interim President and CEO since September 16, 2019.</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Robert Brunner, Chairman of the Board, said, “Following a comprehensive search of qualified candidates, the Board concluded that Warren is best suited to lead NN through its next evolution. Since he was named interim President and CEO, Warren has applied his deep industry knowledge, leadership and operational skills to the role, implementing effective cost saving initiatives, strengthening our balance sheet and helping lead the Company’s review of strategic alternatives. The Board has confidence in his ability to continue to drive improved financial and operational performance and enhance long-term shareholder value.”</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Warren Veltman, President and Chief Executive Officer, added, “I am honored by the Board’s decision to appoint me as President and CEO of NN and I am grateful for the Board’s support as we work together to implement numerous initiatives to streamline costs, de-lever our balance sheet and strengthen our credit profile. I remain focused on pursuing disciplined capital allocation strategies that will set NN up effectively to drive value in the long-term.”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Warren Veltman</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Mr. Veltman most recently served as interim President and CEO of NN. Mr. Veltman previously served as Executive Vice President of NN’s Mobile Solutions group, a position he held when he joined the Company in 2014 as part of NN’s acquisition of Autocam Corporation, an automotive component manufacturer. Prior to that, Mr. Veltman served as Chief Financial Officer and Treasurer of Autocam Corporation, and of Autocam Medical, a medical device manufacturer. Earlier in his career he was an audit manager with Deloitte &amp; Touche.</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NN, Inc.</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png"/><Relationship Id="rId19" Type="http://schemas.openxmlformats.org/officeDocument/2006/relationships/hyperlink" Target="http://www.sec.gov/Archives/edgar/data/918541/000119312519245436/d805388d8k.htm" TargetMode="External"/><Relationship Id="rId20" Type="http://schemas.openxmlformats.org/officeDocument/2006/relationships/hyperlink" Target="http://www.sec.gov/Archives/edgar/data/918541/000119312515093835/d863758dex1027.htm" TargetMode="External"/><Relationship Id="rId21" Type="http://schemas.openxmlformats.org/officeDocument/2006/relationships/hyperlink" Target="http://www.sec.gov/Archives/edgar/data/918541/000119312519252768/d62811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2020-02-20T15:04:06Z</dcterms:created>
  <dcterms:modified xsi:type="dcterms:W3CDTF">2020-02-20T15:04:06Z</dcterms:modified>
</cp:coreProperties>
</file>