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March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412750</wp:posOffset>
            </wp:positionV>
            <wp:extent cx="582295" cy="590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295" cy="590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62-1096725</w:t>
      </w:r>
    </w:p>
    <w:p>
      <w:pPr>
        <w:spacing w:after="0" w:line="43" w:lineRule="exact"/>
        <w:rPr>
          <w:sz w:val="24"/>
          <w:szCs w:val="24"/>
          <w:color w:val="auto"/>
        </w:rPr>
      </w:pPr>
    </w:p>
    <w:p>
      <w:pPr>
        <w:sectPr>
          <w:pgSz w:w="11900" w:h="16838" w:orient="portrait"/>
          <w:cols w:equalWidth="0" w:num="3">
            <w:col w:w="4740" w:space="720"/>
            <w:col w:w="3000" w:space="720"/>
            <w:col w:w="2080"/>
          </w:cols>
          <w:pgMar w:left="240" w:top="360" w:right="3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23" w:lineRule="exact"/>
        <w:rPr>
          <w:sz w:val="24"/>
          <w:szCs w:val="24"/>
          <w:color w:val="auto"/>
        </w:rPr>
      </w:pPr>
    </w:p>
    <w:p>
      <w:pPr>
        <w:sectPr>
          <w:pgSz w:w="11900" w:h="16838" w:orient="portrait"/>
          <w:cols w:equalWidth="0" w:num="3">
            <w:col w:w="4720" w:space="720"/>
            <w:col w:w="2900" w:space="720"/>
            <w:col w:w="2200"/>
          </w:cols>
          <w:pgMar w:left="240" w:top="360" w:right="399" w:bottom="1440" w:gutter="0" w:footer="0" w:header="0"/>
          <w:type w:val="continuous"/>
        </w:sectPr>
      </w:pPr>
    </w:p>
    <w:p>
      <w:pPr>
        <w:spacing w:after="0" w:line="20" w:lineRule="exact"/>
        <w:rPr>
          <w:sz w:val="24"/>
          <w:szCs w:val="24"/>
          <w:color w:val="auto"/>
        </w:rPr>
      </w:pPr>
    </w:p>
    <w:p>
      <w:pPr>
        <w:ind w:left="1100"/>
        <w:spacing w:after="0"/>
        <w:rPr>
          <w:sz w:val="20"/>
          <w:szCs w:val="20"/>
          <w:color w:val="auto"/>
        </w:rPr>
      </w:pPr>
      <w:r>
        <w:rPr>
          <w:rFonts w:ascii="Arial" w:cs="Arial" w:eastAsia="Arial" w:hAnsi="Arial"/>
          <w:sz w:val="15"/>
          <w:szCs w:val="15"/>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55" w:lineRule="exact"/>
        <w:rPr>
          <w:sz w:val="24"/>
          <w:szCs w:val="24"/>
          <w:color w:val="auto"/>
        </w:rPr>
      </w:pPr>
    </w:p>
    <w:p>
      <w:pPr>
        <w:sectPr>
          <w:pgSz w:w="11900" w:h="16838" w:orient="portrait"/>
          <w:cols w:equalWidth="0" w:num="2">
            <w:col w:w="7720" w:space="720"/>
            <w:col w:w="2820"/>
          </w:cols>
          <w:pgMar w:left="240" w:top="360" w:right="39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8" w:lineRule="exact"/>
        <w:rPr>
          <w:sz w:val="24"/>
          <w:szCs w:val="24"/>
          <w:color w:val="auto"/>
        </w:rPr>
      </w:pPr>
    </w:p>
    <w:p>
      <w:pPr>
        <w:sectPr>
          <w:pgSz w:w="11900" w:h="16838" w:orient="portrait"/>
          <w:cols w:equalWidth="0" w:num="2">
            <w:col w:w="7620" w:space="720"/>
            <w:col w:w="2920"/>
          </w:cols>
          <w:pgMar w:left="240" w:top="360" w:right="399" w:bottom="1440" w:gutter="0" w:footer="0" w:header="0"/>
          <w:type w:val="continuous"/>
        </w:sectPr>
      </w:pPr>
    </w:p>
    <w:p>
      <w:pPr>
        <w:jc w:val="center"/>
        <w:ind w:right="-179"/>
        <w:spacing w:after="0"/>
        <w:rPr>
          <w:sz w:val="20"/>
          <w:szCs w:val="20"/>
          <w:color w:val="auto"/>
        </w:rPr>
      </w:pPr>
      <w:r>
        <w:rPr>
          <w:rFonts w:ascii="Arial" w:cs="Arial" w:eastAsia="Arial" w:hAnsi="Arial"/>
          <w:sz w:val="17"/>
          <w:szCs w:val="17"/>
          <w:b w:val="1"/>
          <w:bCs w:val="1"/>
          <w:color w:val="auto"/>
        </w:rPr>
        <w:t>(423) 434-8310</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24, 2016, NN, Inc. (the “Company”) will hold its Annual Investor Day where it will present information to investors about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Attached to this Current Report on Form 8-K is Exhibit 99.1, which is a copy of the slides to be furnished at the presentation.</w:t>
      </w:r>
    </w:p>
    <w:p>
      <w:pPr>
        <w:spacing w:after="0" w:line="212"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Pursuant to the rules and regulations of the U.S. Securities and Exchange Commission, the information furnished pursuant to Item 7.01 of this Current Report on Form 8-K (including the Exhibit attached hereto),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99"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Day Presentation of NN, Inc. dated March 24, 2016</w:t>
      </w:r>
    </w:p>
    <w:p>
      <w:pPr>
        <w:sectPr>
          <w:pgSz w:w="11900" w:h="16838" w:orient="portrait"/>
          <w:cols w:equalWidth="0" w:num="1">
            <w:col w:w="11420"/>
          </w:cols>
          <w:pgMar w:left="240" w:top="26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24, 2016</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S. Heiter</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Matthew S. Heiter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Senior Vice President and General Counsel</w:t>
            </w:r>
          </w:p>
        </w:tc>
      </w:tr>
    </w:tbl>
    <w:p>
      <w:pPr>
        <w:sectPr>
          <w:pgSz w:w="11900" w:h="16838" w:orient="portrait"/>
          <w:cols w:equalWidth="0" w:num="1">
            <w:col w:w="11420"/>
          </w:cols>
          <w:pgMar w:left="240" w:top="265"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Day Presentation of NN, Inc. dated March 24, 2016</w:t>
      </w:r>
    </w:p>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312025" cy="4116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FFFFFF"/>
        </w:rPr>
        <w:t>Annual Investor Day</w:t>
      </w:r>
    </w:p>
    <w:p>
      <w:pPr>
        <w:spacing w:after="0" w:line="204" w:lineRule="auto"/>
        <w:rPr>
          <w:sz w:val="20"/>
          <w:szCs w:val="20"/>
          <w:color w:val="auto"/>
        </w:rPr>
      </w:pPr>
      <w:r>
        <w:rPr>
          <w:rFonts w:ascii="Arial" w:cs="Arial" w:eastAsia="Arial" w:hAnsi="Arial"/>
          <w:sz w:val="2"/>
          <w:szCs w:val="2"/>
          <w:color w:val="FFFFFF"/>
        </w:rPr>
        <w:t xml:space="preserve">March 24, </w:t>
      </w:r>
      <w:r>
        <w:rPr>
          <w:rFonts w:ascii="Arial" w:cs="Arial" w:eastAsia="Arial" w:hAnsi="Arial"/>
          <w:sz w:val="4"/>
          <w:szCs w:val="4"/>
          <w:color w:val="FFFFFF"/>
          <w:vertAlign w:val="subscript"/>
        </w:rPr>
        <w:t>2016</w:t>
      </w:r>
      <w:r>
        <w:rPr>
          <w:rFonts w:ascii="Arial" w:cs="Arial" w:eastAsia="Arial" w:hAnsi="Arial"/>
          <w:sz w:val="2"/>
          <w:szCs w:val="2"/>
          <w:color w:val="FFFFFF"/>
        </w:rPr>
        <w:t xml:space="preserve"> • New York City</w:t>
      </w:r>
    </w:p>
    <w:p>
      <w:pPr>
        <w:spacing w:after="0"/>
        <w:rPr>
          <w:sz w:val="20"/>
          <w:szCs w:val="20"/>
          <w:color w:val="auto"/>
        </w:rPr>
      </w:pPr>
      <w:r>
        <w:rPr>
          <w:rFonts w:ascii="Arial" w:cs="Arial" w:eastAsia="Arial" w:hAnsi="Arial"/>
          <w:sz w:val="13"/>
          <w:szCs w:val="13"/>
          <w:color w:val="FFFFFF"/>
        </w:rPr>
        <w:t>Exhibit 99.</w:t>
      </w:r>
    </w:p>
    <w:p>
      <w:pPr>
        <w:sectPr>
          <w:pgSz w:w="11900" w:h="16838" w:orient="portrait"/>
          <w:cols w:equalWidth="0" w:num="1">
            <w:col w:w="11520"/>
          </w:cols>
          <w:pgMar w:left="240" w:top="127" w:right="1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2"/>
                <w:szCs w:val="12"/>
                <w:color w:val="auto"/>
              </w:rPr>
            </w:pPr>
          </w:p>
        </w:tc>
        <w:tc>
          <w:tcPr>
            <w:tcW w:w="4560" w:type="dxa"/>
            <w:vAlign w:val="bottom"/>
          </w:tcPr>
          <w:p>
            <w:pPr>
              <w:ind w:left="1000"/>
              <w:spacing w:after="0"/>
              <w:rPr>
                <w:sz w:val="20"/>
                <w:szCs w:val="20"/>
                <w:color w:val="auto"/>
              </w:rPr>
            </w:pPr>
            <w:r>
              <w:rPr>
                <w:rFonts w:ascii="Arial" w:cs="Arial" w:eastAsia="Arial" w:hAnsi="Arial"/>
                <w:sz w:val="13"/>
                <w:szCs w:val="13"/>
                <w:color w:val="FFFFFF"/>
              </w:rPr>
              <w:t>s</w:t>
            </w:r>
          </w:p>
        </w:tc>
        <w:tc>
          <w:tcPr>
            <w:tcW w:w="6180" w:type="dxa"/>
            <w:vAlign w:val="bottom"/>
            <w:vMerge w:val="restart"/>
          </w:tcPr>
          <w:p>
            <w:pPr>
              <w:ind w:left="640"/>
              <w:spacing w:after="0"/>
              <w:rPr>
                <w:sz w:val="20"/>
                <w:szCs w:val="20"/>
                <w:color w:val="auto"/>
              </w:rPr>
            </w:pPr>
            <w:r>
              <w:rPr>
                <w:rFonts w:ascii="Arial" w:cs="Arial" w:eastAsia="Arial" w:hAnsi="Arial"/>
                <w:sz w:val="13"/>
                <w:szCs w:val="13"/>
                <w:color w:val="FFFFFF"/>
                <w:w w:val="89"/>
              </w:rPr>
              <w:t>the matters described herein contain forward-looking statements that are made pursuant to the safe harbor</w:t>
            </w:r>
          </w:p>
        </w:tc>
        <w:tc>
          <w:tcPr>
            <w:tcW w:w="0" w:type="dxa"/>
            <w:vAlign w:val="bottom"/>
          </w:tcPr>
          <w:p>
            <w:pPr>
              <w:spacing w:after="0"/>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Forward Looking Statement: With the exception of the historical information contained in this</w:t>
            </w:r>
          </w:p>
        </w:tc>
        <w:tc>
          <w:tcPr>
            <w:tcW w:w="6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provisions of the Private Se urities Litigation Reform Act of 1995. Forward-looking statementspresentation,involvenumber of risks and uncertainties that may cause actual results to be materially different from such forward-</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looking statements. Such factors include, among others, general economic conditions and economic conditio s in the industrial sector, competitive influences, risks that current customers will commence or increase</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captive production, risks of capacity und rutilization, quality issues, availability of raw</w:t>
            </w:r>
          </w:p>
        </w:tc>
        <w:tc>
          <w:tcPr>
            <w:tcW w:w="6180" w:type="dxa"/>
            <w:vAlign w:val="bottom"/>
          </w:tcPr>
          <w:p>
            <w:pPr>
              <w:ind w:left="100"/>
              <w:spacing w:after="0" w:line="40" w:lineRule="exact"/>
              <w:rPr>
                <w:sz w:val="20"/>
                <w:szCs w:val="20"/>
                <w:color w:val="auto"/>
              </w:rPr>
            </w:pPr>
            <w:r>
              <w:rPr>
                <w:rFonts w:ascii="Arial" w:cs="Arial" w:eastAsia="Arial" w:hAnsi="Arial"/>
                <w:sz w:val="4"/>
                <w:szCs w:val="4"/>
                <w:color w:val="FFFFFF"/>
              </w:rPr>
              <w:t>currency and other risks associated with international trade, the Company’s dependence on certain major</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and other risk factors and  utionary statements listed from time to time in the Company’materials,periodic reports filed with the Securities and Exchange Commission, including, but not limited to, the Company’customers,Annual</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Report on 10-K for the fiscal year ended December 31, 2015.</w:t>
            </w:r>
          </w:p>
        </w:tc>
        <w:tc>
          <w:tcPr>
            <w:tcW w:w="6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480" w:type="dxa"/>
            <w:vAlign w:val="bottom"/>
          </w:tcPr>
          <w:p>
            <w:pPr>
              <w:spacing w:after="0" w:line="78" w:lineRule="exact"/>
              <w:rPr>
                <w:sz w:val="20"/>
                <w:szCs w:val="20"/>
                <w:color w:val="auto"/>
              </w:rPr>
            </w:pPr>
            <w:r>
              <w:rPr>
                <w:rFonts w:ascii="Arial" w:cs="Arial" w:eastAsia="Arial" w:hAnsi="Arial"/>
                <w:sz w:val="8"/>
                <w:szCs w:val="8"/>
                <w:color w:val="FFFFFF"/>
              </w:rPr>
              <w:t>With</w:t>
            </w:r>
          </w:p>
        </w:tc>
        <w:tc>
          <w:tcPr>
            <w:tcW w:w="10740" w:type="dxa"/>
            <w:vAlign w:val="bottom"/>
            <w:gridSpan w:val="2"/>
          </w:tcPr>
          <w:p>
            <w:pPr>
              <w:ind w:left="220"/>
              <w:spacing w:after="0" w:line="78" w:lineRule="exact"/>
              <w:rPr>
                <w:sz w:val="20"/>
                <w:szCs w:val="20"/>
                <w:color w:val="auto"/>
              </w:rPr>
            </w:pPr>
            <w:r>
              <w:rPr>
                <w:rFonts w:ascii="Arial" w:cs="Arial" w:eastAsia="Arial" w:hAnsi="Arial"/>
                <w:sz w:val="8"/>
                <w:szCs w:val="8"/>
                <w:color w:val="FFFFFF"/>
              </w:rPr>
              <w:t>to any non-GAAP financial measures included in the following presentation, the accompanying information required by SEC Regulation G can be found in the “Investor Relations” section of the</w:t>
            </w: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 xml:space="preserve">Company’respectweb </w:t>
      </w:r>
      <w:r>
        <w:rPr>
          <w:rFonts w:ascii="Arial" w:cs="Arial" w:eastAsia="Arial" w:hAnsi="Arial"/>
          <w:sz w:val="1"/>
          <w:szCs w:val="1"/>
          <w:color w:val="FFFFFF"/>
          <w:vertAlign w:val="subscript"/>
        </w:rPr>
        <w:t>disclaims</w:t>
      </w:r>
      <w:r>
        <w:rPr>
          <w:rFonts w:ascii="Arial" w:cs="Arial" w:eastAsia="Arial" w:hAnsi="Arial"/>
          <w:sz w:val="1"/>
          <w:szCs w:val="1"/>
          <w:color w:val="FFFFFF"/>
        </w:rPr>
        <w:t>te,www.nninc.com, under the heading “News &amp; Events” and subheading “Presentations.”</w:t>
      </w:r>
    </w:p>
    <w:p>
      <w:pPr>
        <w:ind w:right="100"/>
        <w:spacing w:after="0" w:line="182" w:lineRule="auto"/>
        <w:rPr>
          <w:sz w:val="20"/>
          <w:szCs w:val="20"/>
          <w:color w:val="auto"/>
        </w:rPr>
      </w:pPr>
      <w:r>
        <w:rPr>
          <w:rFonts w:ascii="Arial" w:cs="Arial" w:eastAsia="Arial" w:hAnsi="Arial"/>
          <w:sz w:val="9"/>
          <w:szCs w:val="9"/>
          <w:color w:val="FFFFFF"/>
        </w:rPr>
        <w:t>Disclaimer: NN any obligation to update any such factors or to publicly announce the result of any revisions to any of the forward-looking statements included herein or therein to reflect future events or developments.</w:t>
      </w:r>
    </w:p>
    <w:p>
      <w:pPr>
        <w:spacing w:after="0" w:line="205"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2</w:t>
      </w:r>
    </w:p>
    <w:p>
      <w:pPr>
        <w:sectPr>
          <w:pgSz w:w="11900" w:h="16838" w:orient="portrait"/>
          <w:cols w:equalWidth="0" w:num="1">
            <w:col w:w="11220"/>
          </w:cols>
          <w:pgMar w:left="240" w:top="1440" w:right="4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RichardPresentersHolder</w:t>
      </w:r>
    </w:p>
    <w:p>
      <w:pPr>
        <w:spacing w:after="0" w:line="182" w:lineRule="auto"/>
        <w:rPr>
          <w:sz w:val="20"/>
          <w:szCs w:val="20"/>
          <w:color w:val="auto"/>
        </w:rPr>
      </w:pPr>
      <w:r>
        <w:rPr>
          <w:rFonts w:ascii="Arial" w:cs="Arial" w:eastAsia="Arial" w:hAnsi="Arial"/>
          <w:sz w:val="9"/>
          <w:szCs w:val="9"/>
          <w:color w:val="FFFFFF"/>
        </w:rPr>
        <w:t>JamesPresidentDorton&amp;Chief Executive Officer</w:t>
      </w:r>
    </w:p>
    <w:p>
      <w:pPr>
        <w:spacing w:after="0" w:line="205" w:lineRule="auto"/>
        <w:rPr>
          <w:sz w:val="20"/>
          <w:szCs w:val="20"/>
          <w:color w:val="auto"/>
        </w:rPr>
      </w:pPr>
      <w:r>
        <w:rPr>
          <w:rFonts w:ascii="Arial" w:cs="Arial" w:eastAsia="Arial" w:hAnsi="Arial"/>
          <w:sz w:val="2"/>
          <w:szCs w:val="2"/>
          <w:color w:val="FFFFFF"/>
        </w:rPr>
        <w:t>RSenior</w:t>
      </w:r>
      <w:r>
        <w:rPr>
          <w:rFonts w:ascii="Arial" w:cs="Arial" w:eastAsia="Arial" w:hAnsi="Arial"/>
          <w:sz w:val="4"/>
          <w:szCs w:val="4"/>
          <w:color w:val="FFFFFF"/>
          <w:vertAlign w:val="subscript"/>
        </w:rPr>
        <w:t>o</w:t>
      </w:r>
      <w:r>
        <w:rPr>
          <w:rFonts w:ascii="Arial" w:cs="Arial" w:eastAsia="Arial" w:hAnsi="Arial"/>
          <w:sz w:val="2"/>
          <w:szCs w:val="2"/>
          <w:color w:val="FFFFFF"/>
        </w:rPr>
        <w:t>bbie</w:t>
      </w:r>
      <w:r>
        <w:rPr>
          <w:rFonts w:ascii="Arial" w:cs="Arial" w:eastAsia="Arial" w:hAnsi="Arial"/>
          <w:sz w:val="4"/>
          <w:szCs w:val="4"/>
          <w:color w:val="FFFFFF"/>
          <w:vertAlign w:val="subscript"/>
        </w:rPr>
        <w:t>porate</w:t>
      </w:r>
      <w:r>
        <w:rPr>
          <w:rFonts w:ascii="Arial" w:cs="Arial" w:eastAsia="Arial" w:hAnsi="Arial"/>
          <w:sz w:val="2"/>
          <w:szCs w:val="2"/>
          <w:color w:val="FFFFFF"/>
        </w:rPr>
        <w:t>ViceAtkinsonPresident &amp; Chief Financial Officer</w:t>
      </w:r>
    </w:p>
    <w:p>
      <w:pPr>
        <w:spacing w:after="0" w:line="205" w:lineRule="auto"/>
        <w:rPr>
          <w:sz w:val="20"/>
          <w:szCs w:val="20"/>
          <w:color w:val="auto"/>
        </w:rPr>
      </w:pPr>
      <w:r>
        <w:rPr>
          <w:rFonts w:ascii="Arial" w:cs="Arial" w:eastAsia="Arial" w:hAnsi="Arial"/>
          <w:sz w:val="4"/>
          <w:szCs w:val="4"/>
          <w:color w:val="FFFFFF"/>
          <w:vertAlign w:val="superscript"/>
        </w:rPr>
        <w:t>Chris</w:t>
      </w:r>
    </w:p>
    <w:p>
      <w:pPr>
        <w:ind w:left="320"/>
        <w:spacing w:after="0" w:line="182" w:lineRule="auto"/>
        <w:rPr>
          <w:sz w:val="20"/>
          <w:szCs w:val="20"/>
          <w:color w:val="auto"/>
        </w:rPr>
      </w:pPr>
      <w:r>
        <w:rPr>
          <w:rFonts w:ascii="Arial" w:cs="Arial" w:eastAsia="Arial" w:hAnsi="Arial"/>
          <w:sz w:val="9"/>
          <w:szCs w:val="9"/>
          <w:color w:val="FFFFFF"/>
        </w:rPr>
        <w:t>QualtersTreasurer &amp; Investor Relations Mgr.</w:t>
      </w:r>
    </w:p>
    <w:p>
      <w:pPr>
        <w:spacing w:after="0" w:line="182" w:lineRule="auto"/>
        <w:rPr>
          <w:sz w:val="20"/>
          <w:szCs w:val="20"/>
          <w:color w:val="auto"/>
        </w:rPr>
      </w:pPr>
      <w:r>
        <w:rPr>
          <w:rFonts w:ascii="Arial" w:cs="Arial" w:eastAsia="Arial" w:hAnsi="Arial"/>
          <w:sz w:val="9"/>
          <w:szCs w:val="9"/>
          <w:color w:val="FFFFFF"/>
        </w:rPr>
        <w:t>JohnVice PresidentManzi &amp; Chief Commercial Officer</w:t>
      </w:r>
    </w:p>
    <w:p>
      <w:pPr>
        <w:spacing w:after="0" w:line="182" w:lineRule="auto"/>
        <w:rPr>
          <w:sz w:val="20"/>
          <w:szCs w:val="20"/>
          <w:color w:val="auto"/>
        </w:rPr>
      </w:pPr>
      <w:r>
        <w:rPr>
          <w:rFonts w:ascii="Arial" w:cs="Arial" w:eastAsia="Arial" w:hAnsi="Arial"/>
          <w:sz w:val="9"/>
          <w:szCs w:val="9"/>
          <w:color w:val="FFFFFF"/>
        </w:rPr>
        <w:t>WarrenSeniorViceVeltmanPresident/GM Precision Engineered Products Group</w:t>
      </w:r>
    </w:p>
    <w:p>
      <w:pPr>
        <w:spacing w:after="0" w:line="183" w:lineRule="auto"/>
        <w:rPr>
          <w:sz w:val="20"/>
          <w:szCs w:val="20"/>
          <w:color w:val="auto"/>
        </w:rPr>
      </w:pPr>
      <w:r>
        <w:rPr>
          <w:rFonts w:ascii="Arial" w:cs="Arial" w:eastAsia="Arial" w:hAnsi="Arial"/>
          <w:sz w:val="9"/>
          <w:szCs w:val="9"/>
          <w:color w:val="FFFFFF"/>
        </w:rPr>
        <w:t>JeffSeniorManzagolVicePresident/GM Autocam Precision Components Group</w:t>
      </w:r>
    </w:p>
    <w:p>
      <w:pPr>
        <w:spacing w:after="0" w:line="205" w:lineRule="auto"/>
        <w:rPr>
          <w:sz w:val="20"/>
          <w:szCs w:val="20"/>
          <w:color w:val="auto"/>
        </w:rPr>
      </w:pPr>
      <w:r>
        <w:rPr>
          <w:rFonts w:ascii="Arial" w:cs="Arial" w:eastAsia="Arial" w:hAnsi="Arial"/>
          <w:sz w:val="4"/>
          <w:szCs w:val="4"/>
          <w:color w:val="FFFFFF"/>
        </w:rPr>
        <w:t>www.nninc.comSeniorVicePresident/GM Metal Bearing Components Group</w:t>
      </w:r>
    </w:p>
    <w:p>
      <w:pPr>
        <w:spacing w:after="0"/>
        <w:rPr>
          <w:sz w:val="20"/>
          <w:szCs w:val="20"/>
          <w:color w:val="auto"/>
        </w:rPr>
      </w:pPr>
      <w:r>
        <w:rPr>
          <w:rFonts w:ascii="Arial" w:cs="Arial" w:eastAsia="Arial" w:hAnsi="Arial"/>
          <w:sz w:val="13"/>
          <w:szCs w:val="13"/>
          <w:color w:val="FFFFFF"/>
        </w:rPr>
        <w:t>3</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2"/>
          </w:tcPr>
          <w:p>
            <w:pPr>
              <w:spacing w:after="0"/>
              <w:rPr>
                <w:sz w:val="20"/>
                <w:szCs w:val="20"/>
                <w:color w:val="auto"/>
              </w:rPr>
            </w:pPr>
            <w:r>
              <w:rPr>
                <w:rFonts w:ascii="Arial" w:cs="Arial" w:eastAsia="Arial" w:hAnsi="Arial"/>
                <w:sz w:val="13"/>
                <w:szCs w:val="13"/>
                <w:color w:val="FFFFFF"/>
              </w:rPr>
              <w:t>Agenda</w:t>
            </w: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1420" w:type="dxa"/>
            <w:vAlign w:val="bottom"/>
          </w:tcPr>
          <w:p>
            <w:pPr>
              <w:ind w:left="100"/>
              <w:spacing w:after="0" w:line="40" w:lineRule="exact"/>
              <w:rPr>
                <w:sz w:val="20"/>
                <w:szCs w:val="20"/>
                <w:color w:val="auto"/>
              </w:rPr>
            </w:pPr>
            <w:r>
              <w:rPr>
                <w:rFonts w:ascii="Arial" w:cs="Arial" w:eastAsia="Arial" w:hAnsi="Arial"/>
                <w:sz w:val="4"/>
                <w:szCs w:val="4"/>
                <w:color w:val="FFFFFF"/>
              </w:rPr>
              <w:t>trategic Review</w:t>
            </w: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1420" w:type="dxa"/>
            <w:vAlign w:val="bottom"/>
          </w:tcPr>
          <w:p>
            <w:pPr>
              <w:ind w:left="20"/>
              <w:spacing w:after="0" w:line="40" w:lineRule="exact"/>
              <w:rPr>
                <w:sz w:val="20"/>
                <w:szCs w:val="20"/>
                <w:color w:val="auto"/>
              </w:rPr>
            </w:pPr>
            <w:r>
              <w:rPr>
                <w:rFonts w:ascii="Arial" w:cs="Arial" w:eastAsia="Arial" w:hAnsi="Arial"/>
                <w:sz w:val="4"/>
                <w:szCs w:val="4"/>
                <w:color w:val="FFFFFF"/>
              </w:rPr>
              <w:t>Sales St ategy</w:t>
            </w: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1420" w:type="dxa"/>
            <w:vAlign w:val="bottom"/>
          </w:tcPr>
          <w:p>
            <w:pPr>
              <w:ind w:left="20"/>
              <w:spacing w:after="0" w:line="40" w:lineRule="exact"/>
              <w:rPr>
                <w:sz w:val="20"/>
                <w:szCs w:val="20"/>
                <w:color w:val="auto"/>
              </w:rPr>
            </w:pPr>
            <w:r>
              <w:rPr>
                <w:rFonts w:ascii="Arial" w:cs="Arial" w:eastAsia="Arial" w:hAnsi="Arial"/>
                <w:sz w:val="4"/>
                <w:szCs w:val="4"/>
                <w:color w:val="FFFFFF"/>
              </w:rPr>
              <w:t>End Markets Discussion</w:t>
            </w: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1420" w:type="dxa"/>
            <w:vAlign w:val="bottom"/>
          </w:tcPr>
          <w:p>
            <w:pPr>
              <w:ind w:left="20"/>
              <w:spacing w:after="0" w:line="40" w:lineRule="exact"/>
              <w:rPr>
                <w:sz w:val="20"/>
                <w:szCs w:val="20"/>
                <w:color w:val="auto"/>
              </w:rPr>
            </w:pPr>
            <w:r>
              <w:rPr>
                <w:rFonts w:ascii="Arial" w:cs="Arial" w:eastAsia="Arial" w:hAnsi="Arial"/>
                <w:sz w:val="4"/>
                <w:szCs w:val="4"/>
                <w:color w:val="FFFFFF"/>
              </w:rPr>
              <w:t>Debt Structure Overview</w:t>
            </w: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5</w:t>
            </w:r>
          </w:p>
        </w:tc>
        <w:tc>
          <w:tcPr>
            <w:tcW w:w="1420" w:type="dxa"/>
            <w:vAlign w:val="bottom"/>
          </w:tcPr>
          <w:p>
            <w:pPr>
              <w:ind w:left="20"/>
              <w:spacing w:after="0" w:line="40" w:lineRule="exact"/>
              <w:rPr>
                <w:sz w:val="20"/>
                <w:szCs w:val="20"/>
                <w:color w:val="auto"/>
              </w:rPr>
            </w:pPr>
            <w:r>
              <w:rPr>
                <w:rFonts w:ascii="Arial" w:cs="Arial" w:eastAsia="Arial" w:hAnsi="Arial"/>
                <w:sz w:val="4"/>
                <w:szCs w:val="4"/>
                <w:color w:val="FFFFFF"/>
              </w:rPr>
              <w:t>Financial Performance</w:t>
            </w:r>
          </w:p>
        </w:tc>
      </w:tr>
      <w:tr>
        <w:trPr>
          <w:trHeight w:val="0"/>
        </w:trPr>
        <w:tc>
          <w:tcPr>
            <w:tcW w:w="80" w:type="dxa"/>
            <w:vAlign w:val="bottom"/>
          </w:tcPr>
          <w:p>
            <w:pPr>
              <w:spacing w:after="0" w:line="38" w:lineRule="exact"/>
              <w:rPr>
                <w:sz w:val="20"/>
                <w:szCs w:val="20"/>
                <w:color w:val="auto"/>
              </w:rPr>
            </w:pPr>
            <w:r>
              <w:rPr>
                <w:rFonts w:ascii="Arial" w:cs="Arial" w:eastAsia="Arial" w:hAnsi="Arial"/>
                <w:sz w:val="4"/>
                <w:szCs w:val="4"/>
                <w:color w:val="FFFFFF"/>
              </w:rPr>
              <w:t>6</w:t>
            </w:r>
          </w:p>
        </w:tc>
        <w:tc>
          <w:tcPr>
            <w:tcW w:w="1420" w:type="dxa"/>
            <w:vAlign w:val="bottom"/>
          </w:tcPr>
          <w:p>
            <w:pPr>
              <w:ind w:left="20"/>
              <w:spacing w:after="0" w:line="38" w:lineRule="exact"/>
              <w:rPr>
                <w:sz w:val="20"/>
                <w:szCs w:val="20"/>
                <w:color w:val="auto"/>
              </w:rPr>
            </w:pPr>
            <w:r>
              <w:rPr>
                <w:rFonts w:ascii="Arial" w:cs="Arial" w:eastAsia="Arial" w:hAnsi="Arial"/>
                <w:sz w:val="4"/>
                <w:szCs w:val="4"/>
                <w:color w:val="FFFFFF"/>
              </w:rPr>
              <w:t>The NN Operating System</w:t>
            </w:r>
          </w:p>
        </w:tc>
      </w:tr>
    </w:tbl>
    <w:p>
      <w:pPr>
        <w:spacing w:after="0" w:line="211" w:lineRule="auto"/>
        <w:rPr>
          <w:sz w:val="20"/>
          <w:szCs w:val="20"/>
          <w:color w:val="auto"/>
        </w:rPr>
      </w:pPr>
      <w:r>
        <w:rPr>
          <w:rFonts w:ascii="Arial" w:cs="Arial" w:eastAsia="Arial" w:hAnsi="Arial"/>
          <w:sz w:val="4"/>
          <w:szCs w:val="4"/>
          <w:color w:val="FFFFFF"/>
        </w:rPr>
        <w:t>7 Summary / Q&amp;A</w:t>
      </w:r>
    </w:p>
    <w:p>
      <w:pPr>
        <w:spacing w:after="0"/>
        <w:rPr>
          <w:sz w:val="20"/>
          <w:szCs w:val="20"/>
          <w:color w:val="auto"/>
        </w:rPr>
      </w:pPr>
      <w:r>
        <w:rPr>
          <w:rFonts w:ascii="Arial" w:cs="Arial" w:eastAsia="Arial" w:hAnsi="Arial"/>
          <w:sz w:val="13"/>
          <w:szCs w:val="13"/>
          <w:color w:val="FFFFFF"/>
        </w:rPr>
        <w:t>4www.nninc.com</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Strategic Review</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gridSpan w:val="2"/>
          </w:tcPr>
          <w:p>
            <w:pPr>
              <w:spacing w:after="0"/>
              <w:rPr>
                <w:sz w:val="20"/>
                <w:szCs w:val="20"/>
                <w:color w:val="auto"/>
              </w:rPr>
            </w:pPr>
            <w:r>
              <w:rPr>
                <w:rFonts w:ascii="Arial" w:cs="Arial" w:eastAsia="Arial" w:hAnsi="Arial"/>
                <w:sz w:val="13"/>
                <w:szCs w:val="13"/>
                <w:color w:val="FFFFFF"/>
                <w:w w:val="93"/>
              </w:rPr>
              <w:t>History</w:t>
            </w: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00" w:type="dxa"/>
            <w:vAlign w:val="bottom"/>
            <w:gridSpan w:val="2"/>
          </w:tcPr>
          <w:p>
            <w:pPr>
              <w:spacing w:after="0" w:line="40" w:lineRule="exact"/>
              <w:rPr>
                <w:sz w:val="20"/>
                <w:szCs w:val="20"/>
                <w:color w:val="auto"/>
              </w:rPr>
            </w:pPr>
            <w:r>
              <w:rPr>
                <w:rFonts w:ascii="Arial" w:cs="Arial" w:eastAsia="Arial" w:hAnsi="Arial"/>
                <w:sz w:val="4"/>
                <w:szCs w:val="4"/>
                <w:color w:val="FFFFFF"/>
              </w:rPr>
              <w:t>Phase I</w:t>
            </w:r>
          </w:p>
        </w:tc>
        <w:tc>
          <w:tcPr>
            <w:tcW w:w="2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40" w:type="dxa"/>
            <w:vAlign w:val="bottom"/>
            <w:gridSpan w:val="3"/>
          </w:tcPr>
          <w:p>
            <w:pPr>
              <w:spacing w:after="0" w:line="40" w:lineRule="exact"/>
              <w:rPr>
                <w:sz w:val="20"/>
                <w:szCs w:val="20"/>
                <w:color w:val="auto"/>
              </w:rPr>
            </w:pPr>
            <w:r>
              <w:rPr>
                <w:rFonts w:ascii="Arial" w:cs="Arial" w:eastAsia="Arial" w:hAnsi="Arial"/>
                <w:sz w:val="4"/>
                <w:szCs w:val="4"/>
                <w:color w:val="FFFFFF"/>
              </w:rPr>
              <w:t>Rolling Elements</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80</w:t>
            </w:r>
          </w:p>
        </w:tc>
        <w:tc>
          <w:tcPr>
            <w:tcW w:w="120" w:type="dxa"/>
            <w:vAlign w:val="bottom"/>
          </w:tcPr>
          <w:p>
            <w:pPr>
              <w:spacing w:after="0"/>
              <w:rPr>
                <w:sz w:val="3"/>
                <w:szCs w:val="3"/>
                <w:color w:val="auto"/>
              </w:rPr>
            </w:pPr>
          </w:p>
        </w:tc>
        <w:tc>
          <w:tcPr>
            <w:tcW w:w="2440" w:type="dxa"/>
            <w:vAlign w:val="bottom"/>
          </w:tcPr>
          <w:p>
            <w:pPr>
              <w:spacing w:after="0" w:line="40" w:lineRule="exact"/>
              <w:rPr>
                <w:sz w:val="20"/>
                <w:szCs w:val="20"/>
                <w:color w:val="auto"/>
              </w:rPr>
            </w:pPr>
            <w:r>
              <w:rPr>
                <w:rFonts w:ascii="Arial" w:cs="Arial" w:eastAsia="Arial" w:hAnsi="Arial"/>
                <w:sz w:val="4"/>
                <w:szCs w:val="4"/>
                <w:color w:val="FFFFFF"/>
              </w:rPr>
              <w:t>Founded in Erwin, TN</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4</w:t>
            </w:r>
          </w:p>
        </w:tc>
        <w:tc>
          <w:tcPr>
            <w:tcW w:w="120" w:type="dxa"/>
            <w:vAlign w:val="bottom"/>
          </w:tcPr>
          <w:p>
            <w:pPr>
              <w:spacing w:after="0"/>
              <w:rPr>
                <w:sz w:val="3"/>
                <w:szCs w:val="3"/>
                <w:color w:val="auto"/>
              </w:rPr>
            </w:pPr>
          </w:p>
        </w:tc>
        <w:tc>
          <w:tcPr>
            <w:tcW w:w="2440" w:type="dxa"/>
            <w:vAlign w:val="bottom"/>
          </w:tcPr>
          <w:p>
            <w:pPr>
              <w:spacing w:after="0" w:line="40" w:lineRule="exact"/>
              <w:rPr>
                <w:sz w:val="20"/>
                <w:szCs w:val="20"/>
                <w:color w:val="auto"/>
              </w:rPr>
            </w:pPr>
            <w:r>
              <w:rPr>
                <w:rFonts w:ascii="Arial" w:cs="Arial" w:eastAsia="Arial" w:hAnsi="Arial"/>
                <w:sz w:val="4"/>
                <w:szCs w:val="4"/>
                <w:color w:val="FFFFFF"/>
              </w:rPr>
              <w:t>IPO raises $32.2M</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1999</w:t>
            </w:r>
          </w:p>
        </w:tc>
        <w:tc>
          <w:tcPr>
            <w:tcW w:w="12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w:t>
            </w:r>
          </w:p>
        </w:tc>
        <w:tc>
          <w:tcPr>
            <w:tcW w:w="2440" w:type="dxa"/>
            <w:vAlign w:val="bottom"/>
          </w:tcPr>
          <w:p>
            <w:pPr>
              <w:spacing w:after="0" w:line="40" w:lineRule="exact"/>
              <w:rPr>
                <w:sz w:val="20"/>
                <w:szCs w:val="20"/>
                <w:color w:val="auto"/>
              </w:rPr>
            </w:pPr>
            <w:r>
              <w:rPr>
                <w:rFonts w:ascii="Arial" w:cs="Arial" w:eastAsia="Arial" w:hAnsi="Arial"/>
                <w:sz w:val="4"/>
                <w:szCs w:val="4"/>
                <w:color w:val="FFFFFF"/>
              </w:rPr>
              <w:t>Acquires Industrial Molding</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2000</w:t>
            </w:r>
          </w:p>
        </w:tc>
        <w:tc>
          <w:tcPr>
            <w:tcW w:w="120" w:type="dxa"/>
            <w:vAlign w:val="bottom"/>
            <w:vMerge w:val="continue"/>
          </w:tcPr>
          <w:p>
            <w:pPr>
              <w:spacing w:after="0"/>
              <w:rPr>
                <w:sz w:val="3"/>
                <w:szCs w:val="3"/>
                <w:color w:val="auto"/>
              </w:rPr>
            </w:pPr>
          </w:p>
        </w:tc>
        <w:tc>
          <w:tcPr>
            <w:tcW w:w="2440" w:type="dxa"/>
            <w:vAlign w:val="bottom"/>
          </w:tcPr>
          <w:p>
            <w:pPr>
              <w:spacing w:after="0" w:line="40" w:lineRule="exact"/>
              <w:rPr>
                <w:sz w:val="20"/>
                <w:szCs w:val="20"/>
                <w:color w:val="auto"/>
              </w:rPr>
            </w:pPr>
            <w:r>
              <w:rPr>
                <w:rFonts w:ascii="Arial" w:cs="Arial" w:eastAsia="Arial" w:hAnsi="Arial"/>
                <w:sz w:val="4"/>
                <w:szCs w:val="4"/>
                <w:color w:val="FFFFFF"/>
              </w:rPr>
              <w:t>Expands into Europe</w:t>
            </w:r>
          </w:p>
        </w:tc>
        <w:tc>
          <w:tcPr>
            <w:tcW w:w="0" w:type="dxa"/>
            <w:vAlign w:val="bottom"/>
          </w:tcPr>
          <w:p>
            <w:pPr>
              <w:spacing w:after="0" w:line="20" w:lineRule="exact"/>
              <w:rPr>
                <w:sz w:val="1"/>
                <w:szCs w:val="1"/>
                <w:color w:val="auto"/>
              </w:rPr>
            </w:pPr>
          </w:p>
        </w:tc>
      </w:tr>
      <w:tr>
        <w:trPr>
          <w:trHeight w:val="39"/>
        </w:trPr>
        <w:tc>
          <w:tcPr>
            <w:tcW w:w="2840" w:type="dxa"/>
            <w:vAlign w:val="bottom"/>
            <w:gridSpan w:val="3"/>
          </w:tcPr>
          <w:p>
            <w:pPr>
              <w:spacing w:after="0" w:line="40" w:lineRule="exact"/>
              <w:rPr>
                <w:sz w:val="20"/>
                <w:szCs w:val="20"/>
                <w:color w:val="auto"/>
              </w:rPr>
            </w:pPr>
            <w:r>
              <w:rPr>
                <w:rFonts w:ascii="Arial" w:cs="Arial" w:eastAsia="Arial" w:hAnsi="Arial"/>
                <w:sz w:val="4"/>
                <w:szCs w:val="4"/>
                <w:color w:val="FFFFFF"/>
              </w:rPr>
              <w:t>Phase II</w:t>
            </w:r>
          </w:p>
        </w:tc>
        <w:tc>
          <w:tcPr>
            <w:tcW w:w="0" w:type="dxa"/>
            <w:vAlign w:val="bottom"/>
          </w:tcPr>
          <w:p>
            <w:pPr>
              <w:spacing w:after="0" w:line="20" w:lineRule="exact"/>
              <w:rPr>
                <w:sz w:val="1"/>
                <w:szCs w:val="1"/>
                <w:color w:val="auto"/>
              </w:rPr>
            </w:pPr>
          </w:p>
        </w:tc>
      </w:tr>
      <w:tr>
        <w:trPr>
          <w:trHeight w:val="39"/>
        </w:trPr>
        <w:tc>
          <w:tcPr>
            <w:tcW w:w="2840" w:type="dxa"/>
            <w:vAlign w:val="bottom"/>
            <w:gridSpan w:val="3"/>
          </w:tcPr>
          <w:p>
            <w:pPr>
              <w:spacing w:after="0" w:line="40" w:lineRule="exact"/>
              <w:rPr>
                <w:sz w:val="20"/>
                <w:szCs w:val="20"/>
                <w:color w:val="auto"/>
              </w:rPr>
            </w:pPr>
            <w:r>
              <w:rPr>
                <w:rFonts w:ascii="Arial" w:cs="Arial" w:eastAsia="Arial" w:hAnsi="Arial"/>
                <w:sz w:val="4"/>
                <w:szCs w:val="4"/>
                <w:color w:val="FFFFFF"/>
              </w:rPr>
              <w:t>All Things Bearings</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4</w:t>
            </w:r>
          </w:p>
        </w:tc>
        <w:tc>
          <w:tcPr>
            <w:tcW w:w="120" w:type="dxa"/>
            <w:vAlign w:val="bottom"/>
          </w:tcPr>
          <w:p>
            <w:pPr>
              <w:spacing w:after="0"/>
              <w:rPr>
                <w:sz w:val="3"/>
                <w:szCs w:val="3"/>
                <w:color w:val="auto"/>
              </w:rPr>
            </w:pPr>
          </w:p>
        </w:tc>
        <w:tc>
          <w:tcPr>
            <w:tcW w:w="2440" w:type="dxa"/>
            <w:vAlign w:val="bottom"/>
          </w:tcPr>
          <w:p>
            <w:pPr>
              <w:spacing w:after="0" w:line="40" w:lineRule="exact"/>
              <w:rPr>
                <w:sz w:val="20"/>
                <w:szCs w:val="20"/>
                <w:color w:val="auto"/>
              </w:rPr>
            </w:pPr>
            <w:r>
              <w:rPr>
                <w:rFonts w:ascii="Arial" w:cs="Arial" w:eastAsia="Arial" w:hAnsi="Arial"/>
                <w:sz w:val="4"/>
                <w:szCs w:val="4"/>
                <w:color w:val="FFFFFF"/>
              </w:rPr>
              <w:t>Expands into China</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6</w:t>
            </w:r>
          </w:p>
        </w:tc>
        <w:tc>
          <w:tcPr>
            <w:tcW w:w="12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w:t>
            </w:r>
          </w:p>
        </w:tc>
        <w:tc>
          <w:tcPr>
            <w:tcW w:w="2440" w:type="dxa"/>
            <w:vAlign w:val="bottom"/>
          </w:tcPr>
          <w:p>
            <w:pPr>
              <w:spacing w:after="0" w:line="40" w:lineRule="exact"/>
              <w:rPr>
                <w:sz w:val="20"/>
                <w:szCs w:val="20"/>
                <w:color w:val="auto"/>
              </w:rPr>
            </w:pPr>
            <w:r>
              <w:rPr>
                <w:rFonts w:ascii="Arial" w:cs="Arial" w:eastAsia="Arial" w:hAnsi="Arial"/>
                <w:sz w:val="4"/>
                <w:szCs w:val="4"/>
                <w:color w:val="FFFFFF"/>
              </w:rPr>
              <w:t>Acquires Whirlaway</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2009</w:t>
            </w:r>
          </w:p>
        </w:tc>
        <w:tc>
          <w:tcPr>
            <w:tcW w:w="120" w:type="dxa"/>
            <w:vAlign w:val="bottom"/>
            <w:vMerge w:val="continue"/>
          </w:tcPr>
          <w:p>
            <w:pPr>
              <w:spacing w:after="0"/>
              <w:rPr>
                <w:sz w:val="3"/>
                <w:szCs w:val="3"/>
                <w:color w:val="auto"/>
              </w:rPr>
            </w:pPr>
          </w:p>
        </w:tc>
        <w:tc>
          <w:tcPr>
            <w:tcW w:w="2440" w:type="dxa"/>
            <w:vAlign w:val="bottom"/>
          </w:tcPr>
          <w:p>
            <w:pPr>
              <w:spacing w:after="0" w:line="40" w:lineRule="exact"/>
              <w:rPr>
                <w:sz w:val="20"/>
                <w:szCs w:val="20"/>
                <w:color w:val="auto"/>
              </w:rPr>
            </w:pPr>
            <w:r>
              <w:rPr>
                <w:rFonts w:ascii="Arial" w:cs="Arial" w:eastAsia="Arial" w:hAnsi="Arial"/>
                <w:sz w:val="4"/>
                <w:szCs w:val="4"/>
                <w:color w:val="FFFFFF"/>
              </w:rPr>
              <w:t>Repays down debt at record pace</w:t>
            </w:r>
          </w:p>
        </w:tc>
        <w:tc>
          <w:tcPr>
            <w:tcW w:w="0" w:type="dxa"/>
            <w:vAlign w:val="bottom"/>
          </w:tcPr>
          <w:p>
            <w:pPr>
              <w:spacing w:after="0" w:line="20" w:lineRule="exact"/>
              <w:rPr>
                <w:sz w:val="1"/>
                <w:szCs w:val="1"/>
                <w:color w:val="auto"/>
              </w:rPr>
            </w:pPr>
          </w:p>
        </w:tc>
      </w:tr>
      <w:tr>
        <w:trPr>
          <w:trHeight w:val="39"/>
        </w:trPr>
        <w:tc>
          <w:tcPr>
            <w:tcW w:w="2840" w:type="dxa"/>
            <w:vAlign w:val="bottom"/>
            <w:gridSpan w:val="3"/>
          </w:tcPr>
          <w:p>
            <w:pPr>
              <w:spacing w:after="0" w:line="40" w:lineRule="exact"/>
              <w:rPr>
                <w:sz w:val="20"/>
                <w:szCs w:val="20"/>
                <w:color w:val="auto"/>
              </w:rPr>
            </w:pPr>
            <w:r>
              <w:rPr>
                <w:rFonts w:ascii="Arial" w:cs="Arial" w:eastAsia="Arial" w:hAnsi="Arial"/>
                <w:sz w:val="4"/>
                <w:szCs w:val="4"/>
                <w:color w:val="FFFFFF"/>
              </w:rPr>
              <w:t>Phase III</w:t>
            </w:r>
          </w:p>
        </w:tc>
        <w:tc>
          <w:tcPr>
            <w:tcW w:w="0" w:type="dxa"/>
            <w:vAlign w:val="bottom"/>
          </w:tcPr>
          <w:p>
            <w:pPr>
              <w:spacing w:after="0" w:line="20" w:lineRule="exact"/>
              <w:rPr>
                <w:sz w:val="1"/>
                <w:szCs w:val="1"/>
                <w:color w:val="auto"/>
              </w:rPr>
            </w:pPr>
          </w:p>
        </w:tc>
      </w:tr>
      <w:tr>
        <w:trPr>
          <w:trHeight w:val="39"/>
        </w:trPr>
        <w:tc>
          <w:tcPr>
            <w:tcW w:w="2840" w:type="dxa"/>
            <w:vAlign w:val="bottom"/>
            <w:gridSpan w:val="3"/>
          </w:tcPr>
          <w:p>
            <w:pPr>
              <w:spacing w:after="0" w:line="40" w:lineRule="exact"/>
              <w:rPr>
                <w:sz w:val="20"/>
                <w:szCs w:val="20"/>
                <w:color w:val="auto"/>
              </w:rPr>
            </w:pPr>
            <w:r>
              <w:rPr>
                <w:rFonts w:ascii="Arial" w:cs="Arial" w:eastAsia="Arial" w:hAnsi="Arial"/>
                <w:sz w:val="4"/>
                <w:szCs w:val="4"/>
                <w:color w:val="FFFFFF"/>
              </w:rPr>
              <w:t>A Diversified Industrial</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3</w:t>
            </w:r>
          </w:p>
        </w:tc>
        <w:tc>
          <w:tcPr>
            <w:tcW w:w="120" w:type="dxa"/>
            <w:vAlign w:val="bottom"/>
          </w:tcPr>
          <w:p>
            <w:pPr>
              <w:spacing w:after="0"/>
              <w:rPr>
                <w:sz w:val="3"/>
                <w:szCs w:val="3"/>
                <w:color w:val="auto"/>
              </w:rPr>
            </w:pPr>
          </w:p>
        </w:tc>
        <w:tc>
          <w:tcPr>
            <w:tcW w:w="2440" w:type="dxa"/>
            <w:vAlign w:val="bottom"/>
          </w:tcPr>
          <w:p>
            <w:pPr>
              <w:spacing w:after="0" w:line="40" w:lineRule="exact"/>
              <w:rPr>
                <w:sz w:val="20"/>
                <w:szCs w:val="20"/>
                <w:color w:val="auto"/>
              </w:rPr>
            </w:pPr>
            <w:r>
              <w:rPr>
                <w:rFonts w:ascii="Arial" w:cs="Arial" w:eastAsia="Arial" w:hAnsi="Arial"/>
                <w:sz w:val="4"/>
                <w:szCs w:val="4"/>
                <w:color w:val="FFFFFF"/>
              </w:rPr>
              <w:t>Richard Holder appointed as President &amp; CEO</w:t>
            </w:r>
          </w:p>
        </w:tc>
        <w:tc>
          <w:tcPr>
            <w:tcW w:w="0" w:type="dxa"/>
            <w:vAlign w:val="bottom"/>
          </w:tcPr>
          <w:p>
            <w:pPr>
              <w:spacing w:after="0" w:line="20" w:lineRule="exact"/>
              <w:rPr>
                <w:sz w:val="1"/>
                <w:szCs w:val="1"/>
                <w:color w:val="auto"/>
              </w:rPr>
            </w:pPr>
          </w:p>
        </w:tc>
      </w:tr>
      <w:tr>
        <w:trPr>
          <w:trHeight w:val="39"/>
        </w:trPr>
        <w:tc>
          <w:tcPr>
            <w:tcW w:w="28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4</w:t>
            </w:r>
          </w:p>
        </w:tc>
        <w:tc>
          <w:tcPr>
            <w:tcW w:w="120" w:type="dxa"/>
            <w:vAlign w:val="bottom"/>
          </w:tcPr>
          <w:p>
            <w:pPr>
              <w:spacing w:after="0"/>
              <w:rPr>
                <w:sz w:val="3"/>
                <w:szCs w:val="3"/>
                <w:color w:val="auto"/>
              </w:rPr>
            </w:pPr>
          </w:p>
        </w:tc>
        <w:tc>
          <w:tcPr>
            <w:tcW w:w="2440" w:type="dxa"/>
            <w:vAlign w:val="bottom"/>
          </w:tcPr>
          <w:p>
            <w:pPr>
              <w:spacing w:after="0" w:line="40" w:lineRule="exact"/>
              <w:rPr>
                <w:sz w:val="20"/>
                <w:szCs w:val="20"/>
                <w:color w:val="auto"/>
              </w:rPr>
            </w:pPr>
            <w:r>
              <w:rPr>
                <w:rFonts w:ascii="Arial" w:cs="Arial" w:eastAsia="Arial" w:hAnsi="Arial"/>
                <w:sz w:val="4"/>
                <w:szCs w:val="4"/>
                <w:color w:val="FFFFFF"/>
              </w:rPr>
              <w:t>New strategic plan unveiled</w:t>
            </w:r>
          </w:p>
        </w:tc>
        <w:tc>
          <w:tcPr>
            <w:tcW w:w="0" w:type="dxa"/>
            <w:vAlign w:val="bottom"/>
          </w:tcPr>
          <w:p>
            <w:pPr>
              <w:spacing w:after="0" w:line="20" w:lineRule="exact"/>
              <w:rPr>
                <w:sz w:val="1"/>
                <w:szCs w:val="1"/>
                <w:color w:val="auto"/>
              </w:rPr>
            </w:pPr>
          </w:p>
        </w:tc>
      </w:tr>
      <w:tr>
        <w:trPr>
          <w:trHeight w:val="39"/>
        </w:trPr>
        <w:tc>
          <w:tcPr>
            <w:tcW w:w="2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ind w:left="600"/>
              <w:spacing w:after="0" w:line="40" w:lineRule="exact"/>
              <w:rPr>
                <w:sz w:val="20"/>
                <w:szCs w:val="20"/>
                <w:color w:val="auto"/>
              </w:rPr>
            </w:pPr>
            <w:r>
              <w:rPr>
                <w:rFonts w:ascii="Arial" w:cs="Arial" w:eastAsia="Arial" w:hAnsi="Arial"/>
                <w:sz w:val="4"/>
                <w:szCs w:val="4"/>
                <w:color w:val="FFFFFF"/>
              </w:rPr>
              <w:t>four acquisitions including</w:t>
            </w:r>
          </w:p>
        </w:tc>
        <w:tc>
          <w:tcPr>
            <w:tcW w:w="0" w:type="dxa"/>
            <w:vAlign w:val="bottom"/>
          </w:tcPr>
          <w:p>
            <w:pPr>
              <w:spacing w:after="0" w:line="20" w:lineRule="exact"/>
              <w:rPr>
                <w:sz w:val="1"/>
                <w:szCs w:val="1"/>
                <w:color w:val="auto"/>
              </w:rPr>
            </w:pPr>
          </w:p>
        </w:tc>
      </w:tr>
      <w:tr>
        <w:trPr>
          <w:trHeight w:val="1"/>
        </w:trPr>
        <w:tc>
          <w:tcPr>
            <w:tcW w:w="280" w:type="dxa"/>
            <w:vAlign w:val="bottom"/>
          </w:tcPr>
          <w:p>
            <w:pPr>
              <w:jc w:val="right"/>
              <w:spacing w:after="0" w:line="2" w:lineRule="exact"/>
              <w:rPr>
                <w:sz w:val="20"/>
                <w:szCs w:val="20"/>
                <w:color w:val="auto"/>
              </w:rPr>
            </w:pPr>
            <w:r>
              <w:rPr>
                <w:rFonts w:ascii="Arial" w:cs="Arial" w:eastAsia="Arial" w:hAnsi="Arial"/>
                <w:sz w:val="1"/>
                <w:szCs w:val="1"/>
                <w:color w:val="FFFFFF"/>
              </w:rPr>
              <w:t>2015</w:t>
            </w:r>
          </w:p>
        </w:tc>
        <w:tc>
          <w:tcPr>
            <w:tcW w:w="2560" w:type="dxa"/>
            <w:vAlign w:val="bottom"/>
            <w:gridSpan w:val="2"/>
          </w:tcPr>
          <w:p>
            <w:pPr>
              <w:ind w:left="20"/>
              <w:spacing w:after="0" w:line="2" w:lineRule="exact"/>
              <w:rPr>
                <w:sz w:val="20"/>
                <w:szCs w:val="20"/>
                <w:color w:val="auto"/>
              </w:rPr>
            </w:pPr>
            <w:r>
              <w:rPr>
                <w:rFonts w:ascii="Arial" w:cs="Arial" w:eastAsia="Arial" w:hAnsi="Arial"/>
                <w:sz w:val="1"/>
                <w:szCs w:val="1"/>
                <w:color w:val="FFFFFF"/>
              </w:rPr>
              <w:t>– Completes two acquisitions including</w:t>
            </w:r>
          </w:p>
        </w:tc>
        <w:tc>
          <w:tcPr>
            <w:tcW w:w="0" w:type="dxa"/>
            <w:vAlign w:val="bottom"/>
          </w:tcPr>
          <w:p>
            <w:pPr>
              <w:spacing w:after="0" w:line="20" w:lineRule="exact"/>
              <w:rPr>
                <w:sz w:val="1"/>
                <w:szCs w:val="1"/>
                <w:color w:val="auto"/>
              </w:rPr>
            </w:pPr>
          </w:p>
        </w:tc>
      </w:tr>
    </w:tbl>
    <w:p>
      <w:pPr>
        <w:spacing w:after="0" w:line="204" w:lineRule="auto"/>
        <w:rPr>
          <w:sz w:val="20"/>
          <w:szCs w:val="20"/>
          <w:color w:val="auto"/>
        </w:rPr>
      </w:pPr>
      <w:r>
        <w:rPr>
          <w:rFonts w:ascii="Arial" w:cs="Arial" w:eastAsia="Arial" w:hAnsi="Arial"/>
          <w:sz w:val="4"/>
          <w:szCs w:val="4"/>
          <w:color w:val="FFFFFF"/>
        </w:rPr>
        <w:t>www.nninc.comPDPPRECISION ENGINEERED PRODUCTS</w:t>
      </w:r>
    </w:p>
    <w:p>
      <w:pPr>
        <w:spacing w:after="0"/>
        <w:rPr>
          <w:sz w:val="20"/>
          <w:szCs w:val="20"/>
          <w:color w:val="auto"/>
        </w:rPr>
      </w:pPr>
      <w:r>
        <w:rPr>
          <w:rFonts w:ascii="Arial" w:cs="Arial" w:eastAsia="Arial" w:hAnsi="Arial"/>
          <w:sz w:val="13"/>
          <w:szCs w:val="13"/>
          <w:color w:val="FFFFFF"/>
        </w:rPr>
        <w:t>6</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9"/>
          <w:szCs w:val="9"/>
          <w:color w:val="FFFFFF"/>
        </w:rPr>
        <w:t>$20181BillionStrategicRevenuePlan at a Glance</w:t>
      </w:r>
    </w:p>
    <w:p>
      <w:pPr>
        <w:spacing w:after="0" w:line="204" w:lineRule="auto"/>
        <w:rPr>
          <w:sz w:val="20"/>
          <w:szCs w:val="20"/>
          <w:color w:val="auto"/>
        </w:rPr>
      </w:pPr>
      <w:r>
        <w:rPr>
          <w:rFonts w:ascii="Arial" w:cs="Arial" w:eastAsia="Arial" w:hAnsi="Arial"/>
          <w:sz w:val="4"/>
          <w:szCs w:val="4"/>
          <w:color w:val="FFFFFF"/>
        </w:rPr>
        <w:t>Organic Growth</w:t>
      </w:r>
    </w:p>
    <w:p>
      <w:pPr>
        <w:spacing w:after="0" w:line="205" w:lineRule="auto"/>
        <w:rPr>
          <w:sz w:val="20"/>
          <w:szCs w:val="20"/>
          <w:color w:val="auto"/>
        </w:rPr>
      </w:pPr>
      <w:r>
        <w:rPr>
          <w:rFonts w:ascii="Arial" w:cs="Arial" w:eastAsia="Arial" w:hAnsi="Arial"/>
          <w:sz w:val="4"/>
          <w:szCs w:val="4"/>
          <w:color w:val="FFFFFF"/>
        </w:rPr>
        <w:t>Adjacent Market Expansion</w:t>
      </w:r>
    </w:p>
    <w:p>
      <w:pPr>
        <w:spacing w:after="0" w:line="205" w:lineRule="auto"/>
        <w:rPr>
          <w:sz w:val="20"/>
          <w:szCs w:val="20"/>
          <w:color w:val="auto"/>
        </w:rPr>
      </w:pPr>
      <w:r>
        <w:rPr>
          <w:rFonts w:ascii="Arial" w:cs="Arial" w:eastAsia="Arial" w:hAnsi="Arial"/>
          <w:sz w:val="4"/>
          <w:szCs w:val="4"/>
          <w:color w:val="FFFFFF"/>
        </w:rPr>
        <w:t>Disciplined Acquisition Strategy</w:t>
      </w:r>
    </w:p>
    <w:p>
      <w:pPr>
        <w:spacing w:after="0" w:line="205" w:lineRule="auto"/>
        <w:rPr>
          <w:sz w:val="20"/>
          <w:szCs w:val="20"/>
          <w:color w:val="auto"/>
        </w:rPr>
      </w:pPr>
      <w:r>
        <w:rPr>
          <w:rFonts w:ascii="Arial" w:cs="Arial" w:eastAsia="Arial" w:hAnsi="Arial"/>
          <w:sz w:val="4"/>
          <w:szCs w:val="4"/>
          <w:color w:val="FFFFFF"/>
        </w:rPr>
        <w:t>Build a Diversified Business</w:t>
      </w:r>
    </w:p>
    <w:p>
      <w:pPr>
        <w:spacing w:after="0" w:line="205" w:lineRule="auto"/>
        <w:rPr>
          <w:sz w:val="20"/>
          <w:szCs w:val="20"/>
          <w:color w:val="auto"/>
        </w:rPr>
      </w:pPr>
      <w:r>
        <w:rPr>
          <w:rFonts w:ascii="Arial" w:cs="Arial" w:eastAsia="Arial" w:hAnsi="Arial"/>
          <w:sz w:val="4"/>
          <w:szCs w:val="4"/>
          <w:color w:val="FFFFFF"/>
        </w:rPr>
        <w:t>Market Segments</w:t>
      </w:r>
    </w:p>
    <w:p>
      <w:pPr>
        <w:spacing w:after="0" w:line="205" w:lineRule="auto"/>
        <w:rPr>
          <w:sz w:val="20"/>
          <w:szCs w:val="20"/>
          <w:color w:val="auto"/>
        </w:rPr>
      </w:pPr>
      <w:r>
        <w:rPr>
          <w:rFonts w:ascii="Arial" w:cs="Arial" w:eastAsia="Arial" w:hAnsi="Arial"/>
          <w:sz w:val="4"/>
          <w:szCs w:val="4"/>
          <w:color w:val="FFFFFF"/>
          <w:vertAlign w:val="subscript"/>
        </w:rPr>
        <w:t>Comprehensive</w:t>
      </w:r>
      <w:r>
        <w:rPr>
          <w:rFonts w:ascii="Arial" w:cs="Arial" w:eastAsia="Arial" w:hAnsi="Arial"/>
          <w:sz w:val="2"/>
          <w:szCs w:val="2"/>
          <w:color w:val="FFFFFF"/>
        </w:rPr>
        <w:t>unterCyclical Mix</w:t>
      </w:r>
    </w:p>
    <w:p>
      <w:pPr>
        <w:jc w:val="right"/>
        <w:ind w:right="8219"/>
        <w:spacing w:after="0" w:line="205" w:lineRule="auto"/>
        <w:rPr>
          <w:sz w:val="20"/>
          <w:szCs w:val="20"/>
          <w:color w:val="auto"/>
        </w:rPr>
      </w:pPr>
      <w:r>
        <w:rPr>
          <w:rFonts w:ascii="Arial" w:cs="Arial" w:eastAsia="Arial" w:hAnsi="Arial"/>
          <w:sz w:val="4"/>
          <w:szCs w:val="4"/>
          <w:color w:val="FFFFFF"/>
        </w:rPr>
        <w:t>Geographic Footprint</w:t>
      </w:r>
    </w:p>
    <w:p>
      <w:pPr>
        <w:spacing w:after="0" w:line="205" w:lineRule="auto"/>
        <w:rPr>
          <w:sz w:val="20"/>
          <w:szCs w:val="20"/>
          <w:color w:val="auto"/>
        </w:rPr>
      </w:pPr>
      <w:r>
        <w:rPr>
          <w:rFonts w:ascii="Arial" w:cs="Arial" w:eastAsia="Arial" w:hAnsi="Arial"/>
          <w:sz w:val="4"/>
          <w:szCs w:val="4"/>
          <w:color w:val="FFFFFF"/>
        </w:rPr>
        <w:t>Operating Performance</w:t>
      </w:r>
    </w:p>
    <w:p>
      <w:pPr>
        <w:spacing w:after="0" w:line="205" w:lineRule="auto"/>
        <w:rPr>
          <w:sz w:val="20"/>
          <w:szCs w:val="20"/>
          <w:color w:val="auto"/>
        </w:rPr>
      </w:pPr>
      <w:r>
        <w:rPr>
          <w:rFonts w:ascii="Arial" w:cs="Arial" w:eastAsia="Arial" w:hAnsi="Arial"/>
          <w:sz w:val="4"/>
          <w:szCs w:val="4"/>
          <w:color w:val="FFFFFF"/>
        </w:rPr>
        <w:t>Margin Expansion</w:t>
      </w:r>
    </w:p>
    <w:p>
      <w:pPr>
        <w:spacing w:after="0" w:line="205" w:lineRule="auto"/>
        <w:rPr>
          <w:sz w:val="20"/>
          <w:szCs w:val="20"/>
          <w:color w:val="auto"/>
        </w:rPr>
      </w:pPr>
      <w:r>
        <w:rPr>
          <w:rFonts w:ascii="Arial" w:cs="Arial" w:eastAsia="Arial" w:hAnsi="Arial"/>
          <w:sz w:val="4"/>
          <w:szCs w:val="4"/>
          <w:color w:val="FFFFFF"/>
        </w:rPr>
        <w:t>Improved ROIC</w:t>
      </w:r>
    </w:p>
    <w:p>
      <w:pPr>
        <w:spacing w:after="0" w:line="182" w:lineRule="auto"/>
        <w:rPr>
          <w:sz w:val="20"/>
          <w:szCs w:val="20"/>
          <w:color w:val="auto"/>
        </w:rPr>
      </w:pPr>
      <w:r>
        <w:rPr>
          <w:rFonts w:ascii="Arial" w:cs="Arial" w:eastAsia="Arial" w:hAnsi="Arial"/>
          <w:sz w:val="9"/>
          <w:szCs w:val="9"/>
          <w:color w:val="FFFFFF"/>
        </w:rPr>
        <w:t>EPS Growth</w:t>
      </w:r>
    </w:p>
    <w:p>
      <w:pPr>
        <w:spacing w:after="0"/>
        <w:rPr>
          <w:sz w:val="20"/>
          <w:szCs w:val="20"/>
          <w:color w:val="auto"/>
        </w:rPr>
      </w:pPr>
      <w:r>
        <w:rPr>
          <w:rFonts w:ascii="Arial" w:cs="Arial" w:eastAsia="Arial" w:hAnsi="Arial"/>
          <w:sz w:val="13"/>
          <w:szCs w:val="13"/>
          <w:color w:val="FFFFFF"/>
        </w:rPr>
        <w:t>7www.nninc.com</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GlobalValuePropositionReach</w:t>
      </w:r>
    </w:p>
    <w:p>
      <w:pPr>
        <w:spacing w:after="0" w:line="189" w:lineRule="auto"/>
        <w:rPr>
          <w:sz w:val="20"/>
          <w:szCs w:val="20"/>
          <w:color w:val="auto"/>
        </w:rPr>
      </w:pPr>
      <w:r>
        <w:rPr>
          <w:rFonts w:ascii="Arial" w:cs="Arial" w:eastAsia="Arial" w:hAnsi="Arial"/>
          <w:sz w:val="13"/>
          <w:szCs w:val="13"/>
          <w:color w:val="FFFFFF"/>
        </w:rPr>
        <w:t>42FullFacilitiesservice inonevery4Continentsregion</w:t>
      </w:r>
    </w:p>
    <w:p>
      <w:pPr>
        <w:spacing w:after="0" w:line="205" w:lineRule="auto"/>
        <w:rPr>
          <w:sz w:val="20"/>
          <w:szCs w:val="20"/>
          <w:color w:val="auto"/>
        </w:rPr>
      </w:pPr>
      <w:r>
        <w:rPr>
          <w:rFonts w:ascii="Arial" w:cs="Arial" w:eastAsia="Arial" w:hAnsi="Arial"/>
          <w:sz w:val="4"/>
          <w:szCs w:val="4"/>
          <w:color w:val="FFFFFF"/>
        </w:rPr>
        <w:t>HighGlobalPrecisionSupply ChainManufacturingManagement</w:t>
      </w:r>
    </w:p>
    <w:p>
      <w:pPr>
        <w:spacing w:after="0" w:line="182" w:lineRule="auto"/>
        <w:rPr>
          <w:sz w:val="20"/>
          <w:szCs w:val="20"/>
          <w:color w:val="auto"/>
        </w:rPr>
      </w:pPr>
      <w:r>
        <w:rPr>
          <w:rFonts w:ascii="Arial" w:cs="Arial" w:eastAsia="Arial" w:hAnsi="Arial"/>
          <w:sz w:val="9"/>
          <w:szCs w:val="9"/>
          <w:color w:val="FFFFFF"/>
        </w:rPr>
        <w:t>Precision capabilities to less than one micron</w:t>
      </w:r>
    </w:p>
    <w:p>
      <w:pPr>
        <w:spacing w:after="0" w:line="206" w:lineRule="auto"/>
        <w:rPr>
          <w:sz w:val="20"/>
          <w:szCs w:val="20"/>
          <w:color w:val="auto"/>
        </w:rPr>
      </w:pPr>
      <w:r>
        <w:rPr>
          <w:rFonts w:ascii="Arial" w:cs="Arial" w:eastAsia="Arial" w:hAnsi="Arial"/>
          <w:sz w:val="4"/>
          <w:szCs w:val="4"/>
          <w:color w:val="FFFFFF"/>
        </w:rPr>
        <w:t>7 Billion+ components produced annually</w:t>
      </w:r>
    </w:p>
    <w:p>
      <w:pPr>
        <w:spacing w:after="0" w:line="182" w:lineRule="auto"/>
        <w:rPr>
          <w:sz w:val="20"/>
          <w:szCs w:val="20"/>
          <w:color w:val="auto"/>
        </w:rPr>
      </w:pPr>
      <w:r>
        <w:rPr>
          <w:rFonts w:ascii="Arial" w:cs="Arial" w:eastAsia="Arial" w:hAnsi="Arial"/>
          <w:sz w:val="9"/>
          <w:szCs w:val="9"/>
          <w:color w:val="FFFFFF"/>
        </w:rPr>
        <w:t>EngineeredIn-housemachineSolution&amp; toolProviderbuilding</w:t>
      </w:r>
    </w:p>
    <w:p>
      <w:pPr>
        <w:spacing w:after="0" w:line="205" w:lineRule="auto"/>
        <w:rPr>
          <w:sz w:val="20"/>
          <w:szCs w:val="20"/>
          <w:color w:val="auto"/>
        </w:rPr>
      </w:pPr>
      <w:r>
        <w:rPr>
          <w:rFonts w:ascii="Arial" w:cs="Arial" w:eastAsia="Arial" w:hAnsi="Arial"/>
          <w:sz w:val="4"/>
          <w:szCs w:val="4"/>
          <w:color w:val="FFFFFF"/>
        </w:rPr>
        <w:t>TotalApplicationlifecyclespecific,supportco-design capability</w:t>
      </w:r>
    </w:p>
    <w:p>
      <w:pPr>
        <w:spacing w:after="0" w:line="182" w:lineRule="auto"/>
        <w:rPr>
          <w:sz w:val="20"/>
          <w:szCs w:val="20"/>
          <w:color w:val="auto"/>
        </w:rPr>
      </w:pPr>
      <w:r>
        <w:rPr>
          <w:rFonts w:ascii="Arial" w:cs="Arial" w:eastAsia="Arial" w:hAnsi="Arial"/>
          <w:sz w:val="9"/>
          <w:szCs w:val="9"/>
          <w:color w:val="FFFFFF"/>
        </w:rPr>
        <w:t>4 Innovation Centers around the globe</w:t>
      </w:r>
    </w:p>
    <w:p>
      <w:pPr>
        <w:spacing w:after="0" w:line="205" w:lineRule="auto"/>
        <w:rPr>
          <w:sz w:val="20"/>
          <w:szCs w:val="20"/>
          <w:color w:val="auto"/>
        </w:rPr>
      </w:pPr>
      <w:r>
        <w:rPr>
          <w:rFonts w:ascii="Arial" w:cs="Arial" w:eastAsia="Arial" w:hAnsi="Arial"/>
          <w:sz w:val="2"/>
          <w:szCs w:val="2"/>
          <w:color w:val="FFFFFF"/>
        </w:rPr>
        <w:t>WorldComprehensive-classprocessPortfoliotechnologies</w:t>
      </w:r>
      <w:r>
        <w:rPr>
          <w:rFonts w:ascii="Arial" w:cs="Arial" w:eastAsia="Arial" w:hAnsi="Arial"/>
          <w:sz w:val="4"/>
          <w:szCs w:val="4"/>
          <w:color w:val="FFFFFF"/>
          <w:vertAlign w:val="subscript"/>
        </w:rPr>
        <w:t>expertise</w:t>
      </w:r>
    </w:p>
    <w:p>
      <w:pPr>
        <w:spacing w:after="0" w:line="182" w:lineRule="auto"/>
        <w:tabs>
          <w:tab w:leader="none" w:pos="1820" w:val="left"/>
        </w:tabs>
        <w:rPr>
          <w:sz w:val="20"/>
          <w:szCs w:val="20"/>
          <w:color w:val="auto"/>
        </w:rPr>
      </w:pPr>
      <w:r>
        <w:rPr>
          <w:rFonts w:ascii="Arial" w:cs="Arial" w:eastAsia="Arial" w:hAnsi="Arial"/>
          <w:sz w:val="9"/>
          <w:szCs w:val="9"/>
          <w:color w:val="FFFFFF"/>
        </w:rPr>
        <w:t>Applications and Design</w:t>
      </w:r>
      <w:r>
        <w:rPr>
          <w:sz w:val="20"/>
          <w:szCs w:val="20"/>
          <w:color w:val="auto"/>
        </w:rPr>
        <w:tab/>
      </w:r>
      <w:r>
        <w:rPr>
          <w:rFonts w:ascii="Arial" w:cs="Arial" w:eastAsia="Arial" w:hAnsi="Arial"/>
          <w:sz w:val="9"/>
          <w:szCs w:val="9"/>
          <w:color w:val="FFFFFF"/>
        </w:rPr>
        <w:t>across multiple industries</w:t>
      </w:r>
    </w:p>
    <w:p>
      <w:pPr>
        <w:spacing w:after="0" w:line="206" w:lineRule="auto"/>
        <w:rPr>
          <w:sz w:val="20"/>
          <w:szCs w:val="20"/>
          <w:color w:val="auto"/>
        </w:rPr>
      </w:pPr>
      <w:r>
        <w:rPr>
          <w:rFonts w:ascii="Arial" w:cs="Arial" w:eastAsia="Arial" w:hAnsi="Arial"/>
          <w:sz w:val="4"/>
          <w:szCs w:val="4"/>
          <w:color w:val="FFFFFF"/>
        </w:rPr>
        <w:t>www.nninc.comWidereachingproduct offering: mission critical components to finished assemblies</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The Journey Continues</w:t>
      </w:r>
    </w:p>
    <w:p>
      <w:pPr>
        <w:spacing w:after="0" w:line="204" w:lineRule="auto"/>
        <w:rPr>
          <w:sz w:val="20"/>
          <w:szCs w:val="20"/>
          <w:color w:val="auto"/>
        </w:rPr>
      </w:pPr>
      <w:r>
        <w:rPr>
          <w:rFonts w:ascii="Arial" w:cs="Arial" w:eastAsia="Arial" w:hAnsi="Arial"/>
          <w:sz w:val="4"/>
          <w:szCs w:val="4"/>
          <w:color w:val="FFFFFF"/>
        </w:rPr>
        <w:t>Automotive</w:t>
      </w:r>
    </w:p>
    <w:p>
      <w:pPr>
        <w:spacing w:after="0" w:line="205" w:lineRule="auto"/>
        <w:rPr>
          <w:sz w:val="20"/>
          <w:szCs w:val="20"/>
          <w:color w:val="auto"/>
        </w:rPr>
      </w:pPr>
      <w:r>
        <w:rPr>
          <w:rFonts w:ascii="Arial" w:cs="Arial" w:eastAsia="Arial" w:hAnsi="Arial"/>
          <w:sz w:val="4"/>
          <w:szCs w:val="4"/>
          <w:color w:val="FFFFFF"/>
        </w:rPr>
        <w:t>Industrial Technology</w:t>
      </w:r>
    </w:p>
    <w:p>
      <w:pPr>
        <w:spacing w:after="0" w:line="182" w:lineRule="auto"/>
        <w:rPr>
          <w:sz w:val="20"/>
          <w:szCs w:val="20"/>
          <w:color w:val="auto"/>
        </w:rPr>
      </w:pPr>
      <w:r>
        <w:rPr>
          <w:rFonts w:ascii="Arial" w:cs="Arial" w:eastAsia="Arial" w:hAnsi="Arial"/>
          <w:sz w:val="9"/>
          <w:szCs w:val="9"/>
          <w:color w:val="FFFFFF"/>
        </w:rPr>
        <w:t>Medical</w:t>
      </w:r>
    </w:p>
    <w:p>
      <w:pPr>
        <w:spacing w:after="0" w:line="206" w:lineRule="auto"/>
        <w:rPr>
          <w:sz w:val="20"/>
          <w:szCs w:val="20"/>
          <w:color w:val="auto"/>
        </w:rPr>
      </w:pPr>
      <w:r>
        <w:rPr>
          <w:rFonts w:ascii="Arial" w:cs="Arial" w:eastAsia="Arial" w:hAnsi="Arial"/>
          <w:sz w:val="4"/>
          <w:szCs w:val="4"/>
          <w:color w:val="FFFFFF"/>
        </w:rPr>
        <w:t>ElectricalAerospace &amp; Defense</w:t>
      </w:r>
    </w:p>
    <w:p>
      <w:pPr>
        <w:spacing w:after="0" w:line="205" w:lineRule="auto"/>
        <w:rPr>
          <w:sz w:val="20"/>
          <w:szCs w:val="20"/>
          <w:color w:val="auto"/>
        </w:rPr>
      </w:pPr>
      <w:r>
        <w:rPr>
          <w:rFonts w:ascii="Arial" w:cs="Arial" w:eastAsia="Arial" w:hAnsi="Arial"/>
          <w:sz w:val="4"/>
          <w:szCs w:val="4"/>
          <w:color w:val="FFFFFF"/>
        </w:rPr>
        <w:t>A Diversified Industrial</w:t>
      </w:r>
    </w:p>
    <w:p>
      <w:pPr>
        <w:spacing w:after="0" w:line="205" w:lineRule="auto"/>
        <w:rPr>
          <w:sz w:val="20"/>
          <w:szCs w:val="20"/>
          <w:color w:val="auto"/>
        </w:rPr>
      </w:pPr>
      <w:r>
        <w:rPr>
          <w:rFonts w:ascii="Arial" w:cs="Arial" w:eastAsia="Arial" w:hAnsi="Arial"/>
          <w:sz w:val="4"/>
          <w:szCs w:val="4"/>
          <w:color w:val="FFFFFF"/>
        </w:rPr>
        <w:t>1980 1999 2000 2001 2003 2006 2014 2015</w:t>
      </w:r>
    </w:p>
    <w:p>
      <w:pPr>
        <w:spacing w:after="0" w:line="182" w:lineRule="auto"/>
        <w:rPr>
          <w:sz w:val="20"/>
          <w:szCs w:val="20"/>
          <w:color w:val="auto"/>
        </w:rPr>
      </w:pPr>
      <w:r>
        <w:rPr>
          <w:rFonts w:ascii="Arial" w:cs="Arial" w:eastAsia="Arial" w:hAnsi="Arial"/>
          <w:sz w:val="9"/>
          <w:szCs w:val="9"/>
          <w:color w:val="FFFFFF"/>
        </w:rPr>
        <w:t>Industrial Precision NN founded Delta Rubber Whirlaway Chelsea Molding Euroball Veenendaal Slovakia VS Industries RFK Autocam Caprock Engineered in Erwin, TN Company Corporation Grinding Corporation Products</w:t>
      </w:r>
    </w:p>
    <w:p>
      <w:pPr>
        <w:spacing w:after="0"/>
        <w:rPr>
          <w:sz w:val="20"/>
          <w:szCs w:val="20"/>
          <w:color w:val="auto"/>
        </w:rPr>
      </w:pPr>
      <w:r>
        <w:rPr>
          <w:rFonts w:ascii="Arial" w:cs="Arial" w:eastAsia="Arial" w:hAnsi="Arial"/>
          <w:sz w:val="13"/>
          <w:szCs w:val="13"/>
          <w:color w:val="FFFFFF"/>
        </w:rPr>
        <w:t>9</w:t>
      </w:r>
    </w:p>
    <w:p>
      <w:pPr>
        <w:sectPr>
          <w:pgSz w:w="11900" w:h="16838" w:orient="portrait"/>
          <w:cols w:equalWidth="0" w:num="1">
            <w:col w:w="11360"/>
          </w:cols>
          <w:pgMar w:left="240" w:top="1440" w:right="2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0"/>
          <w:szCs w:val="10"/>
          <w:color w:val="FFFFFF"/>
        </w:rPr>
        <w:t>Where</w:t>
      </w:r>
      <w:r>
        <w:rPr>
          <w:rFonts w:ascii="Arial" w:cs="Arial" w:eastAsia="Arial" w:hAnsi="Arial"/>
          <w:sz w:val="18"/>
          <w:szCs w:val="18"/>
          <w:color w:val="FFFFFF"/>
          <w:vertAlign w:val="subscript"/>
        </w:rPr>
        <w:t>Cycle</w:t>
      </w:r>
      <w:r>
        <w:rPr>
          <w:rFonts w:ascii="Arial" w:cs="Arial" w:eastAsia="Arial" w:hAnsi="Arial"/>
          <w:sz w:val="10"/>
          <w:szCs w:val="10"/>
          <w:color w:val="FFFFFF"/>
        </w:rPr>
        <w:t>Ware Today – End Markets</w:t>
      </w:r>
    </w:p>
    <w:p>
      <w:pPr>
        <w:spacing w:after="0" w:line="185" w:lineRule="auto"/>
        <w:tabs>
          <w:tab w:leader="none" w:pos="640" w:val="left"/>
        </w:tabs>
        <w:rPr>
          <w:sz w:val="20"/>
          <w:szCs w:val="20"/>
          <w:color w:val="auto"/>
        </w:rPr>
      </w:pPr>
      <w:r>
        <w:rPr>
          <w:rFonts w:ascii="Arial" w:cs="Arial" w:eastAsia="Arial" w:hAnsi="Arial"/>
          <w:sz w:val="13"/>
          <w:szCs w:val="13"/>
          <w:color w:val="FFFFFF"/>
        </w:rPr>
        <w:t>Early</w:t>
      </w:r>
      <w:r>
        <w:rPr>
          <w:sz w:val="20"/>
          <w:szCs w:val="20"/>
          <w:color w:val="auto"/>
        </w:rPr>
        <w:tab/>
      </w:r>
      <w:r>
        <w:rPr>
          <w:rFonts w:ascii="Arial" w:cs="Arial" w:eastAsia="Arial" w:hAnsi="Arial"/>
          <w:sz w:val="13"/>
          <w:szCs w:val="13"/>
          <w:color w:val="FFFFFF"/>
        </w:rPr>
        <w:t>Mid Cycle Late Cycle</w:t>
      </w:r>
    </w:p>
    <w:p>
      <w:pPr>
        <w:spacing w:after="0" w:line="206" w:lineRule="auto"/>
        <w:rPr>
          <w:sz w:val="20"/>
          <w:szCs w:val="20"/>
          <w:color w:val="auto"/>
        </w:rPr>
      </w:pPr>
      <w:r>
        <w:rPr>
          <w:rFonts w:ascii="Arial" w:cs="Arial" w:eastAsia="Arial" w:hAnsi="Arial"/>
          <w:sz w:val="4"/>
          <w:szCs w:val="4"/>
          <w:color w:val="FFFFFF"/>
        </w:rPr>
        <w:t>CAFE Technology</w:t>
      </w:r>
    </w:p>
    <w:p>
      <w:pPr>
        <w:spacing w:after="0" w:line="205" w:lineRule="auto"/>
        <w:rPr>
          <w:sz w:val="20"/>
          <w:szCs w:val="20"/>
          <w:color w:val="auto"/>
        </w:rPr>
      </w:pPr>
      <w:r>
        <w:rPr>
          <w:rFonts w:ascii="Arial" w:cs="Arial" w:eastAsia="Arial" w:hAnsi="Arial"/>
          <w:sz w:val="4"/>
          <w:szCs w:val="4"/>
          <w:color w:val="FFFFFF"/>
        </w:rPr>
        <w:t>Automotive</w:t>
      </w:r>
    </w:p>
    <w:p>
      <w:pPr>
        <w:spacing w:after="0" w:line="182" w:lineRule="auto"/>
        <w:rPr>
          <w:sz w:val="20"/>
          <w:szCs w:val="20"/>
          <w:color w:val="auto"/>
        </w:rPr>
      </w:pPr>
      <w:r>
        <w:rPr>
          <w:rFonts w:ascii="Arial" w:cs="Arial" w:eastAsia="Arial" w:hAnsi="Arial"/>
          <w:sz w:val="9"/>
          <w:szCs w:val="9"/>
          <w:color w:val="FFFFFF"/>
        </w:rPr>
        <w:t>Peak</w:t>
      </w:r>
    </w:p>
    <w:p>
      <w:pPr>
        <w:spacing w:after="0" w:line="205" w:lineRule="auto"/>
        <w:rPr>
          <w:sz w:val="20"/>
          <w:szCs w:val="20"/>
          <w:color w:val="auto"/>
        </w:rPr>
      </w:pPr>
      <w:r>
        <w:rPr>
          <w:rFonts w:ascii="Arial" w:cs="Arial" w:eastAsia="Arial" w:hAnsi="Arial"/>
          <w:sz w:val="4"/>
          <w:szCs w:val="4"/>
          <w:color w:val="FFFFFF"/>
        </w:rPr>
        <w:t>Growth</w:t>
      </w:r>
    </w:p>
    <w:p>
      <w:pPr>
        <w:spacing w:after="0" w:line="182" w:lineRule="auto"/>
        <w:rPr>
          <w:sz w:val="20"/>
          <w:szCs w:val="20"/>
          <w:color w:val="auto"/>
        </w:rPr>
      </w:pPr>
      <w:r>
        <w:rPr>
          <w:rFonts w:ascii="Arial" w:cs="Arial" w:eastAsia="Arial" w:hAnsi="Arial"/>
          <w:sz w:val="9"/>
          <w:szCs w:val="9"/>
          <w:color w:val="FFFFFF"/>
        </w:rPr>
        <w:t>GrowthMedical</w:t>
      </w:r>
    </w:p>
    <w:p>
      <w:pPr>
        <w:spacing w:after="0" w:line="206" w:lineRule="auto"/>
        <w:rPr>
          <w:sz w:val="20"/>
          <w:szCs w:val="20"/>
          <w:color w:val="auto"/>
        </w:rPr>
      </w:pPr>
      <w:r>
        <w:rPr>
          <w:rFonts w:ascii="Arial" w:cs="Arial" w:eastAsia="Arial" w:hAnsi="Arial"/>
          <w:sz w:val="4"/>
          <w:szCs w:val="4"/>
          <w:color w:val="FFFFFF"/>
        </w:rPr>
        <w:t>Electrical</w:t>
      </w:r>
    </w:p>
    <w:p>
      <w:pPr>
        <w:spacing w:after="0" w:line="182" w:lineRule="auto"/>
        <w:rPr>
          <w:sz w:val="20"/>
          <w:szCs w:val="20"/>
          <w:color w:val="auto"/>
        </w:rPr>
      </w:pPr>
      <w:r>
        <w:rPr>
          <w:rFonts w:ascii="Arial" w:cs="Arial" w:eastAsia="Arial" w:hAnsi="Arial"/>
          <w:sz w:val="7"/>
          <w:szCs w:val="7"/>
          <w:color w:val="FFFFFF"/>
        </w:rPr>
        <w:t>A</w:t>
      </w:r>
      <w:r>
        <w:rPr>
          <w:rFonts w:ascii="Arial" w:cs="Arial" w:eastAsia="Arial" w:hAnsi="Arial"/>
          <w:sz w:val="9"/>
          <w:szCs w:val="9"/>
          <w:color w:val="FFFFFF"/>
          <w:vertAlign w:val="subscript"/>
        </w:rPr>
        <w:t>Decline</w:t>
      </w:r>
      <w:r>
        <w:rPr>
          <w:rFonts w:ascii="Arial" w:cs="Arial" w:eastAsia="Arial" w:hAnsi="Arial"/>
          <w:sz w:val="7"/>
          <w:szCs w:val="7"/>
          <w:color w:val="FFFFFF"/>
        </w:rPr>
        <w:t>Stablerospace/Improvin&amp;Defense</w:t>
      </w:r>
    </w:p>
    <w:p>
      <w:pPr>
        <w:spacing w:after="0" w:line="205" w:lineRule="auto"/>
        <w:rPr>
          <w:sz w:val="20"/>
          <w:szCs w:val="20"/>
          <w:color w:val="auto"/>
        </w:rPr>
      </w:pPr>
      <w:r>
        <w:rPr>
          <w:rFonts w:ascii="Arial" w:cs="Arial" w:eastAsia="Arial" w:hAnsi="Arial"/>
          <w:sz w:val="4"/>
          <w:szCs w:val="4"/>
          <w:color w:val="FFFFFF"/>
        </w:rPr>
        <w:t>Trough</w:t>
      </w:r>
    </w:p>
    <w:p>
      <w:pPr>
        <w:spacing w:after="0" w:line="182" w:lineRule="auto"/>
        <w:rPr>
          <w:sz w:val="20"/>
          <w:szCs w:val="20"/>
          <w:color w:val="auto"/>
        </w:rPr>
      </w:pPr>
      <w:r>
        <w:rPr>
          <w:rFonts w:ascii="Arial" w:cs="Arial" w:eastAsia="Arial" w:hAnsi="Arial"/>
          <w:sz w:val="9"/>
          <w:szCs w:val="9"/>
          <w:color w:val="FFFFFF"/>
        </w:rPr>
        <w:t>Industrial Technology</w:t>
      </w:r>
    </w:p>
    <w:p>
      <w:pPr>
        <w:spacing w:after="0" w:line="206" w:lineRule="auto"/>
        <w:rPr>
          <w:sz w:val="20"/>
          <w:szCs w:val="20"/>
          <w:color w:val="auto"/>
        </w:rPr>
      </w:pPr>
      <w:r>
        <w:rPr>
          <w:rFonts w:ascii="Arial" w:cs="Arial" w:eastAsia="Arial" w:hAnsi="Arial"/>
          <w:sz w:val="4"/>
          <w:szCs w:val="4"/>
          <w:color w:val="FFFFFF"/>
        </w:rPr>
        <w:t>www.nninc.comSlowingGrowt</w:t>
      </w:r>
    </w:p>
    <w:p>
      <w:pPr>
        <w:spacing w:after="0"/>
        <w:rPr>
          <w:sz w:val="20"/>
          <w:szCs w:val="20"/>
          <w:color w:val="auto"/>
        </w:rPr>
      </w:pPr>
      <w:r>
        <w:rPr>
          <w:rFonts w:ascii="Arial" w:cs="Arial" w:eastAsia="Arial" w:hAnsi="Arial"/>
          <w:sz w:val="13"/>
          <w:szCs w:val="13"/>
          <w:color w:val="FFFFFF"/>
        </w:rPr>
        <w:t>10</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FFFFFF"/>
        </w:rPr>
        <w:t>2016ABalancedMarketBusinessSegment–RevenueCyclical Mix</w:t>
      </w:r>
    </w:p>
    <w:p>
      <w:pPr>
        <w:spacing w:after="0" w:line="204" w:lineRule="auto"/>
        <w:rPr>
          <w:sz w:val="20"/>
          <w:szCs w:val="20"/>
          <w:color w:val="auto"/>
        </w:rPr>
      </w:pPr>
      <w:r>
        <w:rPr>
          <w:rFonts w:ascii="Arial" w:cs="Arial" w:eastAsia="Arial" w:hAnsi="Arial"/>
          <w:sz w:val="4"/>
          <w:szCs w:val="4"/>
          <w:color w:val="FFFFFF"/>
        </w:rPr>
        <w:t>In Millions</w:t>
      </w:r>
    </w:p>
    <w:p>
      <w:pPr>
        <w:spacing w:after="0" w:line="189" w:lineRule="auto"/>
        <w:rPr>
          <w:sz w:val="20"/>
          <w:szCs w:val="20"/>
          <w:color w:val="auto"/>
        </w:rPr>
      </w:pPr>
      <w:r>
        <w:rPr>
          <w:rFonts w:ascii="Arial" w:cs="Arial" w:eastAsia="Arial" w:hAnsi="Arial"/>
          <w:sz w:val="13"/>
          <w:szCs w:val="13"/>
          <w:color w:val="FFFFFF"/>
          <w:vertAlign w:val="subscript"/>
        </w:rPr>
        <w:t>$</w:t>
      </w:r>
      <w:r>
        <w:rPr>
          <w:rFonts w:ascii="Arial" w:cs="Arial" w:eastAsia="Arial" w:hAnsi="Arial"/>
          <w:sz w:val="8"/>
          <w:szCs w:val="8"/>
          <w:color w:val="FFFFFF"/>
        </w:rPr>
        <w:t>1,000</w:t>
      </w:r>
      <w:r>
        <w:rPr>
          <w:rFonts w:ascii="Arial" w:cs="Arial" w:eastAsia="Arial" w:hAnsi="Arial"/>
          <w:sz w:val="13"/>
          <w:szCs w:val="13"/>
          <w:color w:val="FFFFFF"/>
          <w:vertAlign w:val="subscript"/>
        </w:rPr>
        <w:t>890M</w:t>
      </w:r>
      <w:r>
        <w:rPr>
          <w:rFonts w:ascii="Arial" w:cs="Arial" w:eastAsia="Arial" w:hAnsi="Arial"/>
          <w:sz w:val="8"/>
          <w:szCs w:val="8"/>
          <w:color w:val="FFFFFF"/>
        </w:rPr>
        <w:t xml:space="preserve"> $900 $800 $700 $600 $500 $400 $300 $200 $100 $0</w:t>
      </w:r>
    </w:p>
    <w:p>
      <w:pPr>
        <w:spacing w:after="0" w:line="205" w:lineRule="auto"/>
        <w:rPr>
          <w:sz w:val="20"/>
          <w:szCs w:val="20"/>
          <w:color w:val="auto"/>
        </w:rPr>
      </w:pPr>
      <w:r>
        <w:rPr>
          <w:rFonts w:ascii="Arial" w:cs="Arial" w:eastAsia="Arial" w:hAnsi="Arial"/>
          <w:sz w:val="8"/>
          <w:szCs w:val="8"/>
          <w:color w:val="FFFFFF"/>
        </w:rPr>
        <w:t>&amp;AutoDefenseCAFETechTechRevenue*Medical Electrical Aerospace Industrial 2016</w:t>
      </w:r>
    </w:p>
    <w:p>
      <w:pPr>
        <w:spacing w:after="0" w:line="206" w:lineRule="auto"/>
        <w:rPr>
          <w:sz w:val="20"/>
          <w:szCs w:val="20"/>
          <w:color w:val="auto"/>
        </w:rPr>
      </w:pPr>
      <w:r>
        <w:rPr>
          <w:rFonts w:ascii="Arial" w:cs="Arial" w:eastAsia="Arial" w:hAnsi="Arial"/>
          <w:sz w:val="4"/>
          <w:szCs w:val="4"/>
          <w:color w:val="FFFFFF"/>
        </w:rPr>
        <w:t>Cyclical*Mid-PointMixof 2016 Guidance</w:t>
      </w:r>
    </w:p>
    <w:p>
      <w:pPr>
        <w:spacing w:after="0" w:line="205" w:lineRule="auto"/>
        <w:rPr>
          <w:sz w:val="20"/>
          <w:szCs w:val="20"/>
          <w:color w:val="auto"/>
        </w:rPr>
      </w:pPr>
      <w:r>
        <w:rPr>
          <w:rFonts w:ascii="Arial" w:cs="Arial" w:eastAsia="Arial" w:hAnsi="Arial"/>
          <w:sz w:val="2"/>
          <w:szCs w:val="2"/>
          <w:color w:val="FFFFFF"/>
        </w:rPr>
        <w:t>23%</w:t>
      </w:r>
      <w:r>
        <w:rPr>
          <w:rFonts w:ascii="Arial" w:cs="Arial" w:eastAsia="Arial" w:hAnsi="Arial"/>
          <w:sz w:val="4"/>
          <w:szCs w:val="4"/>
          <w:color w:val="FFFFFF"/>
          <w:vertAlign w:val="subscript"/>
        </w:rPr>
        <w:t>9%</w:t>
      </w:r>
    </w:p>
    <w:p>
      <w:pPr>
        <w:spacing w:after="0" w:line="189" w:lineRule="auto"/>
        <w:rPr>
          <w:sz w:val="20"/>
          <w:szCs w:val="20"/>
          <w:color w:val="auto"/>
        </w:rPr>
      </w:pPr>
      <w:r>
        <w:rPr>
          <w:rFonts w:ascii="Arial" w:cs="Arial" w:eastAsia="Arial" w:hAnsi="Arial"/>
          <w:sz w:val="13"/>
          <w:szCs w:val="13"/>
          <w:color w:val="FFFFFF"/>
        </w:rPr>
        <w:t>38%</w:t>
      </w:r>
    </w:p>
    <w:p>
      <w:pPr>
        <w:spacing w:after="0" w:line="206" w:lineRule="auto"/>
        <w:rPr>
          <w:sz w:val="20"/>
          <w:szCs w:val="20"/>
          <w:color w:val="auto"/>
        </w:rPr>
      </w:pPr>
      <w:r>
        <w:rPr>
          <w:rFonts w:ascii="Arial" w:cs="Arial" w:eastAsia="Arial" w:hAnsi="Arial"/>
          <w:sz w:val="4"/>
          <w:szCs w:val="4"/>
          <w:color w:val="FFFFFF"/>
        </w:rPr>
        <w:t>www.nninc.comEarlyCycleMid Cycle Late Cycle</w:t>
      </w:r>
    </w:p>
    <w:p>
      <w:pPr>
        <w:spacing w:after="0"/>
        <w:rPr>
          <w:sz w:val="20"/>
          <w:szCs w:val="20"/>
          <w:color w:val="auto"/>
        </w:rPr>
      </w:pPr>
      <w:r>
        <w:rPr>
          <w:rFonts w:ascii="Arial" w:cs="Arial" w:eastAsia="Arial" w:hAnsi="Arial"/>
          <w:sz w:val="13"/>
          <w:szCs w:val="13"/>
          <w:color w:val="FFFFFF"/>
        </w:rPr>
        <w:t>11</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Balanced Strategic Global Footprint</w:t>
      </w:r>
    </w:p>
    <w:p>
      <w:pPr>
        <w:spacing w:after="0" w:line="182" w:lineRule="auto"/>
        <w:rPr>
          <w:sz w:val="20"/>
          <w:szCs w:val="20"/>
          <w:color w:val="auto"/>
        </w:rPr>
      </w:pPr>
      <w:r>
        <w:rPr>
          <w:rFonts w:ascii="Arial" w:cs="Arial" w:eastAsia="Arial" w:hAnsi="Arial"/>
          <w:sz w:val="9"/>
          <w:szCs w:val="9"/>
          <w:color w:val="FFFFFF"/>
          <w:vertAlign w:val="subscript"/>
        </w:rPr>
        <w:t>25%</w:t>
      </w:r>
      <w:r>
        <w:rPr>
          <w:rFonts w:ascii="Arial" w:cs="Arial" w:eastAsia="Arial" w:hAnsi="Arial"/>
          <w:sz w:val="7"/>
          <w:szCs w:val="7"/>
          <w:color w:val="FFFFFF"/>
        </w:rPr>
        <w:t>RevenueEuropeBreakdown* 60% United States 10% Asia</w:t>
      </w:r>
    </w:p>
    <w:p>
      <w:pPr>
        <w:spacing w:after="0" w:line="182" w:lineRule="auto"/>
        <w:rPr>
          <w:sz w:val="20"/>
          <w:szCs w:val="20"/>
          <w:color w:val="auto"/>
        </w:rPr>
      </w:pPr>
      <w:r>
        <w:rPr>
          <w:rFonts w:ascii="Arial" w:cs="Arial" w:eastAsia="Arial" w:hAnsi="Arial"/>
          <w:sz w:val="9"/>
          <w:szCs w:val="9"/>
          <w:color w:val="FFFFFF"/>
        </w:rPr>
        <w:t>*MidLatin-PointAmericaof2016 Guidance</w:t>
      </w:r>
    </w:p>
    <w:p>
      <w:pPr>
        <w:spacing w:after="0" w:line="205" w:lineRule="auto"/>
        <w:rPr>
          <w:sz w:val="20"/>
          <w:szCs w:val="20"/>
          <w:color w:val="auto"/>
        </w:rPr>
      </w:pPr>
      <w:r>
        <w:rPr>
          <w:rFonts w:ascii="Arial" w:cs="Arial" w:eastAsia="Arial" w:hAnsi="Arial"/>
          <w:sz w:val="4"/>
          <w:szCs w:val="4"/>
          <w:color w:val="FFFFFF"/>
        </w:rPr>
        <w:t>www.nninc.com42Manufacturing Facilities on Four Continents</w:t>
      </w:r>
    </w:p>
    <w:p>
      <w:pPr>
        <w:spacing w:after="0"/>
        <w:rPr>
          <w:sz w:val="20"/>
          <w:szCs w:val="20"/>
          <w:color w:val="auto"/>
        </w:rPr>
      </w:pPr>
      <w:r>
        <w:rPr>
          <w:rFonts w:ascii="Arial" w:cs="Arial" w:eastAsia="Arial" w:hAnsi="Arial"/>
          <w:sz w:val="13"/>
          <w:szCs w:val="13"/>
          <w:color w:val="FFFFFF"/>
        </w:rPr>
        <w:t>12</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2013Balanced End Markets</w:t>
      </w:r>
    </w:p>
    <w:p>
      <w:pPr>
        <w:spacing w:after="0" w:line="204" w:lineRule="auto"/>
        <w:rPr>
          <w:sz w:val="20"/>
          <w:szCs w:val="20"/>
          <w:color w:val="auto"/>
        </w:rPr>
      </w:pPr>
      <w:r>
        <w:rPr>
          <w:rFonts w:ascii="Arial" w:cs="Arial" w:eastAsia="Arial" w:hAnsi="Arial"/>
          <w:sz w:val="4"/>
          <w:szCs w:val="4"/>
          <w:color w:val="FFFFFF"/>
        </w:rPr>
        <w:t>Segments as a % of revenue</w:t>
      </w:r>
    </w:p>
    <w:p>
      <w:pPr>
        <w:spacing w:after="0" w:line="182" w:lineRule="auto"/>
        <w:rPr>
          <w:sz w:val="20"/>
          <w:szCs w:val="20"/>
          <w:color w:val="auto"/>
        </w:rPr>
      </w:pPr>
      <w:r>
        <w:rPr>
          <w:rFonts w:ascii="Arial" w:cs="Arial" w:eastAsia="Arial" w:hAnsi="Arial"/>
          <w:sz w:val="7"/>
          <w:szCs w:val="7"/>
          <w:color w:val="FFFFFF"/>
        </w:rPr>
        <w:t>5%</w:t>
      </w:r>
      <w:r>
        <w:rPr>
          <w:rFonts w:ascii="Arial" w:cs="Arial" w:eastAsia="Arial" w:hAnsi="Arial"/>
          <w:sz w:val="9"/>
          <w:szCs w:val="9"/>
          <w:color w:val="FFFFFF"/>
          <w:vertAlign w:val="superscript"/>
        </w:rPr>
        <w:t>1%</w:t>
      </w:r>
      <w:r>
        <w:rPr>
          <w:rFonts w:ascii="Arial" w:cs="Arial" w:eastAsia="Arial" w:hAnsi="Arial"/>
          <w:sz w:val="7"/>
          <w:szCs w:val="7"/>
          <w:color w:val="FFFFFF"/>
        </w:rPr>
        <w:t xml:space="preserve"> 5%</w:t>
      </w:r>
      <w:r>
        <w:rPr>
          <w:rFonts w:ascii="Arial" w:cs="Arial" w:eastAsia="Arial" w:hAnsi="Arial"/>
          <w:sz w:val="9"/>
          <w:szCs w:val="9"/>
          <w:color w:val="FFFFFF"/>
          <w:vertAlign w:val="superscript"/>
        </w:rPr>
        <w:t>1%</w:t>
      </w:r>
      <w:r>
        <w:rPr>
          <w:rFonts w:ascii="Arial" w:cs="Arial" w:eastAsia="Arial" w:hAnsi="Arial"/>
          <w:sz w:val="7"/>
          <w:szCs w:val="7"/>
          <w:color w:val="FFFFFF"/>
        </w:rPr>
        <w:t xml:space="preserve"> 25%</w:t>
      </w:r>
    </w:p>
    <w:p>
      <w:pPr>
        <w:spacing w:after="0" w:line="206" w:lineRule="auto"/>
        <w:rPr>
          <w:sz w:val="20"/>
          <w:szCs w:val="20"/>
          <w:color w:val="auto"/>
        </w:rPr>
      </w:pPr>
      <w:r>
        <w:rPr>
          <w:rFonts w:ascii="Arial" w:cs="Arial" w:eastAsia="Arial" w:hAnsi="Arial"/>
          <w:sz w:val="4"/>
          <w:szCs w:val="4"/>
          <w:color w:val="FFFFFF"/>
        </w:rPr>
        <w:t>60%</w:t>
      </w:r>
    </w:p>
    <w:p>
      <w:pPr>
        <w:ind w:right="4979"/>
        <w:spacing w:after="0" w:line="223" w:lineRule="auto"/>
        <w:rPr>
          <w:sz w:val="20"/>
          <w:szCs w:val="20"/>
          <w:color w:val="auto"/>
        </w:rPr>
      </w:pPr>
      <w:r>
        <w:rPr>
          <w:rFonts w:ascii="Arial" w:cs="Arial" w:eastAsia="Arial" w:hAnsi="Arial"/>
          <w:sz w:val="11"/>
          <w:szCs w:val="11"/>
          <w:color w:val="FFFFFF"/>
        </w:rPr>
        <w:t>Automotive Industrial Tech Commerical Vehicles HVAC Aerospace &amp; Defense Consumer Products 2016</w:t>
      </w:r>
    </w:p>
    <w:p>
      <w:pPr>
        <w:spacing w:after="0" w:line="206" w:lineRule="auto"/>
        <w:rPr>
          <w:sz w:val="20"/>
          <w:szCs w:val="20"/>
          <w:color w:val="auto"/>
        </w:rPr>
      </w:pPr>
      <w:r>
        <w:rPr>
          <w:rFonts w:ascii="Arial" w:cs="Arial" w:eastAsia="Arial" w:hAnsi="Arial"/>
          <w:sz w:val="4"/>
          <w:szCs w:val="4"/>
          <w:color w:val="FFFFFF"/>
        </w:rPr>
        <w:t>Segments as a % of revenue*</w:t>
      </w:r>
    </w:p>
    <w:p>
      <w:pPr>
        <w:spacing w:after="0" w:line="205" w:lineRule="auto"/>
        <w:rPr>
          <w:sz w:val="20"/>
          <w:szCs w:val="20"/>
          <w:color w:val="auto"/>
        </w:rPr>
      </w:pPr>
      <w:r>
        <w:rPr>
          <w:rFonts w:ascii="Arial" w:cs="Arial" w:eastAsia="Arial" w:hAnsi="Arial"/>
          <w:sz w:val="4"/>
          <w:szCs w:val="4"/>
          <w:color w:val="FFFFFF"/>
        </w:rPr>
        <w:t>13%27% 12%</w:t>
      </w:r>
    </w:p>
    <w:p>
      <w:pPr>
        <w:spacing w:after="0" w:line="182" w:lineRule="auto"/>
        <w:rPr>
          <w:sz w:val="20"/>
          <w:szCs w:val="20"/>
          <w:color w:val="auto"/>
        </w:rPr>
      </w:pPr>
      <w:r>
        <w:rPr>
          <w:rFonts w:ascii="Arial" w:cs="Arial" w:eastAsia="Arial" w:hAnsi="Arial"/>
          <w:sz w:val="7"/>
          <w:szCs w:val="7"/>
          <w:color w:val="FFFFFF"/>
        </w:rPr>
        <w:t>27%</w:t>
      </w:r>
      <w:r>
        <w:rPr>
          <w:rFonts w:ascii="Arial" w:cs="Arial" w:eastAsia="Arial" w:hAnsi="Arial"/>
          <w:sz w:val="9"/>
          <w:szCs w:val="9"/>
          <w:color w:val="FFFFFF"/>
          <w:vertAlign w:val="superscript"/>
        </w:rPr>
        <w:t>18%</w:t>
      </w:r>
    </w:p>
    <w:p>
      <w:pPr>
        <w:spacing w:after="0" w:line="182" w:lineRule="auto"/>
        <w:rPr>
          <w:sz w:val="20"/>
          <w:szCs w:val="20"/>
          <w:color w:val="auto"/>
        </w:rPr>
      </w:pPr>
      <w:r>
        <w:rPr>
          <w:rFonts w:ascii="Arial" w:cs="Arial" w:eastAsia="Arial" w:hAnsi="Arial"/>
          <w:sz w:val="7"/>
          <w:szCs w:val="7"/>
          <w:color w:val="FFFFFF"/>
        </w:rPr>
        <w:t>Automot</w:t>
      </w:r>
      <w:r>
        <w:rPr>
          <w:rFonts w:ascii="Arial" w:cs="Arial" w:eastAsia="Arial" w:hAnsi="Arial"/>
          <w:sz w:val="9"/>
          <w:szCs w:val="9"/>
          <w:color w:val="FFFFFF"/>
          <w:vertAlign w:val="superscript"/>
        </w:rPr>
        <w:t>Point</w:t>
      </w:r>
      <w:r>
        <w:rPr>
          <w:rFonts w:ascii="Arial" w:cs="Arial" w:eastAsia="Arial" w:hAnsi="Arial"/>
          <w:sz w:val="7"/>
          <w:szCs w:val="7"/>
          <w:color w:val="FFFFFF"/>
        </w:rPr>
        <w:t>ve CAFE Technology Industrial Tech Electrical Aerospace &amp; Defense Medical</w:t>
      </w:r>
    </w:p>
    <w:p>
      <w:pPr>
        <w:spacing w:after="0" w:line="206" w:lineRule="auto"/>
        <w:rPr>
          <w:sz w:val="20"/>
          <w:szCs w:val="20"/>
          <w:color w:val="auto"/>
        </w:rPr>
      </w:pPr>
      <w:r>
        <w:rPr>
          <w:rFonts w:ascii="Arial" w:cs="Arial" w:eastAsia="Arial" w:hAnsi="Arial"/>
          <w:sz w:val="4"/>
          <w:szCs w:val="4"/>
          <w:color w:val="FFFFFF"/>
        </w:rPr>
        <w:t>www.nninc.com*Mid-of2016 Guidance</w:t>
      </w:r>
    </w:p>
    <w:p>
      <w:pPr>
        <w:spacing w:after="0"/>
        <w:rPr>
          <w:sz w:val="20"/>
          <w:szCs w:val="20"/>
          <w:color w:val="auto"/>
        </w:rPr>
      </w:pPr>
      <w:r>
        <w:rPr>
          <w:rFonts w:ascii="Arial" w:cs="Arial" w:eastAsia="Arial" w:hAnsi="Arial"/>
          <w:sz w:val="13"/>
          <w:szCs w:val="13"/>
          <w:color w:val="FFFFFF"/>
        </w:rPr>
        <w:t>13</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2013Balanced Business Groups</w:t>
      </w:r>
    </w:p>
    <w:p>
      <w:pPr>
        <w:spacing w:after="0" w:line="204" w:lineRule="auto"/>
        <w:rPr>
          <w:sz w:val="20"/>
          <w:szCs w:val="20"/>
          <w:color w:val="auto"/>
        </w:rPr>
      </w:pPr>
      <w:r>
        <w:rPr>
          <w:rFonts w:ascii="Arial" w:cs="Arial" w:eastAsia="Arial" w:hAnsi="Arial"/>
          <w:sz w:val="4"/>
          <w:szCs w:val="4"/>
          <w:color w:val="FFFFFF"/>
        </w:rPr>
        <w:t>9%Segments as a % of revenue</w:t>
      </w:r>
    </w:p>
    <w:p>
      <w:pPr>
        <w:spacing w:after="0" w:line="189" w:lineRule="auto"/>
        <w:rPr>
          <w:sz w:val="20"/>
          <w:szCs w:val="20"/>
          <w:color w:val="auto"/>
        </w:rPr>
      </w:pPr>
      <w:r>
        <w:rPr>
          <w:rFonts w:ascii="Arial" w:cs="Arial" w:eastAsia="Arial" w:hAnsi="Arial"/>
          <w:sz w:val="8"/>
          <w:szCs w:val="8"/>
          <w:color w:val="FFFFFF"/>
        </w:rPr>
        <w:t>60%</w:t>
      </w:r>
      <w:r>
        <w:rPr>
          <w:rFonts w:ascii="Arial" w:cs="Arial" w:eastAsia="Arial" w:hAnsi="Arial"/>
          <w:sz w:val="13"/>
          <w:szCs w:val="13"/>
          <w:color w:val="FFFFFF"/>
          <w:vertAlign w:val="superscript"/>
        </w:rPr>
        <w:t>21%</w:t>
      </w:r>
    </w:p>
    <w:p>
      <w:pPr>
        <w:spacing w:after="0" w:line="206" w:lineRule="auto"/>
        <w:rPr>
          <w:sz w:val="20"/>
          <w:szCs w:val="20"/>
          <w:color w:val="auto"/>
        </w:rPr>
      </w:pPr>
      <w:r>
        <w:rPr>
          <w:rFonts w:ascii="Arial" w:cs="Arial" w:eastAsia="Arial" w:hAnsi="Arial"/>
          <w:sz w:val="4"/>
          <w:szCs w:val="4"/>
          <w:color w:val="FFFFFF"/>
        </w:rPr>
        <w:t>*MidMetal-PointBearingof 2016ComponentsGuidancePrecision Metal Components Plastic &amp; Rubber Components</w:t>
      </w:r>
    </w:p>
    <w:p>
      <w:pPr>
        <w:spacing w:after="0" w:line="205" w:lineRule="auto"/>
        <w:rPr>
          <w:sz w:val="20"/>
          <w:szCs w:val="20"/>
          <w:color w:val="auto"/>
        </w:rPr>
      </w:pPr>
      <w:r>
        <w:rPr>
          <w:rFonts w:ascii="Arial" w:cs="Arial" w:eastAsia="Arial" w:hAnsi="Arial"/>
          <w:sz w:val="4"/>
          <w:szCs w:val="4"/>
          <w:color w:val="FFFFFF"/>
        </w:rPr>
        <w:t>2016</w:t>
      </w:r>
    </w:p>
    <w:p>
      <w:pPr>
        <w:spacing w:after="0" w:line="189" w:lineRule="auto"/>
        <w:rPr>
          <w:sz w:val="20"/>
          <w:szCs w:val="20"/>
          <w:color w:val="auto"/>
        </w:rPr>
      </w:pPr>
      <w:r>
        <w:rPr>
          <w:rFonts w:ascii="Arial" w:cs="Arial" w:eastAsia="Arial" w:hAnsi="Arial"/>
          <w:sz w:val="8"/>
          <w:szCs w:val="8"/>
          <w:color w:val="FFFFFF"/>
        </w:rPr>
        <w:t>Segments</w:t>
      </w:r>
      <w:r>
        <w:rPr>
          <w:rFonts w:ascii="Arial" w:cs="Arial" w:eastAsia="Arial" w:hAnsi="Arial"/>
          <w:sz w:val="13"/>
          <w:szCs w:val="13"/>
          <w:color w:val="FFFFFF"/>
          <w:vertAlign w:val="subscript"/>
        </w:rPr>
        <w:t>33%</w:t>
      </w:r>
      <w:r>
        <w:rPr>
          <w:rFonts w:ascii="Arial" w:cs="Arial" w:eastAsia="Arial" w:hAnsi="Arial"/>
          <w:sz w:val="8"/>
          <w:szCs w:val="8"/>
          <w:color w:val="FFFFFF"/>
        </w:rPr>
        <w:t>1%36% as a % of revenue*</w:t>
      </w:r>
    </w:p>
    <w:p>
      <w:pPr>
        <w:spacing w:after="0" w:line="206"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14</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Sales Strategy</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The World of “More”</w:t>
      </w:r>
    </w:p>
    <w:p>
      <w:pPr>
        <w:spacing w:after="0"/>
        <w:tabs>
          <w:tab w:leader="none" w:pos="700" w:val="left"/>
        </w:tabs>
        <w:rPr>
          <w:sz w:val="20"/>
          <w:szCs w:val="20"/>
          <w:color w:val="auto"/>
        </w:rPr>
      </w:pPr>
      <w:r>
        <w:rPr>
          <w:rFonts w:ascii="Arial" w:cs="Arial" w:eastAsia="Arial" w:hAnsi="Arial"/>
          <w:sz w:val="1"/>
          <w:szCs w:val="1"/>
          <w:color w:val="FFFFFF"/>
        </w:rPr>
        <w:t>Global</w:t>
      </w:r>
      <w:r>
        <w:rPr>
          <w:sz w:val="20"/>
          <w:szCs w:val="20"/>
          <w:color w:val="auto"/>
        </w:rPr>
        <w:tab/>
      </w:r>
      <w:r>
        <w:rPr>
          <w:rFonts w:ascii="Arial" w:cs="Arial" w:eastAsia="Arial" w:hAnsi="Arial"/>
          <w:sz w:val="1"/>
          <w:szCs w:val="1"/>
          <w:color w:val="FFFFFF"/>
        </w:rPr>
        <w:t>Trend:</w:t>
      </w:r>
    </w:p>
    <w:p>
      <w:pPr>
        <w:ind w:left="400"/>
        <w:spacing w:after="0" w:line="204" w:lineRule="auto"/>
        <w:rPr>
          <w:sz w:val="20"/>
          <w:szCs w:val="20"/>
          <w:color w:val="auto"/>
        </w:rPr>
      </w:pPr>
      <w:r>
        <w:rPr>
          <w:rFonts w:ascii="Arial" w:cs="Arial" w:eastAsia="Arial" w:hAnsi="Arial"/>
          <w:sz w:val="4"/>
          <w:szCs w:val="4"/>
          <w:color w:val="FFFFFF"/>
        </w:rPr>
        <w:t>Mega</w:t>
      </w:r>
    </w:p>
    <w:p>
      <w:pPr>
        <w:spacing w:after="0" w:line="205" w:lineRule="auto"/>
        <w:rPr>
          <w:sz w:val="20"/>
          <w:szCs w:val="20"/>
          <w:color w:val="auto"/>
        </w:rPr>
      </w:pPr>
      <w:r>
        <w:rPr>
          <w:rFonts w:ascii="Arial" w:cs="Arial" w:eastAsia="Arial" w:hAnsi="Arial"/>
          <w:sz w:val="2"/>
          <w:szCs w:val="2"/>
          <w:color w:val="FFFFFF"/>
        </w:rPr>
        <w:t>W</w:t>
      </w:r>
      <w:r>
        <w:rPr>
          <w:rFonts w:ascii="Arial" w:cs="Arial" w:eastAsia="Arial" w:hAnsi="Arial"/>
          <w:sz w:val="4"/>
          <w:szCs w:val="4"/>
          <w:color w:val="FFFFFF"/>
          <w:vertAlign w:val="subscript"/>
        </w:rPr>
        <w:t>echnology</w:t>
      </w:r>
      <w:r>
        <w:rPr>
          <w:rFonts w:ascii="Arial" w:cs="Arial" w:eastAsia="Arial" w:hAnsi="Arial"/>
          <w:sz w:val="2"/>
          <w:szCs w:val="2"/>
          <w:color w:val="FFFFFF"/>
        </w:rPr>
        <w:t>livein world that demands More</w:t>
      </w:r>
    </w:p>
    <w:p>
      <w:pPr>
        <w:spacing w:after="0" w:line="182" w:lineRule="auto"/>
        <w:tabs>
          <w:tab w:leader="none" w:pos="640" w:val="left"/>
        </w:tabs>
        <w:rPr>
          <w:sz w:val="20"/>
          <w:szCs w:val="20"/>
          <w:color w:val="auto"/>
        </w:rPr>
      </w:pPr>
      <w:r>
        <w:rPr>
          <w:rFonts w:ascii="Arial" w:cs="Arial" w:eastAsia="Arial" w:hAnsi="Arial"/>
          <w:sz w:val="9"/>
          <w:szCs w:val="9"/>
          <w:color w:val="FFFFFF"/>
        </w:rPr>
        <w:t>T</w:t>
      </w:r>
      <w:r>
        <w:rPr>
          <w:sz w:val="20"/>
          <w:szCs w:val="20"/>
          <w:color w:val="auto"/>
        </w:rPr>
        <w:tab/>
      </w:r>
      <w:r>
        <w:rPr>
          <w:rFonts w:ascii="Arial" w:cs="Arial" w:eastAsia="Arial" w:hAnsi="Arial"/>
          <w:sz w:val="9"/>
          <w:szCs w:val="9"/>
          <w:color w:val="FFFFFF"/>
        </w:rPr>
        <w:t>advancements are needed to achieve the next levels of More</w:t>
      </w:r>
    </w:p>
    <w:p>
      <w:pPr>
        <w:spacing w:after="0" w:line="206" w:lineRule="auto"/>
        <w:rPr>
          <w:sz w:val="20"/>
          <w:szCs w:val="20"/>
          <w:color w:val="auto"/>
        </w:rPr>
      </w:pPr>
      <w:r>
        <w:rPr>
          <w:rFonts w:ascii="Arial" w:cs="Arial" w:eastAsia="Arial" w:hAnsi="Arial"/>
          <w:sz w:val="4"/>
          <w:szCs w:val="4"/>
          <w:color w:val="FFFFFF"/>
        </w:rPr>
        <w:t>www.nninc.comMoredrivesour business today and will continue to do so well into the future</w:t>
      </w:r>
    </w:p>
    <w:p>
      <w:pPr>
        <w:spacing w:after="0"/>
        <w:rPr>
          <w:sz w:val="20"/>
          <w:szCs w:val="20"/>
          <w:color w:val="auto"/>
        </w:rPr>
      </w:pPr>
      <w:r>
        <w:rPr>
          <w:rFonts w:ascii="Arial" w:cs="Arial" w:eastAsia="Arial" w:hAnsi="Arial"/>
          <w:sz w:val="13"/>
          <w:szCs w:val="13"/>
          <w:color w:val="FFFFFF"/>
        </w:rPr>
        <w:t>16</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Our Customers are working on the Next Big Thing</w:t>
      </w:r>
    </w:p>
    <w:p>
      <w:pPr>
        <w:spacing w:after="0" w:line="182" w:lineRule="auto"/>
        <w:rPr>
          <w:sz w:val="20"/>
          <w:szCs w:val="20"/>
          <w:color w:val="auto"/>
        </w:rPr>
      </w:pPr>
      <w:r>
        <w:rPr>
          <w:rFonts w:ascii="Arial" w:cs="Arial" w:eastAsia="Arial" w:hAnsi="Arial"/>
          <w:sz w:val="9"/>
          <w:szCs w:val="9"/>
          <w:color w:val="FFFFFF"/>
        </w:rPr>
        <w:t>Their new products and technologies need to satisfy the “More”</w:t>
      </w:r>
    </w:p>
    <w:p>
      <w:pPr>
        <w:spacing w:after="0" w:line="205" w:lineRule="auto"/>
        <w:rPr>
          <w:sz w:val="20"/>
          <w:szCs w:val="20"/>
          <w:color w:val="auto"/>
        </w:rPr>
      </w:pPr>
      <w:r>
        <w:rPr>
          <w:rFonts w:ascii="Arial" w:cs="Arial" w:eastAsia="Arial" w:hAnsi="Arial"/>
          <w:sz w:val="2"/>
          <w:szCs w:val="2"/>
          <w:color w:val="FFFFFF"/>
        </w:rPr>
        <w:t>RequiringNewproduct</w:t>
      </w:r>
      <w:r>
        <w:rPr>
          <w:rFonts w:ascii="Arial" w:cs="Arial" w:eastAsia="Arial" w:hAnsi="Arial"/>
          <w:sz w:val="4"/>
          <w:szCs w:val="4"/>
          <w:color w:val="FFFFFF"/>
          <w:vertAlign w:val="superscript"/>
        </w:rPr>
        <w:t>global</w:t>
      </w:r>
      <w:r>
        <w:rPr>
          <w:rFonts w:ascii="Arial" w:cs="Arial" w:eastAsia="Arial" w:hAnsi="Arial"/>
          <w:sz w:val="2"/>
          <w:szCs w:val="2"/>
          <w:color w:val="FFFFFF"/>
        </w:rPr>
        <w:t>unprecedentedtechnologiesprecisionarepushinglevelsbeyond known boundaries</w:t>
      </w:r>
    </w:p>
    <w:p>
      <w:pPr>
        <w:ind w:right="5099"/>
        <w:spacing w:after="0"/>
        <w:rPr>
          <w:sz w:val="20"/>
          <w:szCs w:val="20"/>
          <w:color w:val="auto"/>
        </w:rPr>
      </w:pPr>
      <w:r>
        <w:rPr>
          <w:rFonts w:ascii="Arial" w:cs="Arial" w:eastAsia="Arial" w:hAnsi="Arial"/>
          <w:sz w:val="8"/>
          <w:szCs w:val="8"/>
          <w:color w:val="FFFFFF"/>
        </w:rPr>
        <w:t>The NN platform of design, process, and optimization technologies across many industries Making the seemingly impossible….Possible</w:t>
      </w:r>
    </w:p>
    <w:p>
      <w:pPr>
        <w:spacing w:after="0" w:line="194" w:lineRule="auto"/>
        <w:rPr>
          <w:sz w:val="20"/>
          <w:szCs w:val="20"/>
          <w:color w:val="auto"/>
        </w:rPr>
      </w:pPr>
      <w:r>
        <w:rPr>
          <w:rFonts w:ascii="Arial" w:cs="Arial" w:eastAsia="Arial" w:hAnsi="Arial"/>
          <w:sz w:val="7"/>
          <w:szCs w:val="7"/>
          <w:color w:val="FFFFFF"/>
        </w:rPr>
        <w:t>www.nninc.comEngineeredsolutions through</w:t>
      </w:r>
    </w:p>
    <w:p>
      <w:pPr>
        <w:spacing w:after="0"/>
        <w:rPr>
          <w:sz w:val="20"/>
          <w:szCs w:val="20"/>
          <w:color w:val="auto"/>
        </w:rPr>
      </w:pPr>
      <w:r>
        <w:rPr>
          <w:rFonts w:ascii="Arial" w:cs="Arial" w:eastAsia="Arial" w:hAnsi="Arial"/>
          <w:sz w:val="13"/>
          <w:szCs w:val="13"/>
          <w:color w:val="FFFFFF"/>
        </w:rPr>
        <w:t>17</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color w:val="FFFFFF"/>
        </w:rPr>
        <w:t>R&amp;D:Engineered Solutions: How we go to market</w:t>
      </w:r>
    </w:p>
    <w:p>
      <w:pPr>
        <w:spacing w:after="0" w:line="182" w:lineRule="auto"/>
        <w:rPr>
          <w:sz w:val="20"/>
          <w:szCs w:val="20"/>
          <w:color w:val="auto"/>
        </w:rPr>
      </w:pPr>
      <w:r>
        <w:rPr>
          <w:rFonts w:ascii="Arial" w:cs="Arial" w:eastAsia="Arial" w:hAnsi="Arial"/>
          <w:sz w:val="9"/>
          <w:szCs w:val="9"/>
          <w:color w:val="FFFFFF"/>
        </w:rPr>
        <w:t>In“The-DepthNextCustomerBigThing”Relationships</w:t>
      </w:r>
    </w:p>
    <w:p>
      <w:pPr>
        <w:spacing w:after="0" w:line="205" w:lineRule="auto"/>
        <w:rPr>
          <w:sz w:val="20"/>
          <w:szCs w:val="20"/>
          <w:color w:val="auto"/>
        </w:rPr>
      </w:pPr>
      <w:r>
        <w:rPr>
          <w:rFonts w:ascii="Arial" w:cs="Arial" w:eastAsia="Arial" w:hAnsi="Arial"/>
          <w:sz w:val="4"/>
          <w:szCs w:val="4"/>
          <w:color w:val="FFFFFF"/>
        </w:rPr>
        <w:t>Development, Validation &amp; Continuous Improvement</w:t>
      </w:r>
    </w:p>
    <w:p>
      <w:pPr>
        <w:spacing w:after="0" w:line="234" w:lineRule="auto"/>
        <w:rPr>
          <w:sz w:val="20"/>
          <w:szCs w:val="20"/>
          <w:color w:val="auto"/>
        </w:rPr>
      </w:pPr>
      <w:r>
        <w:rPr>
          <w:rFonts w:ascii="Arial" w:cs="Arial" w:eastAsia="Arial" w:hAnsi="Arial"/>
          <w:sz w:val="7"/>
          <w:szCs w:val="7"/>
          <w:color w:val="FFFFFF"/>
        </w:rPr>
        <w:t>LeverageIntegralparttechnologyofourcustomerplatform:projectEngineeredteams Solutions</w:t>
      </w:r>
    </w:p>
    <w:p>
      <w:pPr>
        <w:spacing w:after="0" w:line="205" w:lineRule="auto"/>
        <w:rPr>
          <w:sz w:val="20"/>
          <w:szCs w:val="20"/>
          <w:color w:val="auto"/>
        </w:rPr>
      </w:pPr>
      <w:r>
        <w:rPr>
          <w:rFonts w:ascii="Arial" w:cs="Arial" w:eastAsia="Arial" w:hAnsi="Arial"/>
          <w:sz w:val="4"/>
          <w:szCs w:val="4"/>
          <w:color w:val="FFFFFF"/>
        </w:rPr>
        <w:t>www.nninc.comIdentifytechnical gaps: Process &amp; Design analysis</w:t>
      </w:r>
    </w:p>
    <w:p>
      <w:pPr>
        <w:spacing w:after="0"/>
        <w:rPr>
          <w:sz w:val="20"/>
          <w:szCs w:val="20"/>
          <w:color w:val="auto"/>
        </w:rPr>
      </w:pPr>
      <w:r>
        <w:rPr>
          <w:rFonts w:ascii="Arial" w:cs="Arial" w:eastAsia="Arial" w:hAnsi="Arial"/>
          <w:sz w:val="13"/>
          <w:szCs w:val="13"/>
          <w:color w:val="FFFFFF"/>
        </w:rPr>
        <w:t>18</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gridSpan w:val="2"/>
          </w:tcPr>
          <w:p>
            <w:pPr>
              <w:spacing w:after="0"/>
              <w:rPr>
                <w:sz w:val="20"/>
                <w:szCs w:val="20"/>
                <w:color w:val="auto"/>
              </w:rPr>
            </w:pPr>
            <w:r>
              <w:rPr>
                <w:rFonts w:ascii="Arial" w:cs="Arial" w:eastAsia="Arial" w:hAnsi="Arial"/>
                <w:sz w:val="13"/>
                <w:szCs w:val="13"/>
                <w:color w:val="FFFFFF"/>
              </w:rPr>
              <w:t>Innovative Solutions</w:t>
            </w: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780" w:type="dxa"/>
            <w:vAlign w:val="bottom"/>
          </w:tcPr>
          <w:p>
            <w:pPr>
              <w:spacing w:after="0" w:line="40" w:lineRule="exact"/>
              <w:rPr>
                <w:sz w:val="20"/>
                <w:szCs w:val="20"/>
                <w:color w:val="auto"/>
              </w:rPr>
            </w:pPr>
            <w:r>
              <w:rPr>
                <w:rFonts w:ascii="Arial" w:cs="Arial" w:eastAsia="Arial" w:hAnsi="Arial"/>
                <w:sz w:val="4"/>
                <w:szCs w:val="4"/>
                <w:color w:val="FFFFFF"/>
              </w:rPr>
              <w:t>Medical</w:t>
            </w:r>
          </w:p>
        </w:tc>
        <w:tc>
          <w:tcPr>
            <w:tcW w:w="6680" w:type="dxa"/>
            <w:vAlign w:val="bottom"/>
            <w:gridSpan w:val="4"/>
            <w:vMerge w:val="restart"/>
          </w:tcPr>
          <w:p>
            <w:pPr>
              <w:ind w:left="60"/>
              <w:spacing w:after="0" w:line="79" w:lineRule="exact"/>
              <w:rPr>
                <w:sz w:val="20"/>
                <w:szCs w:val="20"/>
                <w:color w:val="auto"/>
              </w:rPr>
            </w:pPr>
            <w:r>
              <w:rPr>
                <w:rFonts w:ascii="Arial" w:cs="Arial" w:eastAsia="Arial" w:hAnsi="Arial"/>
                <w:sz w:val="9"/>
                <w:szCs w:val="9"/>
                <w:color w:val="FFFFFF"/>
              </w:rPr>
              <w:t>leading medical device company had an idea for  more functional device</w:t>
            </w:r>
          </w:p>
        </w:tc>
        <w:tc>
          <w:tcPr>
            <w:tcW w:w="0" w:type="dxa"/>
            <w:vAlign w:val="bottom"/>
          </w:tcPr>
          <w:p>
            <w:pPr>
              <w:spacing w:after="0" w:line="20" w:lineRule="exact"/>
              <w:rPr>
                <w:sz w:val="1"/>
                <w:szCs w:val="1"/>
                <w:color w:val="auto"/>
              </w:rPr>
            </w:pPr>
          </w:p>
        </w:tc>
      </w:tr>
      <w:tr>
        <w:trPr>
          <w:trHeight w:val="39"/>
        </w:trPr>
        <w:tc>
          <w:tcPr>
            <w:tcW w:w="780" w:type="dxa"/>
            <w:vAlign w:val="bottom"/>
          </w:tcPr>
          <w:p>
            <w:pPr>
              <w:ind w:left="140"/>
              <w:spacing w:after="0" w:line="40" w:lineRule="exact"/>
              <w:rPr>
                <w:sz w:val="20"/>
                <w:szCs w:val="20"/>
                <w:color w:val="auto"/>
              </w:rPr>
            </w:pPr>
            <w:r>
              <w:rPr>
                <w:rFonts w:ascii="Arial" w:cs="Arial" w:eastAsia="Arial" w:hAnsi="Arial"/>
                <w:sz w:val="4"/>
                <w:szCs w:val="4"/>
                <w:color w:val="FFFFFF"/>
              </w:rPr>
              <w:t>Doctor and</w:t>
            </w:r>
          </w:p>
        </w:tc>
        <w:tc>
          <w:tcPr>
            <w:tcW w:w="6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620" w:type="dxa"/>
            <w:vAlign w:val="bottom"/>
            <w:gridSpan w:val="4"/>
          </w:tcPr>
          <w:p>
            <w:pPr>
              <w:spacing w:after="0" w:line="40" w:lineRule="exact"/>
              <w:rPr>
                <w:sz w:val="20"/>
                <w:szCs w:val="20"/>
                <w:color w:val="auto"/>
              </w:rPr>
            </w:pPr>
            <w:r>
              <w:rPr>
                <w:rFonts w:ascii="Arial" w:cs="Arial" w:eastAsia="Arial" w:hAnsi="Arial"/>
                <w:sz w:val="4"/>
                <w:szCs w:val="4"/>
                <w:color w:val="FFFFFF"/>
              </w:rPr>
              <w:t>A production strategy eluded them and exotic material costs created</w:t>
            </w:r>
          </w:p>
        </w:tc>
        <w:tc>
          <w:tcPr>
            <w:tcW w:w="3840" w:type="dxa"/>
            <w:vAlign w:val="bottom"/>
          </w:tcPr>
          <w:p>
            <w:pPr>
              <w:ind w:left="60"/>
              <w:spacing w:after="0" w:line="40" w:lineRule="exact"/>
              <w:rPr>
                <w:sz w:val="20"/>
                <w:szCs w:val="20"/>
                <w:color w:val="auto"/>
              </w:rPr>
            </w:pPr>
            <w:r>
              <w:rPr>
                <w:rFonts w:ascii="Arial" w:cs="Arial" w:eastAsia="Arial" w:hAnsi="Arial"/>
                <w:sz w:val="4"/>
                <w:szCs w:val="4"/>
                <w:color w:val="FFFFFF"/>
              </w:rPr>
              <w:t>cost road block</w:t>
            </w:r>
          </w:p>
        </w:tc>
        <w:tc>
          <w:tcPr>
            <w:tcW w:w="0" w:type="dxa"/>
            <w:vAlign w:val="bottom"/>
          </w:tcPr>
          <w:p>
            <w:pPr>
              <w:spacing w:after="0" w:line="20" w:lineRule="exact"/>
              <w:rPr>
                <w:sz w:val="1"/>
                <w:szCs w:val="1"/>
                <w:color w:val="auto"/>
              </w:rPr>
            </w:pPr>
          </w:p>
        </w:tc>
      </w:tr>
      <w:tr>
        <w:trPr>
          <w:trHeight w:val="39"/>
        </w:trPr>
        <w:tc>
          <w:tcPr>
            <w:tcW w:w="7460" w:type="dxa"/>
            <w:vAlign w:val="bottom"/>
            <w:gridSpan w:val="5"/>
          </w:tcPr>
          <w:p>
            <w:pPr>
              <w:spacing w:after="0" w:line="40" w:lineRule="exact"/>
              <w:rPr>
                <w:sz w:val="20"/>
                <w:szCs w:val="20"/>
                <w:color w:val="auto"/>
              </w:rPr>
            </w:pPr>
            <w:r>
              <w:rPr>
                <w:rFonts w:ascii="Arial" w:cs="Arial" w:eastAsia="Arial" w:hAnsi="Arial"/>
                <w:sz w:val="4"/>
                <w:szCs w:val="4"/>
                <w:color w:val="FFFFFF"/>
              </w:rPr>
              <w:t>NN helped optimize the design with more cost effective materials and developed an efficient production process to make this product possible</w:t>
            </w:r>
          </w:p>
        </w:tc>
        <w:tc>
          <w:tcPr>
            <w:tcW w:w="0" w:type="dxa"/>
            <w:vAlign w:val="bottom"/>
          </w:tcPr>
          <w:p>
            <w:pPr>
              <w:spacing w:after="0" w:line="20" w:lineRule="exact"/>
              <w:rPr>
                <w:sz w:val="1"/>
                <w:szCs w:val="1"/>
                <w:color w:val="auto"/>
              </w:rPr>
            </w:pPr>
          </w:p>
        </w:tc>
      </w:tr>
      <w:tr>
        <w:trPr>
          <w:trHeight w:val="39"/>
        </w:trPr>
        <w:tc>
          <w:tcPr>
            <w:tcW w:w="780" w:type="dxa"/>
            <w:vAlign w:val="bottom"/>
          </w:tcPr>
          <w:p>
            <w:pPr>
              <w:ind w:left="100"/>
              <w:spacing w:after="0" w:line="40" w:lineRule="exact"/>
              <w:rPr>
                <w:sz w:val="20"/>
                <w:szCs w:val="20"/>
                <w:color w:val="auto"/>
              </w:rPr>
            </w:pPr>
            <w:r>
              <w:rPr>
                <w:rFonts w:ascii="Arial" w:cs="Arial" w:eastAsia="Arial" w:hAnsi="Arial"/>
                <w:sz w:val="4"/>
                <w:szCs w:val="4"/>
                <w:color w:val="FFFFFF"/>
              </w:rPr>
              <w:t>utomotive</w:t>
            </w: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780" w:type="dxa"/>
            <w:vAlign w:val="bottom"/>
            <w:gridSpan w:val="2"/>
            <w:vMerge w:val="restart"/>
          </w:tcPr>
          <w:p>
            <w:pPr>
              <w:ind w:left="280"/>
              <w:spacing w:after="0" w:line="79" w:lineRule="exact"/>
              <w:rPr>
                <w:sz w:val="20"/>
                <w:szCs w:val="20"/>
                <w:color w:val="auto"/>
              </w:rPr>
            </w:pPr>
            <w:r>
              <w:rPr>
                <w:rFonts w:ascii="Arial" w:cs="Arial" w:eastAsia="Arial" w:hAnsi="Arial"/>
                <w:sz w:val="9"/>
                <w:szCs w:val="9"/>
                <w:color w:val="FFFFFF"/>
              </w:rPr>
              <w:t>an all new more fuel efficient V8.</w:t>
            </w:r>
          </w:p>
        </w:tc>
        <w:tc>
          <w:tcPr>
            <w:tcW w:w="0" w:type="dxa"/>
            <w:vAlign w:val="bottom"/>
          </w:tcPr>
          <w:p>
            <w:pPr>
              <w:spacing w:after="0" w:line="20" w:lineRule="exact"/>
              <w:rPr>
                <w:sz w:val="1"/>
                <w:szCs w:val="1"/>
                <w:color w:val="auto"/>
              </w:rPr>
            </w:pPr>
          </w:p>
        </w:tc>
      </w:tr>
      <w:tr>
        <w:trPr>
          <w:trHeight w:val="39"/>
        </w:trPr>
        <w:tc>
          <w:tcPr>
            <w:tcW w:w="1680" w:type="dxa"/>
            <w:vAlign w:val="bottom"/>
            <w:gridSpan w:val="3"/>
          </w:tcPr>
          <w:p>
            <w:pPr>
              <w:spacing w:after="0" w:line="40" w:lineRule="exact"/>
              <w:rPr>
                <w:sz w:val="20"/>
                <w:szCs w:val="20"/>
                <w:color w:val="auto"/>
              </w:rPr>
            </w:pPr>
            <w:r>
              <w:rPr>
                <w:rFonts w:ascii="Arial" w:cs="Arial" w:eastAsia="Arial" w:hAnsi="Arial"/>
                <w:sz w:val="4"/>
                <w:szCs w:val="4"/>
                <w:color w:val="FFFFFF"/>
              </w:rPr>
              <w:t>An Automotive OEM was</w:t>
            </w:r>
          </w:p>
        </w:tc>
        <w:tc>
          <w:tcPr>
            <w:tcW w:w="5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460" w:type="dxa"/>
            <w:vAlign w:val="bottom"/>
            <w:gridSpan w:val="5"/>
          </w:tcPr>
          <w:p>
            <w:pPr>
              <w:spacing w:after="0" w:line="40" w:lineRule="exact"/>
              <w:rPr>
                <w:sz w:val="20"/>
                <w:szCs w:val="20"/>
                <w:color w:val="auto"/>
              </w:rPr>
            </w:pPr>
            <w:r>
              <w:rPr>
                <w:rFonts w:ascii="Arial" w:cs="Arial" w:eastAsia="Arial" w:hAnsi="Arial"/>
                <w:sz w:val="4"/>
                <w:szCs w:val="4"/>
                <w:color w:val="FFFFFF"/>
              </w:rPr>
              <w:t>Ultra pr cise hole location launchingandpharmaceutical like quality process was required</w:t>
            </w:r>
          </w:p>
        </w:tc>
        <w:tc>
          <w:tcPr>
            <w:tcW w:w="0" w:type="dxa"/>
            <w:vAlign w:val="bottom"/>
          </w:tcPr>
          <w:p>
            <w:pPr>
              <w:spacing w:after="0" w:line="20" w:lineRule="exact"/>
              <w:rPr>
                <w:sz w:val="1"/>
                <w:szCs w:val="1"/>
                <w:color w:val="auto"/>
              </w:rPr>
            </w:pPr>
          </w:p>
        </w:tc>
      </w:tr>
      <w:tr>
        <w:trPr>
          <w:trHeight w:val="39"/>
        </w:trPr>
        <w:tc>
          <w:tcPr>
            <w:tcW w:w="7460" w:type="dxa"/>
            <w:vAlign w:val="bottom"/>
            <w:gridSpan w:val="5"/>
          </w:tcPr>
          <w:p>
            <w:pPr>
              <w:spacing w:after="0" w:line="40" w:lineRule="exact"/>
              <w:rPr>
                <w:sz w:val="20"/>
                <w:szCs w:val="20"/>
                <w:color w:val="auto"/>
              </w:rPr>
            </w:pPr>
            <w:r>
              <w:rPr>
                <w:rFonts w:ascii="Arial" w:cs="Arial" w:eastAsia="Arial" w:hAnsi="Arial"/>
                <w:sz w:val="4"/>
                <w:szCs w:val="4"/>
                <w:color w:val="FFFFFF"/>
              </w:rPr>
              <w:t>NN developed a custom machining center with more precision and 100% inspection 30 million shipped with 0.01 PPM</w:t>
            </w:r>
          </w:p>
        </w:tc>
        <w:tc>
          <w:tcPr>
            <w:tcW w:w="0" w:type="dxa"/>
            <w:vAlign w:val="bottom"/>
          </w:tcPr>
          <w:p>
            <w:pPr>
              <w:spacing w:after="0" w:line="20" w:lineRule="exact"/>
              <w:rPr>
                <w:sz w:val="1"/>
                <w:szCs w:val="1"/>
                <w:color w:val="auto"/>
              </w:rPr>
            </w:pPr>
          </w:p>
        </w:tc>
      </w:tr>
      <w:tr>
        <w:trPr>
          <w:trHeight w:val="39"/>
        </w:trPr>
        <w:tc>
          <w:tcPr>
            <w:tcW w:w="780" w:type="dxa"/>
            <w:vAlign w:val="bottom"/>
          </w:tcPr>
          <w:p>
            <w:pPr>
              <w:spacing w:after="0" w:line="40" w:lineRule="exact"/>
              <w:rPr>
                <w:sz w:val="20"/>
                <w:szCs w:val="20"/>
                <w:color w:val="auto"/>
              </w:rPr>
            </w:pPr>
            <w:r>
              <w:rPr>
                <w:rFonts w:ascii="Arial" w:cs="Arial" w:eastAsia="Arial" w:hAnsi="Arial"/>
                <w:sz w:val="4"/>
                <w:szCs w:val="4"/>
                <w:color w:val="FFFFFF"/>
              </w:rPr>
              <w:t>Electrical</w:t>
            </w: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460" w:type="dxa"/>
            <w:vAlign w:val="bottom"/>
            <w:gridSpan w:val="5"/>
          </w:tcPr>
          <w:p>
            <w:pPr>
              <w:spacing w:after="0" w:line="40" w:lineRule="exact"/>
              <w:rPr>
                <w:sz w:val="20"/>
                <w:szCs w:val="20"/>
                <w:color w:val="auto"/>
              </w:rPr>
            </w:pPr>
            <w:r>
              <w:rPr>
                <w:rFonts w:ascii="Arial" w:cs="Arial" w:eastAsia="Arial" w:hAnsi="Arial"/>
                <w:sz w:val="4"/>
                <w:szCs w:val="4"/>
                <w:color w:val="FFFFFF"/>
              </w:rPr>
              <w:t>A Leading smart meter manufacturer asked us to provide one component. What they needed was more.</w:t>
            </w:r>
          </w:p>
        </w:tc>
        <w:tc>
          <w:tcPr>
            <w:tcW w:w="0" w:type="dxa"/>
            <w:vAlign w:val="bottom"/>
          </w:tcPr>
          <w:p>
            <w:pPr>
              <w:spacing w:after="0" w:line="20" w:lineRule="exact"/>
              <w:rPr>
                <w:sz w:val="1"/>
                <w:szCs w:val="1"/>
                <w:color w:val="auto"/>
              </w:rPr>
            </w:pPr>
          </w:p>
        </w:tc>
      </w:tr>
      <w:tr>
        <w:trPr>
          <w:trHeight w:val="39"/>
        </w:trPr>
        <w:tc>
          <w:tcPr>
            <w:tcW w:w="780" w:type="dxa"/>
            <w:vAlign w:val="bottom"/>
          </w:tcPr>
          <w:p>
            <w:pPr>
              <w:spacing w:after="0" w:line="40" w:lineRule="exact"/>
              <w:rPr>
                <w:sz w:val="20"/>
                <w:szCs w:val="20"/>
                <w:color w:val="auto"/>
              </w:rPr>
            </w:pPr>
            <w:r>
              <w:rPr>
                <w:rFonts w:ascii="Arial" w:cs="Arial" w:eastAsia="Arial" w:hAnsi="Arial"/>
                <w:sz w:val="4"/>
                <w:szCs w:val="4"/>
                <w:color w:val="FFFFFF"/>
              </w:rPr>
              <w:t>NN used our</w:t>
            </w:r>
          </w:p>
        </w:tc>
        <w:tc>
          <w:tcPr>
            <w:tcW w:w="460" w:type="dxa"/>
            <w:vAlign w:val="bottom"/>
          </w:tcPr>
          <w:p>
            <w:pPr>
              <w:spacing w:after="0"/>
              <w:rPr>
                <w:sz w:val="3"/>
                <w:szCs w:val="3"/>
                <w:color w:val="auto"/>
              </w:rPr>
            </w:pPr>
          </w:p>
        </w:tc>
        <w:tc>
          <w:tcPr>
            <w:tcW w:w="6220" w:type="dxa"/>
            <w:vAlign w:val="bottom"/>
            <w:gridSpan w:val="3"/>
          </w:tcPr>
          <w:p>
            <w:pPr>
              <w:ind w:left="80"/>
              <w:spacing w:after="0" w:line="40" w:lineRule="exact"/>
              <w:rPr>
                <w:sz w:val="20"/>
                <w:szCs w:val="20"/>
                <w:color w:val="auto"/>
              </w:rPr>
            </w:pPr>
            <w:r>
              <w:rPr>
                <w:rFonts w:ascii="Arial" w:cs="Arial" w:eastAsia="Arial" w:hAnsi="Arial"/>
                <w:sz w:val="4"/>
                <w:szCs w:val="4"/>
                <w:color w:val="FFFFFF"/>
              </w:rPr>
              <w:t>knowledge, design expertise and process technologies to offer the entire contact assembly.</w:t>
            </w:r>
          </w:p>
        </w:tc>
        <w:tc>
          <w:tcPr>
            <w:tcW w:w="0" w:type="dxa"/>
            <w:vAlign w:val="bottom"/>
          </w:tcPr>
          <w:p>
            <w:pPr>
              <w:spacing w:after="0" w:line="20" w:lineRule="exact"/>
              <w:rPr>
                <w:sz w:val="1"/>
                <w:szCs w:val="1"/>
                <w:color w:val="auto"/>
              </w:rPr>
            </w:pPr>
          </w:p>
        </w:tc>
      </w:tr>
      <w:tr>
        <w:trPr>
          <w:trHeight w:val="39"/>
        </w:trPr>
        <w:tc>
          <w:tcPr>
            <w:tcW w:w="3620" w:type="dxa"/>
            <w:vAlign w:val="bottom"/>
            <w:gridSpan w:val="4"/>
          </w:tcPr>
          <w:p>
            <w:pPr>
              <w:spacing w:after="0" w:line="40" w:lineRule="exact"/>
              <w:rPr>
                <w:sz w:val="20"/>
                <w:szCs w:val="20"/>
                <w:color w:val="auto"/>
              </w:rPr>
            </w:pPr>
            <w:r>
              <w:rPr>
                <w:rFonts w:ascii="Arial" w:cs="Arial" w:eastAsia="Arial" w:hAnsi="Arial"/>
                <w:sz w:val="4"/>
                <w:szCs w:val="4"/>
                <w:color w:val="FFFFFF"/>
              </w:rPr>
              <w:t>Customer obtainedapplicationmore robust design assembly from one source</w:t>
            </w:r>
          </w:p>
        </w:tc>
        <w:tc>
          <w:tcPr>
            <w:tcW w:w="3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40" w:type="dxa"/>
            <w:vAlign w:val="bottom"/>
            <w:gridSpan w:val="2"/>
          </w:tcPr>
          <w:p>
            <w:pPr>
              <w:spacing w:after="0" w:line="40" w:lineRule="exact"/>
              <w:rPr>
                <w:sz w:val="20"/>
                <w:szCs w:val="20"/>
                <w:color w:val="auto"/>
              </w:rPr>
            </w:pPr>
            <w:r>
              <w:rPr>
                <w:rFonts w:ascii="Arial" w:cs="Arial" w:eastAsia="Arial" w:hAnsi="Arial"/>
                <w:sz w:val="4"/>
                <w:szCs w:val="4"/>
                <w:color w:val="FFFFFF"/>
              </w:rPr>
              <w:t>Industrial Technology</w:t>
            </w:r>
          </w:p>
        </w:tc>
        <w:tc>
          <w:tcPr>
            <w:tcW w:w="4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840" w:type="dxa"/>
            <w:vAlign w:val="bottom"/>
            <w:vMerge w:val="restart"/>
          </w:tcPr>
          <w:p>
            <w:pPr>
              <w:ind w:left="40"/>
              <w:spacing w:after="0" w:line="38" w:lineRule="exact"/>
              <w:rPr>
                <w:sz w:val="20"/>
                <w:szCs w:val="20"/>
                <w:color w:val="auto"/>
              </w:rPr>
            </w:pPr>
            <w:r>
              <w:rPr>
                <w:rFonts w:ascii="Arial" w:cs="Arial" w:eastAsia="Arial" w:hAnsi="Arial"/>
                <w:sz w:val="4"/>
                <w:szCs w:val="4"/>
                <w:color w:val="FFFFFF"/>
              </w:rPr>
              <w:t>more efficient product</w:t>
            </w:r>
          </w:p>
        </w:tc>
        <w:tc>
          <w:tcPr>
            <w:tcW w:w="0" w:type="dxa"/>
            <w:vAlign w:val="bottom"/>
          </w:tcPr>
          <w:p>
            <w:pPr>
              <w:spacing w:after="0" w:line="20" w:lineRule="exact"/>
              <w:rPr>
                <w:sz w:val="1"/>
                <w:szCs w:val="1"/>
                <w:color w:val="auto"/>
              </w:rPr>
            </w:pPr>
          </w:p>
        </w:tc>
      </w:tr>
      <w:tr>
        <w:trPr>
          <w:trHeight w:val="0"/>
        </w:trPr>
        <w:tc>
          <w:tcPr>
            <w:tcW w:w="3620" w:type="dxa"/>
            <w:vAlign w:val="bottom"/>
            <w:gridSpan w:val="4"/>
          </w:tcPr>
          <w:p>
            <w:pPr>
              <w:spacing w:after="0" w:line="78" w:lineRule="exact"/>
              <w:rPr>
                <w:sz w:val="20"/>
                <w:szCs w:val="20"/>
                <w:color w:val="auto"/>
              </w:rPr>
            </w:pPr>
            <w:r>
              <w:rPr>
                <w:rFonts w:ascii="Arial" w:cs="Arial" w:eastAsia="Arial" w:hAnsi="Arial"/>
                <w:sz w:val="8"/>
                <w:szCs w:val="8"/>
                <w:color w:val="FFFFFF"/>
              </w:rPr>
              <w:t>A producer of residential A/C compressors was preparing to launch</w:t>
            </w:r>
          </w:p>
        </w:tc>
        <w:tc>
          <w:tcPr>
            <w:tcW w:w="3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520"/>
        <w:spacing w:after="0" w:line="24" w:lineRule="auto"/>
        <w:rPr>
          <w:sz w:val="20"/>
          <w:szCs w:val="20"/>
          <w:color w:val="auto"/>
        </w:rPr>
      </w:pPr>
      <w:r>
        <w:rPr>
          <w:rFonts w:ascii="Arial" w:cs="Arial" w:eastAsia="Arial" w:hAnsi="Arial"/>
          <w:sz w:val="1"/>
          <w:szCs w:val="1"/>
          <w:color w:val="FFFFFF"/>
        </w:rPr>
        <w:t>have</w:t>
      </w:r>
    </w:p>
    <w:p>
      <w:pPr>
        <w:spacing w:after="0" w:line="182" w:lineRule="auto"/>
        <w:rPr>
          <w:sz w:val="20"/>
          <w:szCs w:val="20"/>
          <w:color w:val="auto"/>
        </w:rPr>
      </w:pPr>
      <w:r>
        <w:rPr>
          <w:rFonts w:ascii="Arial" w:cs="Arial" w:eastAsia="Arial" w:hAnsi="Arial"/>
          <w:sz w:val="9"/>
          <w:szCs w:val="9"/>
          <w:color w:val="FFFFFF"/>
        </w:rPr>
        <w:t>NNEncounteredprovided aa durabilitymorerobustconcerndesignwithand awassafetyablevalvetoproducewhich thewouldentire assemblydelayed the program</w:t>
      </w:r>
    </w:p>
    <w:p>
      <w:pPr>
        <w:spacing w:after="0" w:line="205" w:lineRule="auto"/>
        <w:rPr>
          <w:sz w:val="20"/>
          <w:szCs w:val="20"/>
          <w:color w:val="auto"/>
        </w:rPr>
      </w:pPr>
      <w:r>
        <w:rPr>
          <w:rFonts w:ascii="Arial" w:cs="Arial" w:eastAsia="Arial" w:hAnsi="Arial"/>
          <w:sz w:val="4"/>
          <w:szCs w:val="4"/>
          <w:color w:val="FFFFFF"/>
        </w:rPr>
        <w:t>www.nninc.com50millionproduced, &lt;10 ppm</w:t>
      </w:r>
    </w:p>
    <w:p>
      <w:pPr>
        <w:spacing w:after="0"/>
        <w:rPr>
          <w:sz w:val="20"/>
          <w:szCs w:val="20"/>
          <w:color w:val="auto"/>
        </w:rPr>
      </w:pPr>
      <w:r>
        <w:rPr>
          <w:rFonts w:ascii="Arial" w:cs="Arial" w:eastAsia="Arial" w:hAnsi="Arial"/>
          <w:sz w:val="13"/>
          <w:szCs w:val="13"/>
          <w:color w:val="FFFFFF"/>
        </w:rPr>
        <w:t>19</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Cross</w:t>
      </w:r>
      <w:r>
        <w:rPr>
          <w:rFonts w:ascii="Arial" w:cs="Arial" w:eastAsia="Arial" w:hAnsi="Arial"/>
          <w:sz w:val="13"/>
          <w:szCs w:val="13"/>
          <w:color w:val="FFFFFF"/>
        </w:rPr>
        <w:t>Glbal Sales Structure</w:t>
      </w:r>
    </w:p>
    <w:p>
      <w:pPr>
        <w:spacing w:after="0" w:line="182" w:lineRule="auto"/>
        <w:rPr>
          <w:sz w:val="20"/>
          <w:szCs w:val="20"/>
          <w:color w:val="auto"/>
        </w:rPr>
      </w:pPr>
      <w:r>
        <w:rPr>
          <w:rFonts w:ascii="Arial" w:cs="Arial" w:eastAsia="Arial" w:hAnsi="Arial"/>
          <w:sz w:val="7"/>
          <w:szCs w:val="7"/>
          <w:color w:val="FFFFFF"/>
        </w:rPr>
        <w:t>T</w:t>
      </w:r>
      <w:r>
        <w:rPr>
          <w:rFonts w:ascii="Arial" w:cs="Arial" w:eastAsia="Arial" w:hAnsi="Arial"/>
          <w:sz w:val="9"/>
          <w:szCs w:val="9"/>
          <w:color w:val="FFFFFF"/>
          <w:vertAlign w:val="subscript"/>
        </w:rPr>
        <w:t>echnology</w:t>
      </w:r>
      <w:r>
        <w:rPr>
          <w:rFonts w:ascii="Arial" w:cs="Arial" w:eastAsia="Arial" w:hAnsi="Arial"/>
          <w:sz w:val="7"/>
          <w:szCs w:val="7"/>
          <w:color w:val="FFFFFF"/>
        </w:rPr>
        <w:t>SellingCoSystem-DevelopmentSolutions Adjacent Markets</w:t>
      </w:r>
    </w:p>
    <w:p>
      <w:pPr>
        <w:spacing w:after="0" w:line="205" w:lineRule="auto"/>
        <w:rPr>
          <w:sz w:val="20"/>
          <w:szCs w:val="20"/>
          <w:color w:val="auto"/>
        </w:rPr>
      </w:pPr>
      <w:r>
        <w:rPr>
          <w:rFonts w:ascii="Arial" w:cs="Arial" w:eastAsia="Arial" w:hAnsi="Arial"/>
          <w:sz w:val="4"/>
          <w:szCs w:val="4"/>
          <w:color w:val="FFFFFF"/>
          <w:vertAlign w:val="subscript"/>
        </w:rPr>
        <w:t>Industrial</w:t>
      </w:r>
      <w:r>
        <w:rPr>
          <w:rFonts w:ascii="Arial" w:cs="Arial" w:eastAsia="Arial" w:hAnsi="Arial"/>
          <w:sz w:val="2"/>
          <w:szCs w:val="2"/>
          <w:color w:val="FFFFFF"/>
        </w:rPr>
        <w:t>InputTechnologyDrives R&amp;D</w:t>
      </w:r>
    </w:p>
    <w:p>
      <w:pPr>
        <w:spacing w:after="0" w:line="189" w:lineRule="auto"/>
        <w:rPr>
          <w:sz w:val="20"/>
          <w:szCs w:val="20"/>
          <w:color w:val="auto"/>
        </w:rPr>
      </w:pPr>
      <w:r>
        <w:rPr>
          <w:rFonts w:ascii="Arial" w:cs="Arial" w:eastAsia="Arial" w:hAnsi="Arial"/>
          <w:sz w:val="8"/>
          <w:szCs w:val="8"/>
          <w:color w:val="FFFFFF"/>
        </w:rPr>
        <w:t>Automotive</w:t>
      </w:r>
      <w:r>
        <w:rPr>
          <w:rFonts w:ascii="Arial" w:cs="Arial" w:eastAsia="Arial" w:hAnsi="Arial"/>
          <w:sz w:val="13"/>
          <w:szCs w:val="13"/>
          <w:color w:val="FFFFFF"/>
          <w:vertAlign w:val="superscript"/>
        </w:rPr>
        <w:t>M</w:t>
      </w:r>
      <w:r>
        <w:rPr>
          <w:rFonts w:ascii="Arial" w:cs="Arial" w:eastAsia="Arial" w:hAnsi="Arial"/>
          <w:sz w:val="8"/>
          <w:szCs w:val="8"/>
          <w:color w:val="FFFFFF"/>
        </w:rPr>
        <w:t>Electrical</w:t>
      </w:r>
      <w:r>
        <w:rPr>
          <w:rFonts w:ascii="Arial" w:cs="Arial" w:eastAsia="Arial" w:hAnsi="Arial"/>
          <w:sz w:val="13"/>
          <w:szCs w:val="13"/>
          <w:color w:val="FFFFFF"/>
          <w:vertAlign w:val="superscript"/>
        </w:rPr>
        <w:t>dical</w:t>
      </w:r>
    </w:p>
    <w:p>
      <w:pPr>
        <w:spacing w:after="0" w:line="182" w:lineRule="auto"/>
        <w:rPr>
          <w:sz w:val="20"/>
          <w:szCs w:val="20"/>
          <w:color w:val="auto"/>
        </w:rPr>
      </w:pPr>
      <w:r>
        <w:rPr>
          <w:rFonts w:ascii="Arial" w:cs="Arial" w:eastAsia="Arial" w:hAnsi="Arial"/>
          <w:sz w:val="9"/>
          <w:szCs w:val="9"/>
          <w:color w:val="FFFFFF"/>
        </w:rPr>
        <w:t>Aerospace &amp; Defense</w:t>
      </w:r>
    </w:p>
    <w:p>
      <w:pPr>
        <w:spacing w:after="0" w:line="206" w:lineRule="auto"/>
        <w:rPr>
          <w:sz w:val="20"/>
          <w:szCs w:val="20"/>
          <w:color w:val="auto"/>
        </w:rPr>
      </w:pPr>
      <w:r>
        <w:rPr>
          <w:rFonts w:ascii="Arial" w:cs="Arial" w:eastAsia="Arial" w:hAnsi="Arial"/>
          <w:sz w:val="4"/>
          <w:szCs w:val="4"/>
          <w:color w:val="FFFFFF"/>
        </w:rPr>
        <w:t>Technology Innovation</w:t>
      </w:r>
    </w:p>
    <w:p>
      <w:pPr>
        <w:spacing w:after="0" w:line="182" w:lineRule="auto"/>
        <w:rPr>
          <w:sz w:val="20"/>
          <w:szCs w:val="20"/>
          <w:color w:val="auto"/>
        </w:rPr>
      </w:pPr>
      <w:r>
        <w:rPr>
          <w:rFonts w:ascii="Arial" w:cs="Arial" w:eastAsia="Arial" w:hAnsi="Arial"/>
          <w:sz w:val="9"/>
          <w:szCs w:val="9"/>
          <w:color w:val="FFFFFF"/>
        </w:rPr>
        <w:t>CustomerApplicationRelationshipsExpertise</w:t>
      </w:r>
    </w:p>
    <w:p>
      <w:pPr>
        <w:spacing w:after="0" w:line="182" w:lineRule="auto"/>
        <w:rPr>
          <w:sz w:val="20"/>
          <w:szCs w:val="20"/>
          <w:color w:val="auto"/>
        </w:rPr>
      </w:pPr>
      <w:r>
        <w:rPr>
          <w:rFonts w:ascii="Arial" w:cs="Arial" w:eastAsia="Arial" w:hAnsi="Arial"/>
          <w:sz w:val="9"/>
          <w:szCs w:val="9"/>
          <w:color w:val="FFFFFF"/>
        </w:rPr>
        <w:t>IndustryGlobalReach,CertificationsLocalSupport</w:t>
      </w:r>
    </w:p>
    <w:p>
      <w:pPr>
        <w:spacing w:after="0" w:line="206" w:lineRule="auto"/>
        <w:rPr>
          <w:sz w:val="20"/>
          <w:szCs w:val="20"/>
          <w:color w:val="auto"/>
        </w:rPr>
      </w:pPr>
      <w:r>
        <w:rPr>
          <w:rFonts w:ascii="Arial" w:cs="Arial" w:eastAsia="Arial" w:hAnsi="Arial"/>
          <w:sz w:val="4"/>
          <w:szCs w:val="4"/>
          <w:color w:val="FFFFFF"/>
        </w:rPr>
        <w:t>www.nninc.comTHEINNOVATION PLATFORM</w:t>
      </w:r>
    </w:p>
    <w:p>
      <w:pPr>
        <w:spacing w:after="0"/>
        <w:rPr>
          <w:sz w:val="20"/>
          <w:szCs w:val="20"/>
          <w:color w:val="auto"/>
        </w:rPr>
      </w:pPr>
      <w:r>
        <w:rPr>
          <w:rFonts w:ascii="Arial" w:cs="Arial" w:eastAsia="Arial" w:hAnsi="Arial"/>
          <w:sz w:val="13"/>
          <w:szCs w:val="13"/>
          <w:color w:val="FFFFFF"/>
        </w:rPr>
        <w:t>20</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Higher Order Systems</w:t>
      </w:r>
    </w:p>
    <w:p>
      <w:pPr>
        <w:spacing w:after="0" w:line="204" w:lineRule="auto"/>
        <w:rPr>
          <w:sz w:val="20"/>
          <w:szCs w:val="20"/>
          <w:color w:val="auto"/>
        </w:rPr>
      </w:pPr>
      <w:r>
        <w:rPr>
          <w:rFonts w:ascii="Arial" w:cs="Arial" w:eastAsia="Arial" w:hAnsi="Arial"/>
          <w:sz w:val="4"/>
          <w:szCs w:val="4"/>
          <w:color w:val="FFFFFF"/>
        </w:rPr>
        <w:t>ValuePrecisionaddedComponentssub-assemblies</w:t>
      </w:r>
    </w:p>
    <w:p>
      <w:pPr>
        <w:spacing w:after="0" w:line="182" w:lineRule="auto"/>
        <w:rPr>
          <w:sz w:val="20"/>
          <w:szCs w:val="20"/>
          <w:color w:val="auto"/>
        </w:rPr>
      </w:pPr>
      <w:r>
        <w:rPr>
          <w:rFonts w:ascii="Arial" w:cs="Arial" w:eastAsia="Arial" w:hAnsi="Arial"/>
          <w:sz w:val="9"/>
          <w:szCs w:val="9"/>
          <w:color w:val="FFFFFF"/>
          <w:vertAlign w:val="superscript"/>
        </w:rPr>
        <w:t>Sub-</w:t>
      </w:r>
      <w:r>
        <w:rPr>
          <w:rFonts w:ascii="Arial" w:cs="Arial" w:eastAsia="Arial" w:hAnsi="Arial"/>
          <w:sz w:val="7"/>
          <w:szCs w:val="7"/>
          <w:color w:val="FFFFFF"/>
        </w:rPr>
        <w:t>assemblies using our total process platform</w:t>
      </w:r>
    </w:p>
    <w:p>
      <w:pPr>
        <w:spacing w:after="0" w:line="182" w:lineRule="auto"/>
        <w:rPr>
          <w:sz w:val="20"/>
          <w:szCs w:val="20"/>
          <w:color w:val="auto"/>
        </w:rPr>
      </w:pPr>
      <w:r>
        <w:rPr>
          <w:rFonts w:ascii="Arial" w:cs="Arial" w:eastAsia="Arial" w:hAnsi="Arial"/>
          <w:sz w:val="9"/>
          <w:szCs w:val="9"/>
          <w:color w:val="FFFFFF"/>
        </w:rPr>
        <w:t>HigherAssembliesOrderSystemswithTechnical application and design responsibility</w:t>
      </w:r>
    </w:p>
    <w:p>
      <w:pPr>
        <w:spacing w:after="0" w:line="206" w:lineRule="auto"/>
        <w:rPr>
          <w:sz w:val="20"/>
          <w:szCs w:val="20"/>
          <w:color w:val="auto"/>
        </w:rPr>
      </w:pPr>
      <w:r>
        <w:rPr>
          <w:rFonts w:ascii="Arial" w:cs="Arial" w:eastAsia="Arial" w:hAnsi="Arial"/>
          <w:sz w:val="4"/>
          <w:szCs w:val="4"/>
          <w:color w:val="FFFFFF"/>
        </w:rPr>
        <w:t>www.nninc.comCrosssellingisthe gateway to higher order systems</w:t>
      </w:r>
    </w:p>
    <w:p>
      <w:pPr>
        <w:spacing w:after="0"/>
        <w:rPr>
          <w:sz w:val="20"/>
          <w:szCs w:val="20"/>
          <w:color w:val="auto"/>
        </w:rPr>
      </w:pPr>
      <w:r>
        <w:rPr>
          <w:rFonts w:ascii="Arial" w:cs="Arial" w:eastAsia="Arial" w:hAnsi="Arial"/>
          <w:sz w:val="13"/>
          <w:szCs w:val="13"/>
          <w:color w:val="FFFFFF"/>
        </w:rPr>
        <w:t>21</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End Markets Discussion</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Medical &amp; Electrical</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Precision Engineered Products – Group Introduction</w:t>
      </w:r>
    </w:p>
    <w:p>
      <w:pPr>
        <w:spacing w:after="0" w:line="204" w:lineRule="auto"/>
        <w:rPr>
          <w:sz w:val="20"/>
          <w:szCs w:val="20"/>
          <w:color w:val="auto"/>
        </w:rPr>
      </w:pPr>
      <w:r>
        <w:rPr>
          <w:rFonts w:ascii="Arial" w:cs="Arial" w:eastAsia="Arial" w:hAnsi="Arial"/>
          <w:sz w:val="4"/>
          <w:szCs w:val="4"/>
          <w:color w:val="FFFFFF"/>
        </w:rPr>
        <w:t>AcquiredManufacturesbyNNhighlyinOctoberengineered2015plastic and metal components, assemblies and finished devices</w:t>
      </w:r>
    </w:p>
    <w:p>
      <w:pPr>
        <w:spacing w:after="0" w:line="182" w:lineRule="auto"/>
        <w:rPr>
          <w:sz w:val="20"/>
          <w:szCs w:val="20"/>
          <w:color w:val="auto"/>
        </w:rPr>
      </w:pPr>
      <w:r>
        <w:rPr>
          <w:rFonts w:ascii="Arial" w:cs="Arial" w:eastAsia="Arial" w:hAnsi="Arial"/>
          <w:sz w:val="9"/>
          <w:szCs w:val="9"/>
          <w:color w:val="FFFFFF"/>
        </w:rPr>
        <w:t>Group Headquarters: Attleboro, MA</w:t>
      </w:r>
    </w:p>
    <w:p>
      <w:pPr>
        <w:spacing w:after="0" w:line="205" w:lineRule="auto"/>
        <w:rPr>
          <w:sz w:val="20"/>
          <w:szCs w:val="20"/>
          <w:color w:val="auto"/>
        </w:rPr>
      </w:pPr>
      <w:r>
        <w:rPr>
          <w:rFonts w:ascii="Arial" w:cs="Arial" w:eastAsia="Arial" w:hAnsi="Arial"/>
          <w:sz w:val="8"/>
          <w:szCs w:val="8"/>
          <w:color w:val="FFFFFF"/>
        </w:rPr>
        <w:t>Former19manufacturingNNPrecisionoperationsPlasticswithGrouplocationsrolled underin:UnitedPEP States Dominican Republic Mexico China</w:t>
      </w:r>
    </w:p>
    <w:p>
      <w:pPr>
        <w:spacing w:after="0" w:line="206" w:lineRule="auto"/>
        <w:rPr>
          <w:sz w:val="20"/>
          <w:szCs w:val="20"/>
          <w:color w:val="auto"/>
        </w:rPr>
      </w:pPr>
      <w:r>
        <w:rPr>
          <w:rFonts w:ascii="Arial" w:cs="Arial" w:eastAsia="Arial" w:hAnsi="Arial"/>
          <w:sz w:val="4"/>
          <w:szCs w:val="4"/>
          <w:color w:val="FFFFFF"/>
        </w:rPr>
        <w:t>MedicalSpecializesInnovationinmaterialCentersciences</w:t>
      </w:r>
    </w:p>
    <w:p>
      <w:pPr>
        <w:spacing w:after="0" w:line="182" w:lineRule="auto"/>
        <w:rPr>
          <w:sz w:val="20"/>
          <w:szCs w:val="20"/>
          <w:color w:val="auto"/>
        </w:rPr>
      </w:pPr>
      <w:r>
        <w:rPr>
          <w:rFonts w:ascii="Arial" w:cs="Arial" w:eastAsia="Arial" w:hAnsi="Arial"/>
          <w:sz w:val="9"/>
          <w:szCs w:val="9"/>
          <w:color w:val="FFFFFF"/>
        </w:rPr>
        <w:t>Diversified end markets focused on Medical &amp; Electrical</w:t>
      </w:r>
    </w:p>
    <w:p>
      <w:pPr>
        <w:spacing w:after="0" w:line="182" w:lineRule="auto"/>
        <w:rPr>
          <w:sz w:val="20"/>
          <w:szCs w:val="20"/>
          <w:color w:val="auto"/>
        </w:rPr>
      </w:pPr>
      <w:r>
        <w:rPr>
          <w:rFonts w:ascii="Arial" w:cs="Arial" w:eastAsia="Arial" w:hAnsi="Arial"/>
          <w:sz w:val="9"/>
          <w:szCs w:val="9"/>
          <w:color w:val="FFFFFF"/>
        </w:rPr>
        <w:t>JohnPRECISIONManzi ENGINEERED PRODUCTS</w:t>
      </w:r>
    </w:p>
    <w:p>
      <w:pPr>
        <w:spacing w:after="0" w:line="206" w:lineRule="auto"/>
        <w:rPr>
          <w:sz w:val="20"/>
          <w:szCs w:val="20"/>
          <w:color w:val="auto"/>
        </w:rPr>
      </w:pPr>
      <w:r>
        <w:rPr>
          <w:rFonts w:ascii="Arial" w:cs="Arial" w:eastAsia="Arial" w:hAnsi="Arial"/>
          <w:sz w:val="4"/>
          <w:szCs w:val="4"/>
          <w:color w:val="FFFFFF"/>
        </w:rPr>
        <w:t>www.nninc.comSeniorVicePresident/GM Precision Engineered Products Group</w:t>
      </w:r>
    </w:p>
    <w:p>
      <w:pPr>
        <w:spacing w:after="0"/>
        <w:rPr>
          <w:sz w:val="20"/>
          <w:szCs w:val="20"/>
          <w:color w:val="auto"/>
        </w:rPr>
      </w:pPr>
      <w:r>
        <w:rPr>
          <w:rFonts w:ascii="Arial" w:cs="Arial" w:eastAsia="Arial" w:hAnsi="Arial"/>
          <w:sz w:val="13"/>
          <w:szCs w:val="13"/>
          <w:color w:val="FFFFFF"/>
        </w:rPr>
        <w:t>24</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Precision</w:t>
      </w:r>
      <w:r>
        <w:rPr>
          <w:rFonts w:ascii="Arial" w:cs="Arial" w:eastAsia="Arial" w:hAnsi="Arial"/>
          <w:sz w:val="13"/>
          <w:szCs w:val="13"/>
          <w:color w:val="FFFFFF"/>
        </w:rPr>
        <w:t>MdicalProducts</w:t>
      </w:r>
    </w:p>
    <w:p>
      <w:pPr>
        <w:ind w:left="520"/>
        <w:spacing w:after="0" w:line="182" w:lineRule="auto"/>
        <w:rPr>
          <w:sz w:val="20"/>
          <w:szCs w:val="20"/>
          <w:color w:val="auto"/>
        </w:rPr>
      </w:pPr>
      <w:r>
        <w:rPr>
          <w:rFonts w:ascii="Arial" w:cs="Arial" w:eastAsia="Arial" w:hAnsi="Arial"/>
          <w:sz w:val="9"/>
          <w:szCs w:val="9"/>
          <w:color w:val="FFFFFF"/>
        </w:rPr>
        <w:t>metal and plastic products that improve medical device functionality</w:t>
      </w:r>
    </w:p>
    <w:p>
      <w:pPr>
        <w:spacing w:after="0" w:line="205" w:lineRule="auto"/>
        <w:rPr>
          <w:sz w:val="20"/>
          <w:szCs w:val="20"/>
          <w:color w:val="auto"/>
        </w:rPr>
      </w:pPr>
      <w:r>
        <w:rPr>
          <w:rFonts w:ascii="Arial" w:cs="Arial" w:eastAsia="Arial" w:hAnsi="Arial"/>
          <w:sz w:val="4"/>
          <w:szCs w:val="4"/>
          <w:color w:val="FFFFFF"/>
        </w:rPr>
        <w:t>EfficientCompletedtechnicaldevicessolutions:andinstruments,oGeneralincludingSurgeryan OEM product platform</w:t>
      </w:r>
    </w:p>
    <w:p>
      <w:pPr>
        <w:spacing w:after="0" w:line="182" w:lineRule="auto"/>
        <w:rPr>
          <w:sz w:val="20"/>
          <w:szCs w:val="20"/>
          <w:color w:val="auto"/>
        </w:rPr>
      </w:pPr>
      <w:r>
        <w:rPr>
          <w:rFonts w:ascii="Arial" w:cs="Arial" w:eastAsia="Arial" w:hAnsi="Arial"/>
          <w:sz w:val="7"/>
          <w:szCs w:val="7"/>
          <w:color w:val="FFFFFF"/>
        </w:rPr>
        <w:t xml:space="preserve">Automation – Staple-loaded cartridges o </w:t>
      </w:r>
      <w:r>
        <w:rPr>
          <w:rFonts w:ascii="Arial" w:cs="Arial" w:eastAsia="Arial" w:hAnsi="Arial"/>
          <w:sz w:val="9"/>
          <w:szCs w:val="9"/>
          <w:color w:val="FFFFFF"/>
          <w:vertAlign w:val="subscript"/>
        </w:rPr>
        <w:t>Orthopedics</w:t>
      </w:r>
    </w:p>
    <w:p>
      <w:pPr>
        <w:spacing w:after="0" w:line="205" w:lineRule="auto"/>
        <w:tabs>
          <w:tab w:leader="none" w:pos="2320" w:val="left"/>
        </w:tabs>
        <w:rPr>
          <w:sz w:val="20"/>
          <w:szCs w:val="20"/>
          <w:color w:val="auto"/>
        </w:rPr>
      </w:pPr>
      <w:r>
        <w:rPr>
          <w:rFonts w:ascii="Arial" w:cs="Arial" w:eastAsia="Arial" w:hAnsi="Arial"/>
          <w:sz w:val="4"/>
          <w:szCs w:val="4"/>
          <w:color w:val="FFFFFF"/>
        </w:rPr>
        <w:t>ToolingMfg.processes–Biopsy– InstrumentsjawsoDrugandDeliverysystems</w:t>
      </w:r>
      <w:r>
        <w:rPr>
          <w:sz w:val="20"/>
          <w:szCs w:val="20"/>
          <w:color w:val="auto"/>
        </w:rPr>
        <w:tab/>
      </w:r>
      <w:r>
        <w:rPr>
          <w:rFonts w:ascii="Arial" w:cs="Arial" w:eastAsia="Arial" w:hAnsi="Arial"/>
          <w:sz w:val="4"/>
          <w:szCs w:val="4"/>
          <w:color w:val="FFFFFF"/>
        </w:rPr>
        <w:t>Diagnostics</w:t>
      </w:r>
    </w:p>
    <w:p>
      <w:pPr>
        <w:spacing w:after="0" w:line="205" w:lineRule="auto"/>
        <w:rPr>
          <w:sz w:val="20"/>
          <w:szCs w:val="20"/>
          <w:color w:val="auto"/>
        </w:rPr>
      </w:pPr>
      <w:r>
        <w:rPr>
          <w:rFonts w:ascii="Arial" w:cs="Arial" w:eastAsia="Arial" w:hAnsi="Arial"/>
          <w:sz w:val="4"/>
          <w:szCs w:val="4"/>
          <w:color w:val="FFFFFF"/>
        </w:rPr>
        <w:t>Scalability</w:t>
      </w:r>
    </w:p>
    <w:p>
      <w:pPr>
        <w:spacing w:after="0" w:line="205" w:lineRule="auto"/>
        <w:rPr>
          <w:sz w:val="20"/>
          <w:szCs w:val="20"/>
          <w:color w:val="auto"/>
        </w:rPr>
      </w:pPr>
      <w:r>
        <w:rPr>
          <w:rFonts w:ascii="Arial" w:cs="Arial" w:eastAsia="Arial" w:hAnsi="Arial"/>
          <w:sz w:val="4"/>
          <w:szCs w:val="4"/>
          <w:color w:val="FFFFFF"/>
        </w:rPr>
        <w:t>Hearing &amp; Electrical Assemble</w:t>
      </w:r>
    </w:p>
    <w:p>
      <w:pPr>
        <w:spacing w:after="0" w:line="205" w:lineRule="auto"/>
        <w:rPr>
          <w:sz w:val="20"/>
          <w:szCs w:val="20"/>
          <w:color w:val="auto"/>
        </w:rPr>
      </w:pPr>
      <w:r>
        <w:rPr>
          <w:rFonts w:ascii="Arial" w:cs="Arial" w:eastAsia="Arial" w:hAnsi="Arial"/>
          <w:sz w:val="4"/>
          <w:szCs w:val="4"/>
          <w:color w:val="FFFFFF"/>
        </w:rPr>
        <w:t>Cerebral Tissue Oximeter</w:t>
      </w:r>
    </w:p>
    <w:p>
      <w:pPr>
        <w:spacing w:after="0" w:line="205" w:lineRule="auto"/>
        <w:rPr>
          <w:sz w:val="20"/>
          <w:szCs w:val="20"/>
          <w:color w:val="auto"/>
        </w:rPr>
      </w:pPr>
      <w:r>
        <w:rPr>
          <w:rFonts w:ascii="Arial" w:cs="Arial" w:eastAsia="Arial" w:hAnsi="Arial"/>
          <w:sz w:val="4"/>
          <w:szCs w:val="4"/>
          <w:color w:val="FFFFFF"/>
          <w:vertAlign w:val="subscript"/>
        </w:rPr>
        <w:t>Septoplasty</w:t>
      </w:r>
      <w:r>
        <w:rPr>
          <w:rFonts w:ascii="Arial" w:cs="Arial" w:eastAsia="Arial" w:hAnsi="Arial"/>
          <w:sz w:val="2"/>
          <w:szCs w:val="2"/>
          <w:color w:val="FFFFFF"/>
        </w:rPr>
        <w:t>ternumClosure Implants</w:t>
      </w:r>
    </w:p>
    <w:p>
      <w:pPr>
        <w:spacing w:after="0" w:line="189" w:lineRule="auto"/>
        <w:rPr>
          <w:sz w:val="20"/>
          <w:szCs w:val="20"/>
          <w:color w:val="auto"/>
        </w:rPr>
      </w:pPr>
      <w:r>
        <w:rPr>
          <w:rFonts w:ascii="Arial" w:cs="Arial" w:eastAsia="Arial" w:hAnsi="Arial"/>
          <w:sz w:val="13"/>
          <w:szCs w:val="13"/>
          <w:color w:val="FFFFFF"/>
          <w:vertAlign w:val="subscript"/>
        </w:rPr>
        <w:t>Bipolar</w:t>
      </w:r>
      <w:r>
        <w:rPr>
          <w:rFonts w:ascii="Arial" w:cs="Arial" w:eastAsia="Arial" w:hAnsi="Arial"/>
          <w:sz w:val="8"/>
          <w:szCs w:val="8"/>
          <w:color w:val="FFFFFF"/>
        </w:rPr>
        <w:t xml:space="preserve">opsy Jaw </w:t>
      </w:r>
      <w:r>
        <w:rPr>
          <w:rFonts w:ascii="Arial" w:cs="Arial" w:eastAsia="Arial" w:hAnsi="Arial"/>
          <w:sz w:val="13"/>
          <w:szCs w:val="13"/>
          <w:color w:val="FFFFFF"/>
          <w:vertAlign w:val="superscript"/>
        </w:rPr>
        <w:t>Repair Implant</w:t>
      </w:r>
    </w:p>
    <w:p>
      <w:pPr>
        <w:spacing w:after="0" w:line="206" w:lineRule="auto"/>
        <w:rPr>
          <w:sz w:val="20"/>
          <w:szCs w:val="20"/>
          <w:color w:val="auto"/>
        </w:rPr>
      </w:pPr>
      <w:r>
        <w:rPr>
          <w:rFonts w:ascii="Arial" w:cs="Arial" w:eastAsia="Arial" w:hAnsi="Arial"/>
          <w:sz w:val="4"/>
          <w:szCs w:val="4"/>
          <w:color w:val="FFFFFF"/>
        </w:rPr>
        <w:t>SurgicalForcepsStaples &amp; Surgical Knives</w:t>
      </w:r>
    </w:p>
    <w:p>
      <w:pPr>
        <w:spacing w:after="0" w:line="205" w:lineRule="auto"/>
        <w:rPr>
          <w:sz w:val="20"/>
          <w:szCs w:val="20"/>
          <w:color w:val="auto"/>
        </w:rPr>
      </w:pPr>
      <w:r>
        <w:rPr>
          <w:rFonts w:ascii="Arial" w:cs="Arial" w:eastAsia="Arial" w:hAnsi="Arial"/>
          <w:sz w:val="4"/>
          <w:szCs w:val="4"/>
          <w:color w:val="FFFFFF"/>
        </w:rPr>
        <w:t>Laproscopic Instruments</w:t>
      </w:r>
    </w:p>
    <w:p>
      <w:pPr>
        <w:spacing w:after="0" w:line="205" w:lineRule="auto"/>
        <w:rPr>
          <w:sz w:val="20"/>
          <w:szCs w:val="20"/>
          <w:color w:val="auto"/>
        </w:rPr>
      </w:pPr>
      <w:r>
        <w:rPr>
          <w:rFonts w:ascii="Arial" w:cs="Arial" w:eastAsia="Arial" w:hAnsi="Arial"/>
          <w:sz w:val="4"/>
          <w:szCs w:val="4"/>
          <w:color w:val="FFFFFF"/>
        </w:rPr>
        <w:t>Joint Replacement</w:t>
      </w:r>
    </w:p>
    <w:p>
      <w:pPr>
        <w:spacing w:after="0" w:line="205" w:lineRule="auto"/>
        <w:rPr>
          <w:sz w:val="20"/>
          <w:szCs w:val="20"/>
          <w:color w:val="auto"/>
        </w:rPr>
      </w:pPr>
      <w:r>
        <w:rPr>
          <w:rFonts w:ascii="Arial" w:cs="Arial" w:eastAsia="Arial" w:hAnsi="Arial"/>
          <w:sz w:val="4"/>
          <w:szCs w:val="4"/>
          <w:color w:val="FFFFFF"/>
        </w:rPr>
        <w:t>Glucose Monitaring</w:t>
      </w:r>
    </w:p>
    <w:p>
      <w:pPr>
        <w:spacing w:after="0" w:line="205" w:lineRule="auto"/>
        <w:rPr>
          <w:sz w:val="20"/>
          <w:szCs w:val="20"/>
          <w:color w:val="auto"/>
        </w:rPr>
      </w:pPr>
      <w:r>
        <w:rPr>
          <w:rFonts w:ascii="Arial" w:cs="Arial" w:eastAsia="Arial" w:hAnsi="Arial"/>
          <w:sz w:val="4"/>
          <w:szCs w:val="4"/>
          <w:color w:val="FFFFFF"/>
        </w:rPr>
        <w:t>Plate and Rod Cutter</w:t>
      </w:r>
    </w:p>
    <w:p>
      <w:pPr>
        <w:spacing w:after="0" w:line="182" w:lineRule="auto"/>
        <w:rPr>
          <w:sz w:val="20"/>
          <w:szCs w:val="20"/>
          <w:color w:val="auto"/>
        </w:rPr>
      </w:pPr>
      <w:r>
        <w:rPr>
          <w:rFonts w:ascii="Arial" w:cs="Arial" w:eastAsia="Arial" w:hAnsi="Arial"/>
          <w:sz w:val="9"/>
          <w:szCs w:val="9"/>
          <w:color w:val="FFFFFF"/>
        </w:rPr>
        <w:t>Additive Manufacturing Ankle Repair</w:t>
      </w:r>
    </w:p>
    <w:p>
      <w:pPr>
        <w:spacing w:after="0" w:line="205" w:lineRule="auto"/>
        <w:rPr>
          <w:sz w:val="20"/>
          <w:szCs w:val="20"/>
          <w:color w:val="auto"/>
        </w:rPr>
      </w:pPr>
      <w:r>
        <w:rPr>
          <w:rFonts w:ascii="Arial" w:cs="Arial" w:eastAsia="Arial" w:hAnsi="Arial"/>
          <w:sz w:val="4"/>
          <w:szCs w:val="4"/>
          <w:color w:val="FFFFFF"/>
        </w:rPr>
        <w:t>www.nninc.comMedicalTechnologies Surrounding the Human Body</w:t>
      </w:r>
    </w:p>
    <w:p>
      <w:pPr>
        <w:spacing w:after="0"/>
        <w:rPr>
          <w:sz w:val="20"/>
          <w:szCs w:val="20"/>
          <w:color w:val="auto"/>
        </w:rPr>
      </w:pPr>
      <w:r>
        <w:rPr>
          <w:rFonts w:ascii="Arial" w:cs="Arial" w:eastAsia="Arial" w:hAnsi="Arial"/>
          <w:sz w:val="13"/>
          <w:szCs w:val="13"/>
          <w:color w:val="FFFFFF"/>
        </w:rPr>
        <w:t>25</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Medical EndDeviceMarketMarket ($395B)</w:t>
      </w:r>
    </w:p>
    <w:p>
      <w:pPr>
        <w:spacing w:after="0" w:line="204" w:lineRule="auto"/>
        <w:rPr>
          <w:sz w:val="20"/>
          <w:szCs w:val="20"/>
          <w:color w:val="auto"/>
        </w:rPr>
      </w:pPr>
      <w:r>
        <w:rPr>
          <w:rFonts w:ascii="Arial" w:cs="Arial" w:eastAsia="Arial" w:hAnsi="Arial"/>
          <w:sz w:val="4"/>
          <w:szCs w:val="4"/>
          <w:color w:val="FFFFFF"/>
        </w:rPr>
        <w:t>Cardiovascular Diagnostic/Imaging IV Diagnostics (P-O-C)</w:t>
      </w:r>
    </w:p>
    <w:p>
      <w:pPr>
        <w:spacing w:after="0" w:line="182" w:lineRule="auto"/>
        <w:rPr>
          <w:sz w:val="20"/>
          <w:szCs w:val="20"/>
          <w:color w:val="auto"/>
        </w:rPr>
      </w:pPr>
      <w:r>
        <w:rPr>
          <w:rFonts w:ascii="Arial" w:cs="Arial" w:eastAsia="Arial" w:hAnsi="Arial"/>
          <w:sz w:val="9"/>
          <w:szCs w:val="9"/>
          <w:color w:val="FFFFFF"/>
        </w:rPr>
        <w:t>NeurologyAnesthesia OrthopedicsandRespiratoryUrologyCare GeneralOphthalmologySurgery</w:t>
      </w:r>
    </w:p>
    <w:p>
      <w:pPr>
        <w:spacing w:after="0" w:line="206" w:lineRule="auto"/>
        <w:rPr>
          <w:sz w:val="20"/>
          <w:szCs w:val="20"/>
          <w:color w:val="auto"/>
        </w:rPr>
      </w:pPr>
      <w:r>
        <w:rPr>
          <w:rFonts w:ascii="Arial" w:cs="Arial" w:eastAsia="Arial" w:hAnsi="Arial"/>
          <w:sz w:val="4"/>
          <w:szCs w:val="4"/>
          <w:color w:val="FFFFFF"/>
        </w:rPr>
        <w:t>Medical Device Market NN Segment Growth Rate</w:t>
      </w:r>
    </w:p>
    <w:p>
      <w:pPr>
        <w:spacing w:after="0"/>
        <w:rPr>
          <w:sz w:val="20"/>
          <w:szCs w:val="20"/>
          <w:color w:val="auto"/>
        </w:rPr>
      </w:pPr>
      <w:r>
        <w:rPr>
          <w:rFonts w:ascii="Arial" w:cs="Arial" w:eastAsia="Arial" w:hAnsi="Arial"/>
          <w:sz w:val="13"/>
          <w:szCs w:val="13"/>
          <w:color w:val="FFFFFF"/>
        </w:rPr>
        <w:t>20159.0% 20168.0%2017.0%20186.0% 5.0% 4.0% 3.0% 2.0% 1.0% 0.0%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FFFFFF"/>
        </w:rPr>
        <w:t>Market Overview</w:t>
      </w:r>
    </w:p>
    <w:p>
      <w:pPr>
        <w:spacing w:after="0" w:line="204" w:lineRule="auto"/>
        <w:rPr>
          <w:sz w:val="20"/>
          <w:szCs w:val="20"/>
          <w:color w:val="auto"/>
        </w:rPr>
      </w:pPr>
      <w:r>
        <w:rPr>
          <w:rFonts w:ascii="Arial" w:cs="Arial" w:eastAsia="Arial" w:hAnsi="Arial"/>
          <w:sz w:val="2"/>
          <w:szCs w:val="2"/>
          <w:color w:val="FFFFFF"/>
        </w:rPr>
        <w:t>The total global medical device market is worth $395 billion and growing</w:t>
      </w:r>
      <w:r>
        <w:rPr>
          <w:rFonts w:ascii="Arial" w:cs="Arial" w:eastAsia="Arial" w:hAnsi="Arial"/>
          <w:sz w:val="4"/>
          <w:szCs w:val="4"/>
          <w:color w:val="FFFFFF"/>
          <w:vertAlign w:val="subscript"/>
        </w:rPr>
        <w:t>approximately</w:t>
      </w:r>
      <w:r>
        <w:rPr>
          <w:rFonts w:ascii="Arial" w:cs="Arial" w:eastAsia="Arial" w:hAnsi="Arial"/>
          <w:sz w:val="2"/>
          <w:szCs w:val="2"/>
          <w:color w:val="FFFFFF"/>
        </w:rPr>
        <w:t>4-6% per year. The overall addressable market for NN is approximately 10% or $40 billion.</w:t>
      </w:r>
    </w:p>
    <w:p>
      <w:pPr>
        <w:ind w:right="1959"/>
        <w:spacing w:after="0" w:line="182" w:lineRule="auto"/>
        <w:rPr>
          <w:sz w:val="20"/>
          <w:szCs w:val="20"/>
          <w:color w:val="auto"/>
        </w:rPr>
      </w:pPr>
      <w:r>
        <w:rPr>
          <w:rFonts w:ascii="Arial" w:cs="Arial" w:eastAsia="Arial" w:hAnsi="Arial"/>
          <w:sz w:val="9"/>
          <w:szCs w:val="9"/>
          <w:color w:val="FFFFFF"/>
        </w:rPr>
        <w:t>OEM’s are expected to increase outsourcing from 25% in 2015 to 30% by 2020 to reduce cost, improve quality and accelerate time-to-market. www.nninc.com</w:t>
      </w:r>
    </w:p>
    <w:p>
      <w:pPr>
        <w:spacing w:after="0"/>
        <w:rPr>
          <w:sz w:val="20"/>
          <w:szCs w:val="20"/>
          <w:color w:val="auto"/>
        </w:rPr>
      </w:pPr>
      <w:r>
        <w:rPr>
          <w:rFonts w:ascii="Arial" w:cs="Arial" w:eastAsia="Arial" w:hAnsi="Arial"/>
          <w:sz w:val="13"/>
          <w:szCs w:val="13"/>
          <w:color w:val="FFFFFF"/>
        </w:rPr>
        <w:t>26</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gridSpan w:val="4"/>
          </w:tcPr>
          <w:p>
            <w:pPr>
              <w:spacing w:after="0"/>
              <w:rPr>
                <w:sz w:val="20"/>
                <w:szCs w:val="20"/>
                <w:color w:val="auto"/>
              </w:rPr>
            </w:pPr>
            <w:r>
              <w:rPr>
                <w:rFonts w:ascii="Arial" w:cs="Arial" w:eastAsia="Arial" w:hAnsi="Arial"/>
                <w:sz w:val="13"/>
                <w:szCs w:val="13"/>
                <w:color w:val="FFFFFF"/>
              </w:rPr>
              <w:t>Medical End Market</w:t>
            </w:r>
          </w:p>
        </w:tc>
        <w:tc>
          <w:tcPr>
            <w:tcW w:w="25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040" w:type="dxa"/>
            <w:vAlign w:val="bottom"/>
            <w:gridSpan w:val="4"/>
          </w:tcPr>
          <w:p>
            <w:pPr>
              <w:spacing w:after="0" w:line="40" w:lineRule="exact"/>
              <w:rPr>
                <w:sz w:val="20"/>
                <w:szCs w:val="20"/>
                <w:color w:val="auto"/>
              </w:rPr>
            </w:pPr>
            <w:r>
              <w:rPr>
                <w:rFonts w:ascii="Arial" w:cs="Arial" w:eastAsia="Arial" w:hAnsi="Arial"/>
                <w:sz w:val="4"/>
                <w:szCs w:val="4"/>
                <w:color w:val="FFFFFF"/>
              </w:rPr>
              <w:t>Addressable Market ($40B)</w:t>
            </w: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60" w:type="dxa"/>
            <w:vAlign w:val="bottom"/>
            <w:gridSpan w:val="3"/>
          </w:tcPr>
          <w:p>
            <w:pPr>
              <w:spacing w:after="0" w:line="40" w:lineRule="exact"/>
              <w:rPr>
                <w:sz w:val="20"/>
                <w:szCs w:val="20"/>
                <w:color w:val="auto"/>
              </w:rPr>
            </w:pPr>
            <w:r>
              <w:rPr>
                <w:rFonts w:ascii="Arial" w:cs="Arial" w:eastAsia="Arial" w:hAnsi="Arial"/>
                <w:sz w:val="4"/>
                <w:szCs w:val="4"/>
                <w:color w:val="FFFFFF"/>
              </w:rPr>
              <w:t>6% 4%</w:t>
            </w:r>
          </w:p>
        </w:tc>
        <w:tc>
          <w:tcPr>
            <w:tcW w:w="33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8%</w:t>
            </w:r>
          </w:p>
        </w:tc>
        <w:tc>
          <w:tcPr>
            <w:tcW w:w="4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22% 8%</w:t>
            </w:r>
          </w:p>
        </w:tc>
        <w:tc>
          <w:tcPr>
            <w:tcW w:w="33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60" w:type="dxa"/>
            <w:vAlign w:val="bottom"/>
            <w:gridSpan w:val="3"/>
          </w:tcPr>
          <w:p>
            <w:pPr>
              <w:spacing w:after="0" w:line="40" w:lineRule="exact"/>
              <w:rPr>
                <w:sz w:val="20"/>
                <w:szCs w:val="20"/>
                <w:color w:val="auto"/>
              </w:rPr>
            </w:pPr>
            <w:r>
              <w:rPr>
                <w:rFonts w:ascii="Arial" w:cs="Arial" w:eastAsia="Arial" w:hAnsi="Arial"/>
                <w:sz w:val="4"/>
                <w:szCs w:val="4"/>
                <w:color w:val="FFFFFF"/>
              </w:rPr>
              <w:t>9% 15%</w:t>
            </w:r>
          </w:p>
        </w:tc>
        <w:tc>
          <w:tcPr>
            <w:tcW w:w="33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260" w:type="dxa"/>
            <w:vAlign w:val="bottom"/>
            <w:gridSpan w:val="2"/>
          </w:tcPr>
          <w:p>
            <w:pPr>
              <w:spacing w:after="0" w:line="79" w:lineRule="exact"/>
              <w:rPr>
                <w:sz w:val="20"/>
                <w:szCs w:val="20"/>
                <w:color w:val="auto"/>
              </w:rPr>
            </w:pPr>
            <w:r>
              <w:rPr>
                <w:rFonts w:ascii="Arial" w:cs="Arial" w:eastAsia="Arial" w:hAnsi="Arial"/>
                <w:sz w:val="9"/>
                <w:szCs w:val="9"/>
                <w:color w:val="FFFFFF"/>
              </w:rPr>
              <w:t>14%</w:t>
            </w:r>
          </w:p>
        </w:tc>
        <w:tc>
          <w:tcPr>
            <w:tcW w:w="400" w:type="dxa"/>
            <w:vAlign w:val="bottom"/>
          </w:tcPr>
          <w:p>
            <w:pPr>
              <w:spacing w:after="0"/>
              <w:rPr>
                <w:sz w:val="6"/>
                <w:szCs w:val="6"/>
                <w:color w:val="auto"/>
              </w:rPr>
            </w:pPr>
          </w:p>
        </w:tc>
        <w:tc>
          <w:tcPr>
            <w:tcW w:w="33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4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4040" w:type="dxa"/>
            <w:vAlign w:val="bottom"/>
            <w:gridSpan w:val="4"/>
          </w:tcPr>
          <w:p>
            <w:pPr>
              <w:spacing w:after="0" w:line="40" w:lineRule="exact"/>
              <w:rPr>
                <w:sz w:val="20"/>
                <w:szCs w:val="20"/>
                <w:color w:val="auto"/>
              </w:rPr>
            </w:pPr>
            <w:r>
              <w:rPr>
                <w:rFonts w:ascii="Arial" w:cs="Arial" w:eastAsia="Arial" w:hAnsi="Arial"/>
                <w:sz w:val="4"/>
                <w:szCs w:val="4"/>
                <w:color w:val="FFFFFF"/>
              </w:rPr>
              <w:t>Cardiovascular Diagnostic/Imaging IV Diagnostics (P-O-C)</w:t>
            </w: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40" w:type="dxa"/>
            <w:vAlign w:val="bottom"/>
            <w:gridSpan w:val="4"/>
          </w:tcPr>
          <w:p>
            <w:pPr>
              <w:spacing w:after="0" w:line="40" w:lineRule="exact"/>
              <w:rPr>
                <w:sz w:val="20"/>
                <w:szCs w:val="20"/>
                <w:color w:val="auto"/>
              </w:rPr>
            </w:pPr>
            <w:r>
              <w:rPr>
                <w:rFonts w:ascii="Arial" w:cs="Arial" w:eastAsia="Arial" w:hAnsi="Arial"/>
                <w:sz w:val="4"/>
                <w:szCs w:val="4"/>
                <w:color w:val="FFFFFF"/>
              </w:rPr>
              <w:t>Anesth sia and Ophthalmology Respiratory Care Neurology</w:t>
            </w: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380" w:type="dxa"/>
            <w:vAlign w:val="bottom"/>
          </w:tcPr>
          <w:p>
            <w:pPr>
              <w:ind w:left="20"/>
              <w:spacing w:after="0" w:line="40" w:lineRule="exact"/>
              <w:rPr>
                <w:sz w:val="20"/>
                <w:szCs w:val="20"/>
                <w:color w:val="auto"/>
              </w:rPr>
            </w:pPr>
            <w:r>
              <w:rPr>
                <w:rFonts w:ascii="Arial" w:cs="Arial" w:eastAsia="Arial" w:hAnsi="Arial"/>
                <w:sz w:val="4"/>
                <w:szCs w:val="4"/>
                <w:color w:val="FFFFFF"/>
              </w:rPr>
              <w:t>Urology General Surgery</w:t>
            </w: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40" w:type="dxa"/>
            <w:vAlign w:val="bottom"/>
            <w:gridSpan w:val="4"/>
          </w:tcPr>
          <w:p>
            <w:pPr>
              <w:spacing w:after="0" w:line="40" w:lineRule="exact"/>
              <w:rPr>
                <w:sz w:val="20"/>
                <w:szCs w:val="20"/>
                <w:color w:val="auto"/>
              </w:rPr>
            </w:pPr>
            <w:r>
              <w:rPr>
                <w:rFonts w:ascii="Arial" w:cs="Arial" w:eastAsia="Arial" w:hAnsi="Arial"/>
                <w:sz w:val="4"/>
                <w:szCs w:val="4"/>
                <w:color w:val="FFFFFF"/>
              </w:rPr>
              <w:t>OrthopedicsNN’Medical Business* ($100M)</w:t>
            </w: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rPr>
                <w:sz w:val="3"/>
                <w:szCs w:val="3"/>
                <w:color w:val="auto"/>
              </w:rPr>
            </w:pPr>
          </w:p>
        </w:tc>
        <w:tc>
          <w:tcPr>
            <w:tcW w:w="4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11%</w:t>
            </w:r>
          </w:p>
        </w:tc>
        <w:tc>
          <w:tcPr>
            <w:tcW w:w="33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 w:type="dxa"/>
            <w:vAlign w:val="bottom"/>
            <w:gridSpan w:val="2"/>
          </w:tcPr>
          <w:p>
            <w:pPr>
              <w:spacing w:after="0" w:line="40" w:lineRule="exact"/>
              <w:rPr>
                <w:sz w:val="20"/>
                <w:szCs w:val="20"/>
                <w:color w:val="auto"/>
              </w:rPr>
            </w:pPr>
            <w:r>
              <w:rPr>
                <w:rFonts w:ascii="Arial" w:cs="Arial" w:eastAsia="Arial" w:hAnsi="Arial"/>
                <w:sz w:val="4"/>
                <w:szCs w:val="4"/>
                <w:color w:val="FFFFFF"/>
              </w:rPr>
              <w:t>12%</w:t>
            </w:r>
          </w:p>
        </w:tc>
        <w:tc>
          <w:tcPr>
            <w:tcW w:w="400" w:type="dxa"/>
            <w:vAlign w:val="bottom"/>
          </w:tcPr>
          <w:p>
            <w:pPr>
              <w:jc w:val="right"/>
              <w:ind w:right="118"/>
              <w:spacing w:after="0" w:line="40" w:lineRule="exact"/>
              <w:rPr>
                <w:sz w:val="20"/>
                <w:szCs w:val="20"/>
                <w:color w:val="auto"/>
              </w:rPr>
            </w:pPr>
            <w:r>
              <w:rPr>
                <w:rFonts w:ascii="Arial" w:cs="Arial" w:eastAsia="Arial" w:hAnsi="Arial"/>
                <w:sz w:val="4"/>
                <w:szCs w:val="4"/>
                <w:color w:val="FFFFFF"/>
              </w:rPr>
              <w:t>46%</w:t>
            </w:r>
          </w:p>
        </w:tc>
        <w:tc>
          <w:tcPr>
            <w:tcW w:w="33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0" w:type="dxa"/>
            <w:vAlign w:val="bottom"/>
            <w:gridSpan w:val="2"/>
          </w:tcPr>
          <w:p>
            <w:pPr>
              <w:spacing w:after="0" w:line="40" w:lineRule="exact"/>
              <w:rPr>
                <w:sz w:val="20"/>
                <w:szCs w:val="20"/>
                <w:color w:val="auto"/>
              </w:rPr>
            </w:pPr>
            <w:r>
              <w:rPr>
                <w:rFonts w:ascii="Arial" w:cs="Arial" w:eastAsia="Arial" w:hAnsi="Arial"/>
                <w:sz w:val="4"/>
                <w:szCs w:val="4"/>
                <w:color w:val="FFFFFF"/>
              </w:rPr>
              <w:t>29%</w:t>
            </w:r>
          </w:p>
        </w:tc>
        <w:tc>
          <w:tcPr>
            <w:tcW w:w="4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40" w:type="dxa"/>
            <w:vAlign w:val="bottom"/>
            <w:gridSpan w:val="4"/>
          </w:tcPr>
          <w:p>
            <w:pPr>
              <w:spacing w:after="0" w:line="40" w:lineRule="exact"/>
              <w:rPr>
                <w:sz w:val="20"/>
                <w:szCs w:val="20"/>
                <w:color w:val="auto"/>
              </w:rPr>
            </w:pPr>
            <w:r>
              <w:rPr>
                <w:rFonts w:ascii="Arial" w:cs="Arial" w:eastAsia="Arial" w:hAnsi="Arial"/>
                <w:sz w:val="4"/>
                <w:szCs w:val="4"/>
                <w:color w:val="FFFFFF"/>
              </w:rPr>
              <w:t>General Surgery Orthopedics Drug Delivery Diagnostic/Imaging Other</w:t>
            </w:r>
          </w:p>
        </w:tc>
        <w:tc>
          <w:tcPr>
            <w:tcW w:w="25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40" w:type="dxa"/>
            <w:vAlign w:val="bottom"/>
            <w:gridSpan w:val="4"/>
          </w:tcPr>
          <w:p>
            <w:pPr>
              <w:spacing w:after="0" w:line="40" w:lineRule="exact"/>
              <w:rPr>
                <w:sz w:val="20"/>
                <w:szCs w:val="20"/>
                <w:color w:val="auto"/>
              </w:rPr>
            </w:pPr>
            <w:r>
              <w:rPr>
                <w:rFonts w:ascii="Arial" w:cs="Arial" w:eastAsia="Arial" w:hAnsi="Arial"/>
                <w:sz w:val="4"/>
                <w:szCs w:val="4"/>
                <w:color w:val="FFFFFF"/>
              </w:rPr>
              <w:t>Medical Devices</w:t>
            </w:r>
          </w:p>
        </w:tc>
        <w:tc>
          <w:tcPr>
            <w:tcW w:w="2560" w:type="dxa"/>
            <w:vAlign w:val="bottom"/>
            <w:vMerge w:val="restart"/>
          </w:tcPr>
          <w:p>
            <w:pPr>
              <w:ind w:left="320"/>
              <w:spacing w:after="0" w:line="38" w:lineRule="exact"/>
              <w:rPr>
                <w:sz w:val="20"/>
                <w:szCs w:val="20"/>
                <w:color w:val="auto"/>
              </w:rPr>
            </w:pPr>
            <w:r>
              <w:rPr>
                <w:rFonts w:ascii="Arial" w:cs="Arial" w:eastAsia="Arial" w:hAnsi="Arial"/>
                <w:sz w:val="4"/>
                <w:szCs w:val="4"/>
                <w:color w:val="FFFFFF"/>
              </w:rPr>
              <w:t>o Estimated that only 30% of 15-20M</w:t>
            </w:r>
          </w:p>
        </w:tc>
        <w:tc>
          <w:tcPr>
            <w:tcW w:w="4380" w:type="dxa"/>
            <w:vAlign w:val="bottom"/>
            <w:vMerge w:val="restart"/>
          </w:tcPr>
          <w:p>
            <w:pPr>
              <w:ind w:left="260"/>
              <w:spacing w:after="0" w:line="38" w:lineRule="exact"/>
              <w:rPr>
                <w:sz w:val="20"/>
                <w:szCs w:val="20"/>
                <w:color w:val="auto"/>
              </w:rPr>
            </w:pPr>
            <w:r>
              <w:rPr>
                <w:rFonts w:ascii="Arial" w:cs="Arial" w:eastAsia="Arial" w:hAnsi="Arial"/>
                <w:sz w:val="4"/>
                <w:szCs w:val="4"/>
                <w:color w:val="FFFFFF"/>
              </w:rPr>
              <w:t>surgical procedures are performed with MIS techniques o Growth rate: 5—6%</w:t>
            </w:r>
          </w:p>
        </w:tc>
        <w:tc>
          <w:tcPr>
            <w:tcW w:w="0" w:type="dxa"/>
            <w:vAlign w:val="bottom"/>
          </w:tcPr>
          <w:p>
            <w:pPr>
              <w:spacing w:after="0" w:line="20" w:lineRule="exact"/>
              <w:rPr>
                <w:sz w:val="1"/>
                <w:szCs w:val="1"/>
                <w:color w:val="auto"/>
              </w:rPr>
            </w:pPr>
          </w:p>
        </w:tc>
      </w:tr>
      <w:tr>
        <w:trPr>
          <w:trHeight w:val="0"/>
        </w:trPr>
        <w:tc>
          <w:tcPr>
            <w:tcW w:w="4040" w:type="dxa"/>
            <w:vAlign w:val="bottom"/>
            <w:gridSpan w:val="4"/>
          </w:tcPr>
          <w:p>
            <w:pPr>
              <w:spacing w:after="0" w:line="78" w:lineRule="exact"/>
              <w:rPr>
                <w:sz w:val="20"/>
                <w:szCs w:val="20"/>
                <w:color w:val="auto"/>
              </w:rPr>
            </w:pPr>
            <w:r>
              <w:rPr>
                <w:rFonts w:ascii="Arial" w:cs="Arial" w:eastAsia="Arial" w:hAnsi="Arial"/>
                <w:sz w:val="8"/>
                <w:szCs w:val="8"/>
                <w:color w:val="FFFFFF"/>
              </w:rPr>
              <w:t>General Surgery o Minimally invasive instruments, sub-assemblies &amp;</w:t>
            </w:r>
          </w:p>
        </w:tc>
        <w:tc>
          <w:tcPr>
            <w:tcW w:w="2560" w:type="dxa"/>
            <w:vAlign w:val="bottom"/>
            <w:vMerge w:val="continue"/>
          </w:tcPr>
          <w:p>
            <w:pPr>
              <w:spacing w:after="0" w:line="20" w:lineRule="exact"/>
              <w:rPr>
                <w:sz w:val="1"/>
                <w:szCs w:val="1"/>
                <w:color w:val="auto"/>
              </w:rPr>
            </w:pPr>
          </w:p>
        </w:tc>
        <w:tc>
          <w:tcPr>
            <w:tcW w:w="4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80"/>
        <w:spacing w:after="0" w:line="24" w:lineRule="auto"/>
        <w:tabs>
          <w:tab w:leader="none" w:pos="6360" w:val="left"/>
        </w:tabs>
        <w:rPr>
          <w:sz w:val="20"/>
          <w:szCs w:val="20"/>
          <w:color w:val="auto"/>
        </w:rPr>
      </w:pPr>
      <w:r>
        <w:rPr>
          <w:rFonts w:ascii="Arial" w:cs="Arial" w:eastAsia="Arial" w:hAnsi="Arial"/>
          <w:sz w:val="1"/>
          <w:szCs w:val="1"/>
          <w:color w:val="FFFFFF"/>
        </w:rPr>
        <w:t>components</w:t>
      </w:r>
      <w:r>
        <w:rPr>
          <w:sz w:val="20"/>
          <w:szCs w:val="20"/>
          <w:color w:val="auto"/>
        </w:rPr>
        <w:tab/>
      </w:r>
      <w:r>
        <w:rPr>
          <w:rFonts w:ascii="Arial" w:cs="Arial" w:eastAsia="Arial" w:hAnsi="Arial"/>
          <w:sz w:val="1"/>
          <w:szCs w:val="1"/>
          <w:color w:val="FFFFFF"/>
        </w:rPr>
        <w:t>potential</w:t>
      </w:r>
    </w:p>
    <w:p>
      <w:pPr>
        <w:spacing w:after="0" w:line="205" w:lineRule="auto"/>
        <w:tabs>
          <w:tab w:leader="none" w:pos="3920" w:val="left"/>
          <w:tab w:leader="none" w:pos="6500" w:val="left"/>
        </w:tabs>
        <w:rPr>
          <w:sz w:val="20"/>
          <w:szCs w:val="20"/>
          <w:color w:val="auto"/>
        </w:rPr>
      </w:pPr>
      <w:r>
        <w:rPr>
          <w:rFonts w:ascii="Arial" w:cs="Arial" w:eastAsia="Arial" w:hAnsi="Arial"/>
          <w:sz w:val="4"/>
          <w:szCs w:val="4"/>
          <w:color w:val="FFFFFF"/>
        </w:rPr>
        <w:t>DrugOrthopedicsiagnostics oo DeviceDevicesandandequipmentinstrumentscomponentsforspine,componentship,Growthknee andrate:shoulder5—6%</w:t>
      </w:r>
      <w:r>
        <w:rPr>
          <w:sz w:val="20"/>
          <w:szCs w:val="20"/>
          <w:color w:val="auto"/>
        </w:rPr>
        <w:tab/>
      </w:r>
      <w:r>
        <w:rPr>
          <w:rFonts w:ascii="Arial" w:cs="Arial" w:eastAsia="Arial" w:hAnsi="Arial"/>
          <w:sz w:val="4"/>
          <w:szCs w:val="4"/>
          <w:color w:val="FFFFFF"/>
        </w:rPr>
        <w:t>Desire to convert reusable device to single-use</w:t>
      </w:r>
      <w:r>
        <w:rPr>
          <w:sz w:val="20"/>
          <w:szCs w:val="20"/>
          <w:color w:val="auto"/>
        </w:rPr>
        <w:tab/>
      </w:r>
      <w:r>
        <w:rPr>
          <w:rFonts w:ascii="Arial" w:cs="Arial" w:eastAsia="Arial" w:hAnsi="Arial"/>
          <w:sz w:val="4"/>
          <w:szCs w:val="4"/>
          <w:color w:val="FFFFFF"/>
        </w:rPr>
        <w:t>Growth rate: 3—5%</w:t>
      </w:r>
    </w:p>
    <w:p>
      <w:pPr>
        <w:ind w:right="3600" w:firstLine="302"/>
        <w:spacing w:after="0" w:line="189" w:lineRule="auto"/>
        <w:rPr>
          <w:sz w:val="20"/>
          <w:szCs w:val="20"/>
          <w:color w:val="auto"/>
        </w:rPr>
      </w:pPr>
      <w:r>
        <w:rPr>
          <w:rFonts w:ascii="Arial" w:cs="Arial" w:eastAsia="Arial" w:hAnsi="Arial"/>
          <w:sz w:val="8"/>
          <w:szCs w:val="8"/>
          <w:color w:val="FFFFFF"/>
        </w:rPr>
        <w:t>Delivery</w:t>
      </w:r>
      <w:r>
        <w:rPr>
          <w:rFonts w:ascii="Arial" w:cs="Arial" w:eastAsia="Arial" w:hAnsi="Arial"/>
          <w:sz w:val="13"/>
          <w:szCs w:val="13"/>
          <w:color w:val="FFFFFF"/>
          <w:vertAlign w:val="superscript"/>
        </w:rPr>
        <w:t>Pro</w:t>
      </w:r>
      <w:r>
        <w:rPr>
          <w:rFonts w:ascii="Arial" w:cs="Arial" w:eastAsia="Arial" w:hAnsi="Arial"/>
          <w:sz w:val="8"/>
          <w:szCs w:val="8"/>
          <w:color w:val="FFFFFF"/>
        </w:rPr>
        <w:t>Precision metal and plastic for infusion pumps, injector devices and wearable devices o Growth rate: 10—12% *Based 2015 Forma Sales</w:t>
      </w:r>
    </w:p>
    <w:p>
      <w:pPr>
        <w:spacing w:after="0"/>
        <w:rPr>
          <w:sz w:val="20"/>
          <w:szCs w:val="20"/>
          <w:color w:val="auto"/>
        </w:rPr>
      </w:pPr>
      <w:r>
        <w:rPr>
          <w:rFonts w:ascii="Arial" w:cs="Arial" w:eastAsia="Arial" w:hAnsi="Arial"/>
          <w:sz w:val="13"/>
          <w:szCs w:val="13"/>
          <w:color w:val="FFFFFF"/>
        </w:rPr>
        <w:t>27</w:t>
      </w:r>
    </w:p>
    <w:p>
      <w:pPr>
        <w:sectPr>
          <w:pgSz w:w="11900" w:h="16838" w:orient="portrait"/>
          <w:cols w:equalWidth="0" w:num="1">
            <w:col w:w="10980"/>
          </w:cols>
          <w:pgMar w:left="240" w:top="1440" w:right="6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Marketedical:growthHow Wrate:Grow4—6%</w:t>
      </w:r>
    </w:p>
    <w:p>
      <w:pPr>
        <w:spacing w:after="0" w:line="204" w:lineRule="auto"/>
        <w:rPr>
          <w:sz w:val="20"/>
          <w:szCs w:val="20"/>
          <w:color w:val="auto"/>
        </w:rPr>
      </w:pPr>
      <w:r>
        <w:rPr>
          <w:rFonts w:ascii="Arial" w:cs="Arial" w:eastAsia="Arial" w:hAnsi="Arial"/>
          <w:sz w:val="4"/>
          <w:szCs w:val="4"/>
          <w:color w:val="FFFFFF"/>
        </w:rPr>
        <w:t>Comprehensive Platform for Growth:</w:t>
      </w:r>
    </w:p>
    <w:p>
      <w:pPr>
        <w:spacing w:after="0" w:line="182" w:lineRule="auto"/>
        <w:rPr>
          <w:sz w:val="20"/>
          <w:szCs w:val="20"/>
          <w:color w:val="auto"/>
        </w:rPr>
      </w:pPr>
      <w:r>
        <w:rPr>
          <w:rFonts w:ascii="Arial" w:cs="Arial" w:eastAsia="Arial" w:hAnsi="Arial"/>
          <w:sz w:val="9"/>
          <w:szCs w:val="9"/>
          <w:color w:val="FFFFFF"/>
        </w:rPr>
        <w:t>Capability1)Revenueportfolioexpansion with existing customers</w:t>
      </w:r>
    </w:p>
    <w:p>
      <w:pPr>
        <w:spacing w:after="0" w:line="206" w:lineRule="auto"/>
        <w:rPr>
          <w:sz w:val="20"/>
          <w:szCs w:val="20"/>
          <w:color w:val="auto"/>
        </w:rPr>
      </w:pPr>
      <w:r>
        <w:rPr>
          <w:rFonts w:ascii="Arial" w:cs="Arial" w:eastAsia="Arial" w:hAnsi="Arial"/>
          <w:sz w:val="4"/>
          <w:szCs w:val="4"/>
          <w:color w:val="FFFFFF"/>
        </w:rPr>
        <w:t>Global footprint</w:t>
      </w:r>
    </w:p>
    <w:p>
      <w:pPr>
        <w:spacing w:after="0" w:line="182" w:lineRule="auto"/>
        <w:rPr>
          <w:sz w:val="20"/>
          <w:szCs w:val="20"/>
          <w:color w:val="auto"/>
        </w:rPr>
      </w:pPr>
      <w:r>
        <w:rPr>
          <w:rFonts w:ascii="Arial" w:cs="Arial" w:eastAsia="Arial" w:hAnsi="Arial"/>
          <w:sz w:val="9"/>
          <w:szCs w:val="9"/>
          <w:color w:val="FFFFFF"/>
        </w:rPr>
        <w:t>ExpandingStrategicpartnershipsopportunitieswithacrosskey customerssegments</w:t>
      </w:r>
    </w:p>
    <w:p>
      <w:pPr>
        <w:spacing w:after="0" w:line="205" w:lineRule="auto"/>
        <w:rPr>
          <w:sz w:val="20"/>
          <w:szCs w:val="20"/>
          <w:color w:val="auto"/>
        </w:rPr>
      </w:pPr>
      <w:r>
        <w:rPr>
          <w:rFonts w:ascii="Arial" w:cs="Arial" w:eastAsia="Arial" w:hAnsi="Arial"/>
          <w:sz w:val="4"/>
          <w:szCs w:val="4"/>
          <w:color w:val="FFFFFF"/>
        </w:rPr>
        <w:t>Supporting customers’ global expansion</w:t>
      </w:r>
    </w:p>
    <w:p>
      <w:pPr>
        <w:spacing w:after="0" w:line="234" w:lineRule="auto"/>
        <w:rPr>
          <w:sz w:val="20"/>
          <w:szCs w:val="20"/>
          <w:color w:val="auto"/>
        </w:rPr>
      </w:pPr>
      <w:r>
        <w:rPr>
          <w:rFonts w:ascii="Arial" w:cs="Arial" w:eastAsia="Arial" w:hAnsi="Arial"/>
          <w:sz w:val="7"/>
          <w:szCs w:val="7"/>
          <w:color w:val="FFFFFF"/>
        </w:rPr>
        <w:t>4)3)2) DGrowthOEMsugdeliveryincreaseinjectableoutsourcingmarket25%expectedto30% byto 2020grow at a CAGR of 10—12% from 2015 to 2020</w:t>
      </w:r>
    </w:p>
    <w:p>
      <w:pPr>
        <w:ind w:left="580"/>
        <w:spacing w:after="0" w:line="206" w:lineRule="auto"/>
        <w:rPr>
          <w:sz w:val="20"/>
          <w:szCs w:val="20"/>
          <w:color w:val="auto"/>
        </w:rPr>
      </w:pPr>
      <w:r>
        <w:rPr>
          <w:rFonts w:ascii="Arial" w:cs="Arial" w:eastAsia="Arial" w:hAnsi="Arial"/>
          <w:sz w:val="4"/>
          <w:szCs w:val="4"/>
          <w:color w:val="FFFFFF"/>
        </w:rPr>
        <w:t>within and across segments with new customers</w:t>
      </w:r>
    </w:p>
    <w:p>
      <w:pPr>
        <w:spacing w:after="0" w:line="182" w:lineRule="auto"/>
        <w:rPr>
          <w:sz w:val="20"/>
          <w:szCs w:val="20"/>
          <w:color w:val="auto"/>
        </w:rPr>
      </w:pPr>
      <w:r>
        <w:rPr>
          <w:rFonts w:ascii="Arial" w:cs="Arial" w:eastAsia="Arial" w:hAnsi="Arial"/>
          <w:sz w:val="9"/>
          <w:szCs w:val="9"/>
          <w:color w:val="FFFFFF"/>
        </w:rPr>
        <w:t>TheExpanded“More”–newengineeringproduct&amp;salesand processingresources technology</w:t>
      </w:r>
    </w:p>
    <w:p>
      <w:pPr>
        <w:spacing w:after="0" w:line="205" w:lineRule="auto"/>
        <w:rPr>
          <w:sz w:val="20"/>
          <w:szCs w:val="20"/>
          <w:color w:val="auto"/>
        </w:rPr>
      </w:pPr>
      <w:r>
        <w:rPr>
          <w:rFonts w:ascii="Arial" w:cs="Arial" w:eastAsia="Arial" w:hAnsi="Arial"/>
          <w:sz w:val="4"/>
          <w:szCs w:val="4"/>
          <w:color w:val="FFFFFF"/>
        </w:rPr>
        <w:t>Innovation C nters</w:t>
      </w:r>
    </w:p>
    <w:p>
      <w:pPr>
        <w:spacing w:after="0" w:line="205" w:lineRule="auto"/>
        <w:rPr>
          <w:sz w:val="20"/>
          <w:szCs w:val="20"/>
          <w:color w:val="auto"/>
        </w:rPr>
      </w:pPr>
      <w:r>
        <w:rPr>
          <w:rFonts w:ascii="Arial" w:cs="Arial" w:eastAsia="Arial" w:hAnsi="Arial"/>
          <w:sz w:val="4"/>
          <w:szCs w:val="4"/>
          <w:color w:val="FFFFFF"/>
        </w:rPr>
        <w:t>InNN’Millionsestimated growth rate: 6—8%</w:t>
      </w:r>
    </w:p>
    <w:p>
      <w:pPr>
        <w:ind w:left="140"/>
        <w:spacing w:after="0" w:line="205" w:lineRule="auto"/>
        <w:rPr>
          <w:sz w:val="20"/>
          <w:szCs w:val="20"/>
          <w:color w:val="auto"/>
        </w:rPr>
      </w:pPr>
      <w:r>
        <w:rPr>
          <w:rFonts w:ascii="Arial" w:cs="Arial" w:eastAsia="Arial" w:hAnsi="Arial"/>
          <w:sz w:val="4"/>
          <w:szCs w:val="4"/>
          <w:color w:val="FFFFFF"/>
          <w:vertAlign w:val="superscript"/>
        </w:rPr>
        <w:t>23</w:t>
      </w:r>
    </w:p>
    <w:p>
      <w:pPr>
        <w:spacing w:after="0" w:line="189" w:lineRule="auto"/>
        <w:rPr>
          <w:sz w:val="20"/>
          <w:szCs w:val="20"/>
          <w:color w:val="auto"/>
        </w:rPr>
      </w:pPr>
      <w:r>
        <w:rPr>
          <w:rFonts w:ascii="Arial" w:cs="Arial" w:eastAsia="Arial" w:hAnsi="Arial"/>
          <w:sz w:val="13"/>
          <w:szCs w:val="13"/>
          <w:color w:val="FFFFFF"/>
        </w:rPr>
        <w:t>$1005 $120 $115 $110 $105 $100 $95 $90</w:t>
      </w:r>
    </w:p>
    <w:p>
      <w:pPr>
        <w:spacing w:after="0" w:line="206" w:lineRule="auto"/>
        <w:rPr>
          <w:sz w:val="20"/>
          <w:szCs w:val="20"/>
          <w:color w:val="auto"/>
        </w:rPr>
      </w:pPr>
      <w:r>
        <w:rPr>
          <w:rFonts w:ascii="Arial" w:cs="Arial" w:eastAsia="Arial" w:hAnsi="Arial"/>
          <w:sz w:val="4"/>
          <w:szCs w:val="4"/>
          <w:color w:val="FFFFFF"/>
        </w:rPr>
        <w:t>www.nninc.com2015Base2016 2017 2018 Strategic Target</w:t>
      </w:r>
    </w:p>
    <w:p>
      <w:pPr>
        <w:spacing w:after="0"/>
        <w:rPr>
          <w:sz w:val="20"/>
          <w:szCs w:val="20"/>
          <w:color w:val="auto"/>
        </w:rPr>
      </w:pPr>
      <w:r>
        <w:rPr>
          <w:rFonts w:ascii="Arial" w:cs="Arial" w:eastAsia="Arial" w:hAnsi="Arial"/>
          <w:sz w:val="13"/>
          <w:szCs w:val="13"/>
          <w:color w:val="FFFFFF"/>
        </w:rPr>
        <w:t>28</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Electrical Products</w:t>
      </w:r>
    </w:p>
    <w:p>
      <w:pPr>
        <w:spacing w:after="0" w:line="234" w:lineRule="auto"/>
        <w:rPr>
          <w:sz w:val="20"/>
          <w:szCs w:val="20"/>
          <w:color w:val="auto"/>
        </w:rPr>
      </w:pPr>
      <w:r>
        <w:rPr>
          <w:rFonts w:ascii="Arial" w:cs="Arial" w:eastAsia="Arial" w:hAnsi="Arial"/>
          <w:sz w:val="7"/>
          <w:szCs w:val="7"/>
          <w:color w:val="FFFFFF"/>
        </w:rPr>
        <w:t>ApplicationsMission-criticalincludemetallow,andmediumplasticmaterials,andhigh voltagecomponents and sub-assemblies</w:t>
      </w:r>
    </w:p>
    <w:p>
      <w:pPr>
        <w:spacing w:after="0" w:line="205" w:lineRule="auto"/>
        <w:rPr>
          <w:sz w:val="20"/>
          <w:szCs w:val="20"/>
          <w:color w:val="auto"/>
        </w:rPr>
      </w:pPr>
      <w:r>
        <w:rPr>
          <w:rFonts w:ascii="Arial" w:cs="Arial" w:eastAsia="Arial" w:hAnsi="Arial"/>
          <w:sz w:val="4"/>
          <w:szCs w:val="4"/>
          <w:color w:val="FFFFFF"/>
        </w:rPr>
        <w:t>Transmission and distribution</w:t>
      </w:r>
    </w:p>
    <w:p>
      <w:pPr>
        <w:spacing w:after="0" w:line="182" w:lineRule="auto"/>
        <w:rPr>
          <w:sz w:val="20"/>
          <w:szCs w:val="20"/>
          <w:color w:val="auto"/>
        </w:rPr>
      </w:pPr>
      <w:r>
        <w:rPr>
          <w:rFonts w:ascii="Arial" w:cs="Arial" w:eastAsia="Arial" w:hAnsi="Arial"/>
          <w:sz w:val="9"/>
          <w:szCs w:val="9"/>
          <w:color w:val="FFFFFF"/>
        </w:rPr>
        <w:t>NonResidential-residentialdevicesautomationandequipmentandcontrols</w:t>
      </w:r>
    </w:p>
    <w:p>
      <w:pPr>
        <w:spacing w:after="0" w:line="205" w:lineRule="auto"/>
        <w:rPr>
          <w:sz w:val="20"/>
          <w:szCs w:val="20"/>
          <w:color w:val="auto"/>
        </w:rPr>
      </w:pPr>
      <w:r>
        <w:rPr>
          <w:rFonts w:ascii="Arial" w:cs="Arial" w:eastAsia="Arial" w:hAnsi="Arial"/>
          <w:sz w:val="4"/>
          <w:szCs w:val="4"/>
          <w:color w:val="FFFFFF"/>
          <w:vertAlign w:val="superscript"/>
        </w:rPr>
        <w:t>Material</w:t>
      </w:r>
      <w:r>
        <w:rPr>
          <w:rFonts w:ascii="Arial" w:cs="Arial" w:eastAsia="Arial" w:hAnsi="Arial"/>
          <w:sz w:val="2"/>
          <w:szCs w:val="2"/>
          <w:color w:val="FFFFFF"/>
        </w:rPr>
        <w:t>Comprehensive/design/prototype/mfg.portfolio processes</w:t>
      </w:r>
    </w:p>
    <w:p>
      <w:pPr>
        <w:ind w:left="480"/>
        <w:spacing w:after="0" w:line="205" w:lineRule="auto"/>
        <w:rPr>
          <w:sz w:val="20"/>
          <w:szCs w:val="20"/>
          <w:color w:val="auto"/>
        </w:rPr>
      </w:pPr>
      <w:r>
        <w:rPr>
          <w:rFonts w:ascii="Arial" w:cs="Arial" w:eastAsia="Arial" w:hAnsi="Arial"/>
          <w:sz w:val="4"/>
          <w:szCs w:val="4"/>
          <w:color w:val="FFFFFF"/>
        </w:rPr>
        <w:t>Science</w:t>
      </w:r>
    </w:p>
    <w:p>
      <w:pPr>
        <w:spacing w:after="0" w:line="182" w:lineRule="auto"/>
        <w:rPr>
          <w:sz w:val="20"/>
          <w:szCs w:val="20"/>
          <w:color w:val="auto"/>
        </w:rPr>
      </w:pPr>
      <w:r>
        <w:rPr>
          <w:rFonts w:ascii="Arial" w:cs="Arial" w:eastAsia="Arial" w:hAnsi="Arial"/>
          <w:sz w:val="9"/>
          <w:szCs w:val="9"/>
          <w:color w:val="FFFFFF"/>
        </w:rPr>
        <w:t>Components &amp; Assemblies</w:t>
      </w:r>
    </w:p>
    <w:p>
      <w:pPr>
        <w:spacing w:after="0" w:line="182" w:lineRule="auto"/>
        <w:rPr>
          <w:sz w:val="20"/>
          <w:szCs w:val="20"/>
          <w:color w:val="auto"/>
        </w:rPr>
      </w:pPr>
      <w:r>
        <w:rPr>
          <w:rFonts w:ascii="Arial" w:cs="Arial" w:eastAsia="Arial" w:hAnsi="Arial"/>
          <w:sz w:val="7"/>
          <w:szCs w:val="7"/>
          <w:color w:val="FFFFFF"/>
        </w:rPr>
        <w:t>TransformersEngineeredSolutionsGeneratorsFoundSubmer</w:t>
      </w:r>
      <w:r>
        <w:rPr>
          <w:rFonts w:ascii="Arial" w:cs="Arial" w:eastAsia="Arial" w:hAnsi="Arial"/>
          <w:sz w:val="9"/>
          <w:szCs w:val="9"/>
          <w:color w:val="FFFFFF"/>
          <w:vertAlign w:val="superscript"/>
        </w:rPr>
        <w:t>Switches</w:t>
      </w:r>
      <w:r>
        <w:rPr>
          <w:rFonts w:ascii="Arial" w:cs="Arial" w:eastAsia="Arial" w:hAnsi="Arial"/>
          <w:sz w:val="9"/>
          <w:szCs w:val="9"/>
          <w:color w:val="FFFFFF"/>
          <w:vertAlign w:val="subscript"/>
        </w:rPr>
        <w:t>Throughout</w:t>
      </w:r>
      <w:r>
        <w:rPr>
          <w:rFonts w:ascii="Arial" w:cs="Arial" w:eastAsia="Arial" w:hAnsi="Arial"/>
          <w:sz w:val="7"/>
          <w:szCs w:val="7"/>
          <w:color w:val="FFFFFF"/>
        </w:rPr>
        <w:t>dEnvironmenttheGrid Switches</w:t>
      </w:r>
    </w:p>
    <w:p>
      <w:pPr>
        <w:spacing w:after="0" w:line="206" w:lineRule="auto"/>
        <w:tabs>
          <w:tab w:leader="none" w:pos="1940" w:val="left"/>
        </w:tabs>
        <w:rPr>
          <w:sz w:val="20"/>
          <w:szCs w:val="20"/>
          <w:color w:val="auto"/>
        </w:rPr>
      </w:pPr>
      <w:r>
        <w:rPr>
          <w:rFonts w:ascii="Arial" w:cs="Arial" w:eastAsia="Arial" w:hAnsi="Arial"/>
          <w:sz w:val="4"/>
          <w:szCs w:val="4"/>
          <w:color w:val="FFFFFF"/>
        </w:rPr>
        <w:t>WindElectricTurbinesSmart MeterSolar PanelsLight</w:t>
      </w:r>
      <w:r>
        <w:rPr>
          <w:sz w:val="20"/>
          <w:szCs w:val="20"/>
          <w:color w:val="auto"/>
        </w:rPr>
        <w:tab/>
      </w:r>
      <w:r>
        <w:rPr>
          <w:rFonts w:ascii="Arial" w:cs="Arial" w:eastAsia="Arial" w:hAnsi="Arial"/>
          <w:sz w:val="4"/>
          <w:szCs w:val="4"/>
          <w:color w:val="FFFFFF"/>
        </w:rPr>
        <w:t>Circuit Breakers HVAC Appliances</w:t>
      </w:r>
    </w:p>
    <w:p>
      <w:pPr>
        <w:spacing w:after="0" w:line="182" w:lineRule="auto"/>
        <w:rPr>
          <w:sz w:val="20"/>
          <w:szCs w:val="20"/>
          <w:color w:val="auto"/>
        </w:rPr>
      </w:pPr>
      <w:r>
        <w:rPr>
          <w:rFonts w:ascii="Arial" w:cs="Arial" w:eastAsia="Arial" w:hAnsi="Arial"/>
          <w:sz w:val="9"/>
          <w:szCs w:val="9"/>
          <w:color w:val="FFFFFF"/>
        </w:rPr>
        <w:t>Automation &amp; PLC Controls Electromechanical Controllers</w:t>
      </w:r>
    </w:p>
    <w:p>
      <w:pPr>
        <w:spacing w:after="0" w:line="206" w:lineRule="auto"/>
        <w:rPr>
          <w:sz w:val="20"/>
          <w:szCs w:val="20"/>
          <w:color w:val="auto"/>
        </w:rPr>
      </w:pPr>
      <w:r>
        <w:rPr>
          <w:rFonts w:ascii="Arial" w:cs="Arial" w:eastAsia="Arial" w:hAnsi="Arial"/>
          <w:sz w:val="4"/>
          <w:szCs w:val="4"/>
          <w:color w:val="FFFFFF"/>
        </w:rPr>
        <w:t>www.nninc.comRechargingOverload &amp; Protection Systems</w:t>
      </w:r>
    </w:p>
    <w:p>
      <w:pPr>
        <w:spacing w:after="0"/>
        <w:rPr>
          <w:sz w:val="20"/>
          <w:szCs w:val="20"/>
          <w:color w:val="auto"/>
        </w:rPr>
      </w:pPr>
      <w:r>
        <w:rPr>
          <w:rFonts w:ascii="Arial" w:cs="Arial" w:eastAsia="Arial" w:hAnsi="Arial"/>
          <w:sz w:val="13"/>
          <w:szCs w:val="13"/>
          <w:color w:val="FFFFFF"/>
        </w:rPr>
        <w:t>29</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2820" w:type="dxa"/>
            <w:vAlign w:val="bottom"/>
            <w:gridSpan w:val="3"/>
          </w:tcPr>
          <w:p>
            <w:pPr>
              <w:jc w:val="right"/>
              <w:ind w:right="1995"/>
              <w:spacing w:after="0"/>
              <w:rPr>
                <w:sz w:val="20"/>
                <w:szCs w:val="20"/>
                <w:color w:val="auto"/>
              </w:rPr>
            </w:pPr>
            <w:r>
              <w:rPr>
                <w:rFonts w:ascii="Arial" w:cs="Arial" w:eastAsia="Arial" w:hAnsi="Arial"/>
                <w:sz w:val="13"/>
                <w:szCs w:val="13"/>
                <w:color w:val="FFFFFF"/>
              </w:rPr>
              <w:t>End Market</w:t>
            </w:r>
          </w:p>
        </w:tc>
      </w:tr>
      <w:tr>
        <w:trPr>
          <w:trHeight w:val="39"/>
        </w:trPr>
        <w:tc>
          <w:tcPr>
            <w:tcW w:w="3220" w:type="dxa"/>
            <w:vAlign w:val="bottom"/>
            <w:gridSpan w:val="4"/>
          </w:tcPr>
          <w:p>
            <w:pPr>
              <w:spacing w:after="0" w:line="40" w:lineRule="exact"/>
              <w:rPr>
                <w:sz w:val="20"/>
                <w:szCs w:val="20"/>
                <w:color w:val="auto"/>
              </w:rPr>
            </w:pPr>
            <w:r>
              <w:rPr>
                <w:rFonts w:ascii="Arial" w:cs="Arial" w:eastAsia="Arial" w:hAnsi="Arial"/>
                <w:sz w:val="4"/>
                <w:szCs w:val="4"/>
                <w:color w:val="FFFFFF"/>
              </w:rPr>
              <w:t>Electrical Market (&gt;$250B)</w:t>
            </w: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9%</w:t>
            </w: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30%</w:t>
            </w: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61%</w:t>
            </w: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39"/>
        </w:trPr>
        <w:tc>
          <w:tcPr>
            <w:tcW w:w="3220" w:type="dxa"/>
            <w:vAlign w:val="bottom"/>
            <w:gridSpan w:val="4"/>
          </w:tcPr>
          <w:p>
            <w:pPr>
              <w:spacing w:after="0" w:line="40" w:lineRule="exact"/>
              <w:rPr>
                <w:sz w:val="20"/>
                <w:szCs w:val="20"/>
                <w:color w:val="auto"/>
              </w:rPr>
            </w:pPr>
            <w:r>
              <w:rPr>
                <w:rFonts w:ascii="Arial" w:cs="Arial" w:eastAsia="Arial" w:hAnsi="Arial"/>
                <w:sz w:val="4"/>
                <w:szCs w:val="4"/>
                <w:color w:val="FFFFFF"/>
              </w:rPr>
              <w:t>Non-Residential Automation &amp; Controls Residential Devices</w:t>
            </w:r>
          </w:p>
        </w:tc>
      </w:tr>
      <w:tr>
        <w:trPr>
          <w:trHeight w:val="39"/>
        </w:trPr>
        <w:tc>
          <w:tcPr>
            <w:tcW w:w="880" w:type="dxa"/>
            <w:vAlign w:val="bottom"/>
            <w:gridSpan w:val="3"/>
          </w:tcPr>
          <w:p>
            <w:pPr>
              <w:spacing w:after="0" w:line="40" w:lineRule="exact"/>
              <w:rPr>
                <w:sz w:val="20"/>
                <w:szCs w:val="20"/>
                <w:color w:val="auto"/>
              </w:rPr>
            </w:pPr>
            <w:r>
              <w:rPr>
                <w:rFonts w:ascii="Arial" w:cs="Arial" w:eastAsia="Arial" w:hAnsi="Arial"/>
                <w:sz w:val="4"/>
                <w:szCs w:val="4"/>
                <w:color w:val="FFFFFF"/>
              </w:rPr>
              <w:t>&amp; Equipment</w:t>
            </w:r>
          </w:p>
        </w:tc>
        <w:tc>
          <w:tcPr>
            <w:tcW w:w="2340" w:type="dxa"/>
            <w:vAlign w:val="bottom"/>
          </w:tcPr>
          <w:p>
            <w:pPr>
              <w:spacing w:after="0"/>
              <w:rPr>
                <w:sz w:val="3"/>
                <w:szCs w:val="3"/>
                <w:color w:val="auto"/>
              </w:rPr>
            </w:pPr>
          </w:p>
        </w:tc>
      </w:tr>
      <w:tr>
        <w:trPr>
          <w:trHeight w:val="39"/>
        </w:trPr>
        <w:tc>
          <w:tcPr>
            <w:tcW w:w="3220" w:type="dxa"/>
            <w:vAlign w:val="bottom"/>
            <w:gridSpan w:val="4"/>
          </w:tcPr>
          <w:p>
            <w:pPr>
              <w:spacing w:after="0" w:line="40" w:lineRule="exact"/>
              <w:rPr>
                <w:sz w:val="20"/>
                <w:szCs w:val="20"/>
                <w:color w:val="auto"/>
              </w:rPr>
            </w:pPr>
            <w:r>
              <w:rPr>
                <w:rFonts w:ascii="Arial" w:cs="Arial" w:eastAsia="Arial" w:hAnsi="Arial"/>
                <w:sz w:val="4"/>
                <w:szCs w:val="4"/>
                <w:color w:val="FFFFFF"/>
              </w:rPr>
              <w:t>Transmission &amp; Distribution</w:t>
            </w:r>
          </w:p>
        </w:tc>
      </w:tr>
      <w:tr>
        <w:trPr>
          <w:trHeight w:val="39"/>
        </w:trPr>
        <w:tc>
          <w:tcPr>
            <w:tcW w:w="3220" w:type="dxa"/>
            <w:vAlign w:val="bottom"/>
            <w:gridSpan w:val="4"/>
          </w:tcPr>
          <w:p>
            <w:pPr>
              <w:spacing w:after="0" w:line="40" w:lineRule="exact"/>
              <w:rPr>
                <w:sz w:val="20"/>
                <w:szCs w:val="20"/>
                <w:color w:val="auto"/>
              </w:rPr>
            </w:pPr>
            <w:r>
              <w:rPr>
                <w:rFonts w:ascii="Arial" w:cs="Arial" w:eastAsia="Arial" w:hAnsi="Arial"/>
                <w:sz w:val="4"/>
                <w:szCs w:val="4"/>
                <w:color w:val="FFFFFF"/>
              </w:rPr>
              <w:t>Non-Residential Automation &amp; Controls Residential Devices</w:t>
            </w:r>
          </w:p>
        </w:tc>
      </w:tr>
      <w:tr>
        <w:trPr>
          <w:trHeight w:val="39"/>
        </w:trPr>
        <w:tc>
          <w:tcPr>
            <w:tcW w:w="880" w:type="dxa"/>
            <w:vAlign w:val="bottom"/>
            <w:gridSpan w:val="3"/>
          </w:tcPr>
          <w:p>
            <w:pPr>
              <w:spacing w:after="0" w:line="40" w:lineRule="exact"/>
              <w:rPr>
                <w:sz w:val="20"/>
                <w:szCs w:val="20"/>
                <w:color w:val="auto"/>
              </w:rPr>
            </w:pPr>
            <w:r>
              <w:rPr>
                <w:rFonts w:ascii="Arial" w:cs="Arial" w:eastAsia="Arial" w:hAnsi="Arial"/>
                <w:sz w:val="4"/>
                <w:szCs w:val="4"/>
                <w:color w:val="FFFFFF"/>
              </w:rPr>
              <w:t>&amp; Equipment</w:t>
            </w:r>
          </w:p>
        </w:tc>
        <w:tc>
          <w:tcPr>
            <w:tcW w:w="2340" w:type="dxa"/>
            <w:vAlign w:val="bottom"/>
          </w:tcPr>
          <w:p>
            <w:pPr>
              <w:spacing w:after="0"/>
              <w:rPr>
                <w:sz w:val="3"/>
                <w:szCs w:val="3"/>
                <w:color w:val="auto"/>
              </w:rPr>
            </w:pPr>
          </w:p>
        </w:tc>
      </w:tr>
      <w:tr>
        <w:trPr>
          <w:trHeight w:val="39"/>
        </w:trPr>
        <w:tc>
          <w:tcPr>
            <w:tcW w:w="3220" w:type="dxa"/>
            <w:vAlign w:val="bottom"/>
            <w:gridSpan w:val="4"/>
          </w:tcPr>
          <w:p>
            <w:pPr>
              <w:spacing w:after="0" w:line="40" w:lineRule="exact"/>
              <w:rPr>
                <w:sz w:val="20"/>
                <w:szCs w:val="20"/>
                <w:color w:val="auto"/>
              </w:rPr>
            </w:pPr>
            <w:r>
              <w:rPr>
                <w:rFonts w:ascii="Arial" w:cs="Arial" w:eastAsia="Arial" w:hAnsi="Arial"/>
                <w:sz w:val="4"/>
                <w:szCs w:val="4"/>
                <w:color w:val="FFFFFF"/>
              </w:rPr>
              <w:t>Transmission &amp; Distribution</w:t>
            </w:r>
          </w:p>
        </w:tc>
      </w:tr>
      <w:tr>
        <w:trPr>
          <w:trHeight w:val="39"/>
        </w:trPr>
        <w:tc>
          <w:tcPr>
            <w:tcW w:w="580" w:type="dxa"/>
            <w:vAlign w:val="bottom"/>
            <w:gridSpan w:val="2"/>
          </w:tcPr>
          <w:p>
            <w:pPr>
              <w:spacing w:after="0" w:line="40" w:lineRule="exact"/>
              <w:rPr>
                <w:sz w:val="20"/>
                <w:szCs w:val="20"/>
                <w:color w:val="auto"/>
              </w:rPr>
            </w:pPr>
            <w:r>
              <w:rPr>
                <w:rFonts w:ascii="Arial" w:cs="Arial" w:eastAsia="Arial" w:hAnsi="Arial"/>
                <w:sz w:val="4"/>
                <w:szCs w:val="4"/>
                <w:color w:val="FFFFFF"/>
              </w:rPr>
              <w:t>9.0% 8.0%</w:t>
            </w:r>
          </w:p>
        </w:tc>
        <w:tc>
          <w:tcPr>
            <w:tcW w:w="2640" w:type="dxa"/>
            <w:vAlign w:val="bottom"/>
            <w:gridSpan w:val="2"/>
          </w:tcPr>
          <w:p>
            <w:pPr>
              <w:jc w:val="right"/>
              <w:ind w:right="135"/>
              <w:spacing w:after="0" w:line="40" w:lineRule="exact"/>
              <w:rPr>
                <w:sz w:val="20"/>
                <w:szCs w:val="20"/>
                <w:color w:val="auto"/>
              </w:rPr>
            </w:pPr>
            <w:r>
              <w:rPr>
                <w:rFonts w:ascii="Arial" w:cs="Arial" w:eastAsia="Arial" w:hAnsi="Arial"/>
                <w:sz w:val="4"/>
                <w:szCs w:val="4"/>
                <w:color w:val="FFFFFF"/>
              </w:rPr>
              <w:t>.0% 6.0% 5.0% 4.0% 3.0% 2.0% 1.0% 0.0%</w:t>
            </w:r>
          </w:p>
        </w:tc>
      </w:tr>
      <w:tr>
        <w:trPr>
          <w:trHeight w:val="0"/>
        </w:trPr>
        <w:tc>
          <w:tcPr>
            <w:tcW w:w="580" w:type="dxa"/>
            <w:vAlign w:val="bottom"/>
            <w:gridSpan w:val="2"/>
          </w:tcPr>
          <w:p>
            <w:pPr>
              <w:spacing w:after="0"/>
              <w:rPr>
                <w:sz w:val="20"/>
                <w:szCs w:val="20"/>
                <w:color w:val="auto"/>
              </w:rPr>
            </w:pPr>
            <w:r>
              <w:rPr>
                <w:rFonts w:ascii="Arial" w:cs="Arial" w:eastAsia="Arial" w:hAnsi="Arial"/>
                <w:sz w:val="13"/>
                <w:szCs w:val="13"/>
                <w:color w:val="FFFFFF"/>
                <w:w w:val="91"/>
              </w:rPr>
              <w:t>2015 2016</w:t>
            </w:r>
          </w:p>
        </w:tc>
        <w:tc>
          <w:tcPr>
            <w:tcW w:w="300" w:type="dxa"/>
            <w:vAlign w:val="bottom"/>
          </w:tcPr>
          <w:p>
            <w:pPr>
              <w:jc w:val="right"/>
              <w:spacing w:after="0"/>
              <w:rPr>
                <w:sz w:val="20"/>
                <w:szCs w:val="20"/>
                <w:color w:val="auto"/>
              </w:rPr>
            </w:pPr>
            <w:r>
              <w:rPr>
                <w:rFonts w:ascii="Arial" w:cs="Arial" w:eastAsia="Arial" w:hAnsi="Arial"/>
                <w:sz w:val="13"/>
                <w:szCs w:val="13"/>
                <w:color w:val="FFFFFF"/>
                <w:w w:val="89"/>
              </w:rPr>
              <w:t>2017</w:t>
            </w:r>
          </w:p>
        </w:tc>
        <w:tc>
          <w:tcPr>
            <w:tcW w:w="2340" w:type="dxa"/>
            <w:vAlign w:val="bottom"/>
          </w:tcPr>
          <w:p>
            <w:pPr>
              <w:jc w:val="right"/>
              <w:ind w:right="1995"/>
              <w:spacing w:after="0"/>
              <w:rPr>
                <w:sz w:val="20"/>
                <w:szCs w:val="20"/>
                <w:color w:val="auto"/>
              </w:rPr>
            </w:pPr>
            <w:r>
              <w:rPr>
                <w:rFonts w:ascii="Arial" w:cs="Arial" w:eastAsia="Arial" w:hAnsi="Arial"/>
                <w:sz w:val="13"/>
                <w:szCs w:val="13"/>
                <w:color w:val="FFFFFF"/>
                <w:w w:val="89"/>
              </w:rPr>
              <w:t>2018</w:t>
            </w:r>
          </w:p>
        </w:tc>
      </w:tr>
    </w:tbl>
    <w:p>
      <w:pPr>
        <w:spacing w:after="0" w:line="211" w:lineRule="auto"/>
        <w:rPr>
          <w:sz w:val="20"/>
          <w:szCs w:val="20"/>
          <w:color w:val="auto"/>
        </w:rPr>
      </w:pPr>
      <w:r>
        <w:rPr>
          <w:rFonts w:ascii="Arial" w:cs="Arial" w:eastAsia="Arial" w:hAnsi="Arial"/>
          <w:sz w:val="4"/>
          <w:szCs w:val="4"/>
          <w:color w:val="FFFFFF"/>
        </w:rPr>
        <w:t>Market Overview</w:t>
      </w:r>
    </w:p>
    <w:p>
      <w:pPr>
        <w:spacing w:after="0" w:line="182" w:lineRule="auto"/>
        <w:rPr>
          <w:sz w:val="20"/>
          <w:szCs w:val="20"/>
          <w:color w:val="auto"/>
        </w:rPr>
      </w:pPr>
      <w:r>
        <w:rPr>
          <w:rFonts w:ascii="Arial" w:cs="Arial" w:eastAsia="Arial" w:hAnsi="Arial"/>
          <w:sz w:val="9"/>
          <w:szCs w:val="9"/>
          <w:color w:val="FFFFFF"/>
        </w:rPr>
        <w:t>MarketTheelectricalrequirementsproductsalignmarketwithisNN’sover extensive$250billioncapabilityandisexpectedandfootprint.togrow at a rate of 5—7% per year. The overall addressable market for NN is approximately 10% or $25 billion.</w:t>
      </w:r>
    </w:p>
    <w:p>
      <w:pPr>
        <w:spacing w:after="0" w:line="205" w:lineRule="auto"/>
        <w:rPr>
          <w:sz w:val="20"/>
          <w:szCs w:val="20"/>
          <w:color w:val="auto"/>
        </w:rPr>
      </w:pPr>
      <w:r>
        <w:rPr>
          <w:rFonts w:ascii="Arial" w:cs="Arial" w:eastAsia="Arial" w:hAnsi="Arial"/>
          <w:sz w:val="4"/>
          <w:szCs w:val="4"/>
          <w:color w:val="FFFFFF"/>
        </w:rPr>
        <w:t>www.nninc.comLong-termrelationships with many of the major brands.</w:t>
      </w:r>
    </w:p>
    <w:p>
      <w:pPr>
        <w:spacing w:after="0"/>
        <w:rPr>
          <w:sz w:val="20"/>
          <w:szCs w:val="20"/>
          <w:color w:val="auto"/>
        </w:rPr>
      </w:pPr>
      <w:r>
        <w:rPr>
          <w:rFonts w:ascii="Arial" w:cs="Arial" w:eastAsia="Arial" w:hAnsi="Arial"/>
          <w:sz w:val="13"/>
          <w:szCs w:val="13"/>
          <w:color w:val="FFFFFF"/>
        </w:rPr>
        <w:t>30</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gridSpan w:val="2"/>
          </w:tcPr>
          <w:p>
            <w:pPr>
              <w:spacing w:after="0"/>
              <w:rPr>
                <w:sz w:val="20"/>
                <w:szCs w:val="20"/>
                <w:color w:val="auto"/>
              </w:rPr>
            </w:pPr>
            <w:r>
              <w:rPr>
                <w:rFonts w:ascii="Arial" w:cs="Arial" w:eastAsia="Arial" w:hAnsi="Arial"/>
                <w:sz w:val="13"/>
                <w:szCs w:val="13"/>
                <w:color w:val="FFFFFF"/>
              </w:rPr>
              <w:t>Electrical End Market</w:t>
            </w:r>
          </w:p>
        </w:tc>
        <w:tc>
          <w:tcPr>
            <w:tcW w:w="9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880" w:type="dxa"/>
            <w:vAlign w:val="bottom"/>
            <w:gridSpan w:val="2"/>
          </w:tcPr>
          <w:p>
            <w:pPr>
              <w:spacing w:after="0" w:line="40" w:lineRule="exact"/>
              <w:rPr>
                <w:sz w:val="20"/>
                <w:szCs w:val="20"/>
                <w:color w:val="auto"/>
              </w:rPr>
            </w:pPr>
            <w:r>
              <w:rPr>
                <w:rFonts w:ascii="Arial" w:cs="Arial" w:eastAsia="Arial" w:hAnsi="Arial"/>
                <w:sz w:val="4"/>
                <w:szCs w:val="4"/>
                <w:color w:val="FFFFFF"/>
              </w:rPr>
              <w:t>Addressable Market (&gt;$25B)</w:t>
            </w: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720" w:type="dxa"/>
            <w:vAlign w:val="bottom"/>
          </w:tcPr>
          <w:p>
            <w:pPr>
              <w:spacing w:after="0" w:line="79" w:lineRule="exact"/>
              <w:rPr>
                <w:sz w:val="20"/>
                <w:szCs w:val="20"/>
                <w:color w:val="auto"/>
              </w:rPr>
            </w:pPr>
            <w:r>
              <w:rPr>
                <w:rFonts w:ascii="Arial" w:cs="Arial" w:eastAsia="Arial" w:hAnsi="Arial"/>
                <w:sz w:val="9"/>
                <w:szCs w:val="9"/>
                <w:color w:val="FFFFFF"/>
              </w:rPr>
              <w:t>24%</w:t>
            </w:r>
          </w:p>
        </w:tc>
        <w:tc>
          <w:tcPr>
            <w:tcW w:w="1160" w:type="dxa"/>
            <w:vAlign w:val="bottom"/>
          </w:tcPr>
          <w:p>
            <w:pPr>
              <w:spacing w:after="0"/>
              <w:rPr>
                <w:sz w:val="6"/>
                <w:szCs w:val="6"/>
                <w:color w:val="auto"/>
              </w:rPr>
            </w:pPr>
          </w:p>
        </w:tc>
        <w:tc>
          <w:tcPr>
            <w:tcW w:w="9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Pr>
          <w:p>
            <w:pPr>
              <w:spacing w:after="0" w:line="40" w:lineRule="exact"/>
              <w:rPr>
                <w:sz w:val="20"/>
                <w:szCs w:val="20"/>
                <w:color w:val="auto"/>
              </w:rPr>
            </w:pPr>
            <w:r>
              <w:rPr>
                <w:rFonts w:ascii="Arial" w:cs="Arial" w:eastAsia="Arial" w:hAnsi="Arial"/>
                <w:sz w:val="4"/>
                <w:szCs w:val="4"/>
                <w:color w:val="FFFFFF"/>
              </w:rPr>
              <w:t>28%</w:t>
            </w:r>
          </w:p>
        </w:tc>
        <w:tc>
          <w:tcPr>
            <w:tcW w:w="1160" w:type="dxa"/>
            <w:vAlign w:val="bottom"/>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060" w:type="dxa"/>
            <w:vAlign w:val="bottom"/>
            <w:gridSpan w:val="3"/>
          </w:tcPr>
          <w:p>
            <w:pPr>
              <w:spacing w:after="0" w:line="40" w:lineRule="exact"/>
              <w:rPr>
                <w:sz w:val="20"/>
                <w:szCs w:val="20"/>
                <w:color w:val="auto"/>
              </w:rPr>
            </w:pPr>
            <w:r>
              <w:rPr>
                <w:rFonts w:ascii="Arial" w:cs="Arial" w:eastAsia="Arial" w:hAnsi="Arial"/>
                <w:sz w:val="4"/>
                <w:szCs w:val="4"/>
                <w:color w:val="FFFFFF"/>
              </w:rPr>
              <w:t>Non-Residential Automation &amp; Controls Residential Devices &amp; Equipment</w:t>
            </w:r>
          </w:p>
        </w:tc>
        <w:tc>
          <w:tcPr>
            <w:tcW w:w="0" w:type="dxa"/>
            <w:vAlign w:val="bottom"/>
          </w:tcPr>
          <w:p>
            <w:pPr>
              <w:spacing w:after="0" w:line="20" w:lineRule="exact"/>
              <w:rPr>
                <w:sz w:val="1"/>
                <w:szCs w:val="1"/>
                <w:color w:val="auto"/>
              </w:rPr>
            </w:pPr>
          </w:p>
        </w:tc>
      </w:tr>
      <w:tr>
        <w:trPr>
          <w:trHeight w:val="39"/>
        </w:trPr>
        <w:tc>
          <w:tcPr>
            <w:tcW w:w="720" w:type="dxa"/>
            <w:vAlign w:val="bottom"/>
          </w:tcPr>
          <w:p>
            <w:pPr>
              <w:spacing w:after="0" w:line="40" w:lineRule="exact"/>
              <w:rPr>
                <w:sz w:val="20"/>
                <w:szCs w:val="20"/>
                <w:color w:val="auto"/>
              </w:rPr>
            </w:pPr>
            <w:r>
              <w:rPr>
                <w:rFonts w:ascii="Arial" w:cs="Arial" w:eastAsia="Arial" w:hAnsi="Arial"/>
                <w:sz w:val="4"/>
                <w:szCs w:val="4"/>
                <w:color w:val="FFFFFF"/>
              </w:rPr>
              <w:t>T</w:t>
            </w:r>
          </w:p>
        </w:tc>
        <w:tc>
          <w:tcPr>
            <w:tcW w:w="1160" w:type="dxa"/>
            <w:vAlign w:val="bottom"/>
          </w:tcPr>
          <w:p>
            <w:pPr>
              <w:ind w:left="20"/>
              <w:spacing w:after="0" w:line="40" w:lineRule="exact"/>
              <w:rPr>
                <w:sz w:val="20"/>
                <w:szCs w:val="20"/>
                <w:color w:val="auto"/>
              </w:rPr>
            </w:pPr>
            <w:r>
              <w:rPr>
                <w:rFonts w:ascii="Arial" w:cs="Arial" w:eastAsia="Arial" w:hAnsi="Arial"/>
                <w:sz w:val="4"/>
                <w:szCs w:val="4"/>
                <w:color w:val="FFFFFF"/>
              </w:rPr>
              <w:t>&amp; Distribution</w:t>
            </w: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80" w:type="dxa"/>
            <w:vAlign w:val="bottom"/>
            <w:gridSpan w:val="2"/>
          </w:tcPr>
          <w:p>
            <w:pPr>
              <w:spacing w:after="0" w:line="40" w:lineRule="exact"/>
              <w:rPr>
                <w:sz w:val="20"/>
                <w:szCs w:val="20"/>
                <w:color w:val="auto"/>
              </w:rPr>
            </w:pPr>
            <w:r>
              <w:rPr>
                <w:rFonts w:ascii="Arial" w:cs="Arial" w:eastAsia="Arial" w:hAnsi="Arial"/>
                <w:sz w:val="4"/>
                <w:szCs w:val="4"/>
                <w:color w:val="FFFFFF"/>
              </w:rPr>
              <w:t>NN’ransmissionElectrical Business* ($100M)</w:t>
            </w: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720" w:type="dxa"/>
            <w:vAlign w:val="bottom"/>
          </w:tcPr>
          <w:p>
            <w:pPr>
              <w:spacing w:after="0" w:line="79" w:lineRule="exact"/>
              <w:rPr>
                <w:sz w:val="20"/>
                <w:szCs w:val="20"/>
                <w:color w:val="auto"/>
              </w:rPr>
            </w:pPr>
            <w:r>
              <w:rPr>
                <w:rFonts w:ascii="Arial" w:cs="Arial" w:eastAsia="Arial" w:hAnsi="Arial"/>
                <w:sz w:val="9"/>
                <w:szCs w:val="9"/>
                <w:color w:val="FFFFFF"/>
              </w:rPr>
              <w:t>24%</w:t>
            </w:r>
          </w:p>
        </w:tc>
        <w:tc>
          <w:tcPr>
            <w:tcW w:w="1160" w:type="dxa"/>
            <w:vAlign w:val="bottom"/>
          </w:tcPr>
          <w:p>
            <w:pPr>
              <w:spacing w:after="0"/>
              <w:rPr>
                <w:sz w:val="6"/>
                <w:szCs w:val="6"/>
                <w:color w:val="auto"/>
              </w:rPr>
            </w:pPr>
          </w:p>
        </w:tc>
        <w:tc>
          <w:tcPr>
            <w:tcW w:w="9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Pr>
          <w:p>
            <w:pPr>
              <w:spacing w:after="0" w:line="40" w:lineRule="exact"/>
              <w:rPr>
                <w:sz w:val="20"/>
                <w:szCs w:val="20"/>
                <w:color w:val="auto"/>
              </w:rPr>
            </w:pPr>
            <w:r>
              <w:rPr>
                <w:rFonts w:ascii="Arial" w:cs="Arial" w:eastAsia="Arial" w:hAnsi="Arial"/>
                <w:sz w:val="4"/>
                <w:szCs w:val="4"/>
                <w:color w:val="FFFFFF"/>
              </w:rPr>
              <w:t>28%</w:t>
            </w:r>
          </w:p>
        </w:tc>
        <w:tc>
          <w:tcPr>
            <w:tcW w:w="1160" w:type="dxa"/>
            <w:vAlign w:val="bottom"/>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060" w:type="dxa"/>
            <w:vAlign w:val="bottom"/>
            <w:gridSpan w:val="3"/>
          </w:tcPr>
          <w:p>
            <w:pPr>
              <w:spacing w:after="0" w:line="40" w:lineRule="exact"/>
              <w:rPr>
                <w:sz w:val="20"/>
                <w:szCs w:val="20"/>
                <w:color w:val="auto"/>
              </w:rPr>
            </w:pPr>
            <w:r>
              <w:rPr>
                <w:rFonts w:ascii="Arial" w:cs="Arial" w:eastAsia="Arial" w:hAnsi="Arial"/>
                <w:sz w:val="4"/>
                <w:szCs w:val="4"/>
                <w:color w:val="FFFFFF"/>
              </w:rPr>
              <w:t>Non-Residential Automation &amp; Controls Residential Devices</w:t>
            </w:r>
          </w:p>
        </w:tc>
        <w:tc>
          <w:tcPr>
            <w:tcW w:w="0" w:type="dxa"/>
            <w:vAlign w:val="bottom"/>
          </w:tcPr>
          <w:p>
            <w:pPr>
              <w:spacing w:after="0" w:line="20" w:lineRule="exact"/>
              <w:rPr>
                <w:sz w:val="1"/>
                <w:szCs w:val="1"/>
                <w:color w:val="auto"/>
              </w:rPr>
            </w:pPr>
          </w:p>
        </w:tc>
      </w:tr>
      <w:tr>
        <w:trPr>
          <w:trHeight w:val="39"/>
        </w:trPr>
        <w:tc>
          <w:tcPr>
            <w:tcW w:w="720" w:type="dxa"/>
            <w:vAlign w:val="bottom"/>
          </w:tcPr>
          <w:p>
            <w:pPr>
              <w:spacing w:after="0" w:line="40" w:lineRule="exact"/>
              <w:rPr>
                <w:sz w:val="20"/>
                <w:szCs w:val="20"/>
                <w:color w:val="auto"/>
              </w:rPr>
            </w:pPr>
            <w:r>
              <w:rPr>
                <w:rFonts w:ascii="Arial" w:cs="Arial" w:eastAsia="Arial" w:hAnsi="Arial"/>
                <w:sz w:val="4"/>
                <w:szCs w:val="4"/>
                <w:color w:val="FFFFFF"/>
              </w:rPr>
              <w:t>&amp; Equipment</w:t>
            </w:r>
          </w:p>
        </w:tc>
        <w:tc>
          <w:tcPr>
            <w:tcW w:w="1160" w:type="dxa"/>
            <w:vAlign w:val="bottom"/>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80" w:type="dxa"/>
            <w:vAlign w:val="bottom"/>
            <w:gridSpan w:val="2"/>
          </w:tcPr>
          <w:p>
            <w:pPr>
              <w:spacing w:after="0" w:line="40" w:lineRule="exact"/>
              <w:rPr>
                <w:sz w:val="20"/>
                <w:szCs w:val="20"/>
                <w:color w:val="auto"/>
              </w:rPr>
            </w:pPr>
            <w:r>
              <w:rPr>
                <w:rFonts w:ascii="Arial" w:cs="Arial" w:eastAsia="Arial" w:hAnsi="Arial"/>
                <w:sz w:val="4"/>
                <w:szCs w:val="4"/>
                <w:color w:val="FFFFFF"/>
              </w:rPr>
              <w:t>Transmission &amp; Distribution</w:t>
            </w:r>
          </w:p>
        </w:tc>
        <w:tc>
          <w:tcPr>
            <w:tcW w:w="918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Applications</w:t>
            </w:r>
          </w:p>
        </w:tc>
        <w:tc>
          <w:tcPr>
            <w:tcW w:w="0" w:type="dxa"/>
            <w:vAlign w:val="bottom"/>
          </w:tcPr>
          <w:p>
            <w:pPr>
              <w:spacing w:after="0" w:line="20" w:lineRule="exact"/>
              <w:rPr>
                <w:sz w:val="1"/>
                <w:szCs w:val="1"/>
                <w:color w:val="auto"/>
              </w:rPr>
            </w:pPr>
          </w:p>
        </w:tc>
      </w:tr>
      <w:tr>
        <w:trPr>
          <w:trHeight w:val="39"/>
        </w:trPr>
        <w:tc>
          <w:tcPr>
            <w:tcW w:w="1880" w:type="dxa"/>
            <w:vAlign w:val="bottom"/>
            <w:gridSpan w:val="2"/>
          </w:tcPr>
          <w:p>
            <w:pPr>
              <w:spacing w:after="0" w:line="40" w:lineRule="exact"/>
              <w:rPr>
                <w:sz w:val="20"/>
                <w:szCs w:val="20"/>
                <w:color w:val="auto"/>
              </w:rPr>
            </w:pPr>
            <w:r>
              <w:rPr>
                <w:rFonts w:ascii="Arial" w:cs="Arial" w:eastAsia="Arial" w:hAnsi="Arial"/>
                <w:sz w:val="4"/>
                <w:szCs w:val="4"/>
                <w:color w:val="FFFFFF"/>
              </w:rPr>
              <w:t>Distribution Control and</w:t>
            </w:r>
          </w:p>
        </w:tc>
        <w:tc>
          <w:tcPr>
            <w:tcW w:w="9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060" w:type="dxa"/>
            <w:vAlign w:val="bottom"/>
            <w:gridSpan w:val="3"/>
          </w:tcPr>
          <w:p>
            <w:pPr>
              <w:spacing w:after="0" w:line="40" w:lineRule="exact"/>
              <w:rPr>
                <w:sz w:val="20"/>
                <w:szCs w:val="20"/>
                <w:color w:val="auto"/>
              </w:rPr>
            </w:pPr>
            <w:r>
              <w:rPr>
                <w:rFonts w:ascii="Arial" w:cs="Arial" w:eastAsia="Arial" w:hAnsi="Arial"/>
                <w:sz w:val="4"/>
                <w:szCs w:val="4"/>
                <w:color w:val="FFFFFF"/>
              </w:rPr>
              <w:t>Transmission and DistributionProtectionElectric smart meters: 5-6% growth rate Disconnect contacts, assemblies and molded bases o Switchgear: 5-7% growth rate Contact assemblies o Transformers: 4-5% growth rate</w:t>
            </w:r>
          </w:p>
        </w:tc>
        <w:tc>
          <w:tcPr>
            <w:tcW w:w="0" w:type="dxa"/>
            <w:vAlign w:val="bottom"/>
          </w:tcPr>
          <w:p>
            <w:pPr>
              <w:spacing w:after="0" w:line="20" w:lineRule="exact"/>
              <w:rPr>
                <w:sz w:val="1"/>
                <w:szCs w:val="1"/>
                <w:color w:val="auto"/>
              </w:rPr>
            </w:pPr>
          </w:p>
        </w:tc>
      </w:tr>
      <w:tr>
        <w:trPr>
          <w:trHeight w:val="39"/>
        </w:trPr>
        <w:tc>
          <w:tcPr>
            <w:tcW w:w="1880" w:type="dxa"/>
            <w:vAlign w:val="bottom"/>
            <w:gridSpan w:val="2"/>
          </w:tcPr>
          <w:p>
            <w:pPr>
              <w:spacing w:after="0" w:line="40" w:lineRule="exact"/>
              <w:rPr>
                <w:sz w:val="20"/>
                <w:szCs w:val="20"/>
                <w:color w:val="auto"/>
              </w:rPr>
            </w:pPr>
            <w:r>
              <w:rPr>
                <w:rFonts w:ascii="Arial" w:cs="Arial" w:eastAsia="Arial" w:hAnsi="Arial"/>
                <w:sz w:val="4"/>
                <w:szCs w:val="4"/>
                <w:color w:val="FFFFFF"/>
              </w:rPr>
              <w:t>Materials and components</w:t>
            </w:r>
          </w:p>
        </w:tc>
        <w:tc>
          <w:tcPr>
            <w:tcW w:w="9180" w:type="dxa"/>
            <w:vAlign w:val="bottom"/>
            <w:vMerge w:val="restart"/>
          </w:tcPr>
          <w:p>
            <w:pPr>
              <w:ind w:left="120"/>
              <w:spacing w:after="0" w:line="38" w:lineRule="exact"/>
              <w:rPr>
                <w:sz w:val="20"/>
                <w:szCs w:val="20"/>
                <w:color w:val="auto"/>
              </w:rPr>
            </w:pPr>
            <w:r>
              <w:rPr>
                <w:rFonts w:ascii="Arial" w:cs="Arial" w:eastAsia="Arial" w:hAnsi="Arial"/>
                <w:sz w:val="4"/>
                <w:szCs w:val="4"/>
                <w:color w:val="FFFFFF"/>
              </w:rPr>
              <w:t>Switches, breakers, sensors, appliances: 6-7% growth rate Sub-assemblies and components</w:t>
            </w:r>
          </w:p>
        </w:tc>
        <w:tc>
          <w:tcPr>
            <w:tcW w:w="0" w:type="dxa"/>
            <w:vAlign w:val="bottom"/>
          </w:tcPr>
          <w:p>
            <w:pPr>
              <w:spacing w:after="0" w:line="20" w:lineRule="exact"/>
              <w:rPr>
                <w:sz w:val="1"/>
                <w:szCs w:val="1"/>
                <w:color w:val="auto"/>
              </w:rPr>
            </w:pPr>
          </w:p>
        </w:tc>
      </w:tr>
      <w:tr>
        <w:trPr>
          <w:trHeight w:val="0"/>
        </w:trPr>
        <w:tc>
          <w:tcPr>
            <w:tcW w:w="1880" w:type="dxa"/>
            <w:vAlign w:val="bottom"/>
            <w:gridSpan w:val="2"/>
          </w:tcPr>
          <w:p>
            <w:pPr>
              <w:spacing w:after="0" w:line="78" w:lineRule="exact"/>
              <w:rPr>
                <w:sz w:val="20"/>
                <w:szCs w:val="20"/>
                <w:color w:val="auto"/>
              </w:rPr>
            </w:pPr>
            <w:r>
              <w:rPr>
                <w:rFonts w:ascii="Arial" w:cs="Arial" w:eastAsia="Arial" w:hAnsi="Arial"/>
                <w:sz w:val="8"/>
                <w:szCs w:val="8"/>
                <w:color w:val="FFFFFF"/>
              </w:rPr>
              <w:t>Residential Devices and Equipment</w:t>
            </w:r>
          </w:p>
        </w:tc>
        <w:tc>
          <w:tcPr>
            <w:tcW w:w="9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780"/>
        <w:spacing w:after="0" w:line="24" w:lineRule="auto"/>
        <w:rPr>
          <w:sz w:val="20"/>
          <w:szCs w:val="20"/>
          <w:color w:val="auto"/>
        </w:rPr>
      </w:pPr>
      <w:r>
        <w:rPr>
          <w:rFonts w:ascii="Arial" w:cs="Arial" w:eastAsia="Arial" w:hAnsi="Arial"/>
          <w:sz w:val="1"/>
          <w:szCs w:val="1"/>
          <w:color w:val="FFFFFF"/>
        </w:rPr>
        <w:t>Controls</w:t>
      </w:r>
    </w:p>
    <w:p>
      <w:pPr>
        <w:spacing w:after="0" w:line="219" w:lineRule="auto"/>
        <w:tabs>
          <w:tab w:leader="none" w:pos="2240" w:val="left"/>
        </w:tabs>
        <w:rPr>
          <w:sz w:val="20"/>
          <w:szCs w:val="20"/>
          <w:color w:val="auto"/>
        </w:rPr>
      </w:pPr>
      <w:r>
        <w:rPr>
          <w:rFonts w:ascii="Arial" w:cs="Arial" w:eastAsia="Arial" w:hAnsi="Arial"/>
          <w:sz w:val="13"/>
          <w:szCs w:val="13"/>
          <w:color w:val="FFFFFF"/>
        </w:rPr>
        <w:t>www.nninc.comNon-Residential Automation and</w:t>
      </w:r>
      <w:r>
        <w:rPr>
          <w:sz w:val="20"/>
          <w:szCs w:val="20"/>
          <w:color w:val="auto"/>
        </w:rPr>
        <w:tab/>
      </w:r>
      <w:r>
        <w:rPr>
          <w:rFonts w:ascii="Arial" w:cs="Arial" w:eastAsia="Arial" w:hAnsi="Arial"/>
          <w:sz w:val="11"/>
          <w:szCs w:val="11"/>
          <w:color w:val="FFFFFF"/>
        </w:rPr>
        <w:t>o Relays, sensors and controls: 6-7% growth rate Precision metal and plastic components</w:t>
      </w:r>
    </w:p>
    <w:p>
      <w:pPr>
        <w:sectPr>
          <w:pgSz w:w="11900" w:h="16838" w:orient="portrait"/>
          <w:cols w:equalWidth="0" w:num="1">
            <w:col w:w="11060"/>
          </w:cols>
          <w:pgMar w:left="240" w:top="1440" w:right="5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gridSpan w:val="3"/>
          </w:tcPr>
          <w:p>
            <w:pPr>
              <w:spacing w:after="0"/>
              <w:rPr>
                <w:sz w:val="20"/>
                <w:szCs w:val="20"/>
                <w:color w:val="auto"/>
              </w:rPr>
            </w:pPr>
            <w:r>
              <w:rPr>
                <w:rFonts w:ascii="Arial" w:cs="Arial" w:eastAsia="Arial" w:hAnsi="Arial"/>
                <w:sz w:val="13"/>
                <w:szCs w:val="13"/>
                <w:color w:val="FFFFFF"/>
              </w:rPr>
              <w:t>Electrical: How W Grow</w:t>
            </w:r>
          </w:p>
        </w:tc>
        <w:tc>
          <w:tcPr>
            <w:tcW w:w="8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980" w:type="dxa"/>
            <w:vAlign w:val="bottom"/>
            <w:gridSpan w:val="3"/>
          </w:tcPr>
          <w:p>
            <w:pPr>
              <w:spacing w:after="0" w:line="40" w:lineRule="exact"/>
              <w:rPr>
                <w:sz w:val="20"/>
                <w:szCs w:val="20"/>
                <w:color w:val="auto"/>
              </w:rPr>
            </w:pPr>
            <w:r>
              <w:rPr>
                <w:rFonts w:ascii="Arial" w:cs="Arial" w:eastAsia="Arial" w:hAnsi="Arial"/>
                <w:sz w:val="4"/>
                <w:szCs w:val="4"/>
                <w:color w:val="FFFFFF"/>
              </w:rPr>
              <w:t>Market growth rate: 5—7%</w:t>
            </w: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80" w:type="dxa"/>
            <w:vAlign w:val="bottom"/>
            <w:gridSpan w:val="3"/>
          </w:tcPr>
          <w:p>
            <w:pPr>
              <w:spacing w:after="0" w:line="40" w:lineRule="exact"/>
              <w:rPr>
                <w:sz w:val="20"/>
                <w:szCs w:val="20"/>
                <w:color w:val="auto"/>
              </w:rPr>
            </w:pPr>
            <w:r>
              <w:rPr>
                <w:rFonts w:ascii="Arial" w:cs="Arial" w:eastAsia="Arial" w:hAnsi="Arial"/>
                <w:sz w:val="4"/>
                <w:szCs w:val="4"/>
                <w:color w:val="FFFFFF"/>
              </w:rPr>
              <w:t>Comprehensive platform for growth</w:t>
            </w:r>
          </w:p>
        </w:tc>
        <w:tc>
          <w:tcPr>
            <w:tcW w:w="898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Leverage capability portfolio Clad metals, electrical contacts, stampings, moldings and assemblies o Global product extension Asia, Europe and South America</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1840" w:type="dxa"/>
            <w:vAlign w:val="bottom"/>
            <w:gridSpan w:val="2"/>
          </w:tcPr>
          <w:p>
            <w:pPr>
              <w:spacing w:after="0" w:line="40" w:lineRule="exact"/>
              <w:rPr>
                <w:sz w:val="20"/>
                <w:szCs w:val="20"/>
                <w:color w:val="auto"/>
              </w:rPr>
            </w:pPr>
            <w:r>
              <w:rPr>
                <w:rFonts w:ascii="Arial" w:cs="Arial" w:eastAsia="Arial" w:hAnsi="Arial"/>
                <w:sz w:val="4"/>
                <w:szCs w:val="4"/>
                <w:color w:val="FFFFFF"/>
              </w:rPr>
              <w:t>Revenue expansion with exis ng</w:t>
            </w:r>
          </w:p>
        </w:tc>
        <w:tc>
          <w:tcPr>
            <w:tcW w:w="8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10820" w:type="dxa"/>
            <w:vAlign w:val="bottom"/>
            <w:gridSpan w:val="3"/>
          </w:tcPr>
          <w:p>
            <w:pPr>
              <w:spacing w:after="0" w:line="40" w:lineRule="exact"/>
              <w:rPr>
                <w:sz w:val="20"/>
                <w:szCs w:val="20"/>
                <w:color w:val="auto"/>
              </w:rPr>
            </w:pPr>
            <w:r>
              <w:rPr>
                <w:rFonts w:ascii="Arial" w:cs="Arial" w:eastAsia="Arial" w:hAnsi="Arial"/>
                <w:sz w:val="4"/>
                <w:szCs w:val="4"/>
                <w:color w:val="FFFFFF"/>
              </w:rPr>
              <w:t>Provide total engineered solutions  Precision metal and plastic sub-assemblies and devices</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10820" w:type="dxa"/>
            <w:vAlign w:val="bottom"/>
            <w:gridSpan w:val="3"/>
          </w:tcPr>
          <w:p>
            <w:pPr>
              <w:spacing w:after="0" w:line="40" w:lineRule="exact"/>
              <w:rPr>
                <w:sz w:val="20"/>
                <w:szCs w:val="20"/>
                <w:color w:val="auto"/>
              </w:rPr>
            </w:pPr>
            <w:r>
              <w:rPr>
                <w:rFonts w:ascii="Arial" w:cs="Arial" w:eastAsia="Arial" w:hAnsi="Arial"/>
                <w:sz w:val="4"/>
                <w:szCs w:val="4"/>
                <w:color w:val="FFFFFF"/>
              </w:rPr>
              <w:t>Growth within and across segmentscustomersExpanded engineering and sales resources o Innovation Center</w:t>
            </w: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spacing w:after="0" w:line="40" w:lineRule="exact"/>
              <w:rPr>
                <w:sz w:val="20"/>
                <w:szCs w:val="20"/>
                <w:color w:val="auto"/>
              </w:rPr>
            </w:pPr>
            <w:r>
              <w:rPr>
                <w:rFonts w:ascii="Arial" w:cs="Arial" w:eastAsia="Arial" w:hAnsi="Arial"/>
                <w:sz w:val="4"/>
                <w:szCs w:val="4"/>
                <w:color w:val="FFFFFF"/>
              </w:rPr>
              <w:t>NN’</w:t>
            </w:r>
          </w:p>
        </w:tc>
        <w:tc>
          <w:tcPr>
            <w:tcW w:w="1700" w:type="dxa"/>
            <w:vAlign w:val="bottom"/>
          </w:tcPr>
          <w:p>
            <w:pPr>
              <w:ind w:left="40"/>
              <w:spacing w:after="0" w:line="40" w:lineRule="exact"/>
              <w:rPr>
                <w:sz w:val="20"/>
                <w:szCs w:val="20"/>
                <w:color w:val="auto"/>
              </w:rPr>
            </w:pPr>
            <w:r>
              <w:rPr>
                <w:rFonts w:ascii="Arial" w:cs="Arial" w:eastAsia="Arial" w:hAnsi="Arial"/>
                <w:sz w:val="4"/>
                <w:szCs w:val="4"/>
                <w:color w:val="FFFFFF"/>
              </w:rPr>
              <w:t>estimated growth rate: 6—8%</w:t>
            </w: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In</w:t>
            </w:r>
          </w:p>
        </w:tc>
        <w:tc>
          <w:tcPr>
            <w:tcW w:w="1840" w:type="dxa"/>
            <w:vAlign w:val="bottom"/>
            <w:gridSpan w:val="2"/>
          </w:tcPr>
          <w:p>
            <w:pPr>
              <w:spacing w:after="0" w:line="40" w:lineRule="exact"/>
              <w:rPr>
                <w:sz w:val="20"/>
                <w:szCs w:val="20"/>
                <w:color w:val="auto"/>
              </w:rPr>
            </w:pPr>
            <w:r>
              <w:rPr>
                <w:rFonts w:ascii="Arial" w:cs="Arial" w:eastAsia="Arial" w:hAnsi="Arial"/>
                <w:sz w:val="4"/>
                <w:szCs w:val="4"/>
                <w:color w:val="FFFFFF"/>
              </w:rPr>
              <w:t>Millions</w:t>
            </w:r>
          </w:p>
        </w:tc>
        <w:tc>
          <w:tcPr>
            <w:tcW w:w="8980" w:type="dxa"/>
            <w:vAlign w:val="bottom"/>
            <w:vMerge w:val="restart"/>
          </w:tcPr>
          <w:p>
            <w:pPr>
              <w:jc w:val="right"/>
              <w:ind w:right="8736"/>
              <w:spacing w:after="0" w:line="79" w:lineRule="exact"/>
              <w:rPr>
                <w:sz w:val="20"/>
                <w:szCs w:val="20"/>
                <w:color w:val="auto"/>
              </w:rPr>
            </w:pPr>
            <w:r>
              <w:rPr>
                <w:rFonts w:ascii="Arial" w:cs="Arial" w:eastAsia="Arial" w:hAnsi="Arial"/>
                <w:sz w:val="9"/>
                <w:szCs w:val="9"/>
                <w:color w:val="FFFFFF"/>
              </w:rPr>
              <w:t>$90</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140" w:type="dxa"/>
            <w:vAlign w:val="bottom"/>
          </w:tcPr>
          <w:p>
            <w:pPr>
              <w:jc w:val="right"/>
              <w:spacing w:after="0" w:line="40" w:lineRule="exact"/>
              <w:rPr>
                <w:sz w:val="20"/>
                <w:szCs w:val="20"/>
                <w:color w:val="auto"/>
              </w:rPr>
            </w:pPr>
            <w:r>
              <w:rPr>
                <w:rFonts w:ascii="Arial" w:cs="Arial" w:eastAsia="Arial" w:hAnsi="Arial"/>
                <w:sz w:val="4"/>
                <w:szCs w:val="4"/>
                <w:color w:val="FFFFFF"/>
              </w:rPr>
              <w:t>5</w:t>
            </w:r>
          </w:p>
        </w:tc>
        <w:tc>
          <w:tcPr>
            <w:tcW w:w="1700" w:type="dxa"/>
            <w:vAlign w:val="bottom"/>
          </w:tcPr>
          <w:p>
            <w:pPr>
              <w:ind w:left="20"/>
              <w:spacing w:after="0" w:line="40" w:lineRule="exact"/>
              <w:rPr>
                <w:sz w:val="20"/>
                <w:szCs w:val="20"/>
                <w:color w:val="auto"/>
              </w:rPr>
            </w:pPr>
            <w:r>
              <w:rPr>
                <w:rFonts w:ascii="Arial" w:cs="Arial" w:eastAsia="Arial" w:hAnsi="Arial"/>
                <w:sz w:val="4"/>
                <w:szCs w:val="4"/>
                <w:color w:val="FFFFFF"/>
              </w:rPr>
              <w:t>$120 $115 $110 $105 $100 $95</w:t>
            </w:r>
          </w:p>
        </w:tc>
        <w:tc>
          <w:tcPr>
            <w:tcW w:w="8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140" w:type="dxa"/>
            <w:vAlign w:val="bottom"/>
          </w:tcPr>
          <w:p>
            <w:pPr>
              <w:jc w:val="right"/>
              <w:spacing w:after="0" w:line="40" w:lineRule="exact"/>
              <w:rPr>
                <w:sz w:val="20"/>
                <w:szCs w:val="20"/>
                <w:color w:val="auto"/>
              </w:rPr>
            </w:pPr>
            <w:r>
              <w:rPr>
                <w:rFonts w:ascii="Arial" w:cs="Arial" w:eastAsia="Arial" w:hAnsi="Arial"/>
                <w:sz w:val="4"/>
                <w:szCs w:val="4"/>
                <w:color w:val="FFFFFF"/>
              </w:rPr>
              <w:t>23</w:t>
            </w:r>
          </w:p>
        </w:tc>
        <w:tc>
          <w:tcPr>
            <w:tcW w:w="1700" w:type="dxa"/>
            <w:vAlign w:val="bottom"/>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spacing w:after="0" w:line="40" w:lineRule="exact"/>
              <w:rPr>
                <w:sz w:val="20"/>
                <w:szCs w:val="20"/>
                <w:color w:val="auto"/>
              </w:rPr>
            </w:pPr>
            <w:r>
              <w:rPr>
                <w:rFonts w:ascii="Arial" w:cs="Arial" w:eastAsia="Arial" w:hAnsi="Arial"/>
                <w:sz w:val="4"/>
                <w:szCs w:val="4"/>
                <w:color w:val="FFFFFF"/>
              </w:rPr>
              <w:t>$100</w:t>
            </w:r>
          </w:p>
        </w:tc>
        <w:tc>
          <w:tcPr>
            <w:tcW w:w="170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Base 2016 2017 2018 Strategic</w:t>
            </w: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spacing w:after="0" w:line="40" w:lineRule="exact"/>
              <w:rPr>
                <w:sz w:val="20"/>
                <w:szCs w:val="20"/>
                <w:color w:val="auto"/>
              </w:rPr>
            </w:pPr>
            <w:r>
              <w:rPr>
                <w:rFonts w:ascii="Arial" w:cs="Arial" w:eastAsia="Arial" w:hAnsi="Arial"/>
                <w:sz w:val="4"/>
                <w:szCs w:val="4"/>
                <w:color w:val="FFFFFF"/>
              </w:rPr>
              <w:t>2015</w:t>
            </w:r>
          </w:p>
        </w:tc>
        <w:tc>
          <w:tcPr>
            <w:tcW w:w="1700" w:type="dxa"/>
            <w:vAlign w:val="bottom"/>
            <w:vMerge w:val="continue"/>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80" w:type="dxa"/>
            <w:vAlign w:val="bottom"/>
            <w:gridSpan w:val="3"/>
          </w:tcPr>
          <w:p>
            <w:pPr>
              <w:spacing w:after="0" w:line="40" w:lineRule="exact"/>
              <w:rPr>
                <w:sz w:val="20"/>
                <w:szCs w:val="20"/>
                <w:color w:val="auto"/>
              </w:rPr>
            </w:pPr>
            <w:r>
              <w:rPr>
                <w:rFonts w:ascii="Arial" w:cs="Arial" w:eastAsia="Arial" w:hAnsi="Arial"/>
                <w:sz w:val="4"/>
                <w:szCs w:val="4"/>
                <w:color w:val="FFFFFF"/>
              </w:rPr>
              <w:t>Target</w:t>
            </w: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980" w:type="dxa"/>
            <w:vAlign w:val="bottom"/>
            <w:gridSpan w:val="3"/>
          </w:tcPr>
          <w:p>
            <w:pPr>
              <w:spacing w:after="0" w:line="40" w:lineRule="exact"/>
              <w:rPr>
                <w:sz w:val="20"/>
                <w:szCs w:val="20"/>
                <w:color w:val="auto"/>
              </w:rPr>
            </w:pPr>
            <w:r>
              <w:rPr>
                <w:rFonts w:ascii="Arial" w:cs="Arial" w:eastAsia="Arial" w:hAnsi="Arial"/>
                <w:sz w:val="4"/>
                <w:szCs w:val="4"/>
                <w:color w:val="FFFFFF"/>
              </w:rPr>
              <w:t>www.nninc.com</w:t>
            </w: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40" w:type="dxa"/>
            <w:vAlign w:val="bottom"/>
          </w:tcPr>
          <w:p>
            <w:pPr>
              <w:spacing w:after="0"/>
              <w:rPr>
                <w:sz w:val="20"/>
                <w:szCs w:val="20"/>
                <w:color w:val="auto"/>
              </w:rPr>
            </w:pPr>
            <w:r>
              <w:rPr>
                <w:rFonts w:ascii="Arial" w:cs="Arial" w:eastAsia="Arial" w:hAnsi="Arial"/>
                <w:sz w:val="13"/>
                <w:szCs w:val="13"/>
                <w:color w:val="FFFFFF"/>
                <w:w w:val="82"/>
              </w:rPr>
              <w:t>32</w:t>
            </w: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1440" w:right="69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Industrial Technology &amp; Aerospace</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3"/>
          <w:szCs w:val="13"/>
          <w:color w:val="FFFFFF"/>
        </w:rPr>
        <w:t>Precision B</w:t>
      </w:r>
      <w:r>
        <w:rPr>
          <w:sz w:val="20"/>
          <w:szCs w:val="20"/>
          <w:color w:val="auto"/>
        </w:rPr>
        <w:tab/>
      </w:r>
      <w:r>
        <w:rPr>
          <w:rFonts w:ascii="Arial" w:cs="Arial" w:eastAsia="Arial" w:hAnsi="Arial"/>
          <w:sz w:val="11"/>
          <w:szCs w:val="11"/>
          <w:color w:val="FFFFFF"/>
        </w:rPr>
        <w:t>Components – Group Introduction</w:t>
      </w:r>
    </w:p>
    <w:p>
      <w:pPr>
        <w:ind w:left="400"/>
        <w:spacing w:after="0" w:line="182" w:lineRule="auto"/>
        <w:rPr>
          <w:sz w:val="20"/>
          <w:szCs w:val="20"/>
          <w:color w:val="auto"/>
        </w:rPr>
      </w:pPr>
      <w:r>
        <w:rPr>
          <w:rFonts w:ascii="Arial" w:cs="Arial" w:eastAsia="Arial" w:hAnsi="Arial"/>
          <w:sz w:val="9"/>
          <w:szCs w:val="9"/>
          <w:color w:val="FFFFFF"/>
        </w:rPr>
        <w:t>leaderaring</w:t>
      </w:r>
    </w:p>
    <w:p>
      <w:pPr>
        <w:spacing w:after="0" w:line="205" w:lineRule="auto"/>
        <w:rPr>
          <w:sz w:val="20"/>
          <w:szCs w:val="20"/>
          <w:color w:val="auto"/>
        </w:rPr>
      </w:pPr>
      <w:r>
        <w:rPr>
          <w:rFonts w:ascii="Arial" w:cs="Arial" w:eastAsia="Arial" w:hAnsi="Arial"/>
          <w:sz w:val="4"/>
          <w:szCs w:val="4"/>
          <w:color w:val="FFFFFF"/>
          <w:vertAlign w:val="subscript"/>
        </w:rPr>
        <w:t>Group</w:t>
      </w:r>
      <w:r>
        <w:rPr>
          <w:rFonts w:ascii="Arial" w:cs="Arial" w:eastAsia="Arial" w:hAnsi="Arial"/>
          <w:sz w:val="2"/>
          <w:szCs w:val="2"/>
          <w:color w:val="FFFFFF"/>
        </w:rPr>
        <w:t xml:space="preserve">lobal </w:t>
      </w:r>
      <w:r>
        <w:rPr>
          <w:rFonts w:ascii="Arial" w:cs="Arial" w:eastAsia="Arial" w:hAnsi="Arial"/>
          <w:sz w:val="4"/>
          <w:szCs w:val="4"/>
          <w:color w:val="FFFFFF"/>
          <w:vertAlign w:val="subscript"/>
        </w:rPr>
        <w:t>Headquarters:</w:t>
      </w:r>
      <w:r>
        <w:rPr>
          <w:rFonts w:ascii="Arial" w:cs="Arial" w:eastAsia="Arial" w:hAnsi="Arial"/>
          <w:sz w:val="2"/>
          <w:szCs w:val="2"/>
          <w:color w:val="FFFFFF"/>
        </w:rPr>
        <w:t>hemanufactureJohnsonCity,of TNhigh-precision rolling elements</w:t>
      </w:r>
    </w:p>
    <w:p>
      <w:pPr>
        <w:spacing w:after="0" w:line="205" w:lineRule="auto"/>
        <w:rPr>
          <w:sz w:val="20"/>
          <w:szCs w:val="20"/>
          <w:color w:val="auto"/>
        </w:rPr>
      </w:pPr>
      <w:r>
        <w:rPr>
          <w:rFonts w:ascii="Arial" w:cs="Arial" w:eastAsia="Arial" w:hAnsi="Arial"/>
          <w:sz w:val="2"/>
          <w:szCs w:val="2"/>
          <w:color w:val="FFFFFF"/>
        </w:rPr>
        <w:t>8 manufacturing</w:t>
      </w:r>
      <w:r>
        <w:rPr>
          <w:rFonts w:ascii="Arial" w:cs="Arial" w:eastAsia="Arial" w:hAnsi="Arial"/>
          <w:sz w:val="4"/>
          <w:szCs w:val="4"/>
          <w:color w:val="FFFFFF"/>
          <w:vertAlign w:val="subscript"/>
        </w:rPr>
        <w:t>Netherlands</w:t>
      </w:r>
      <w:r>
        <w:rPr>
          <w:rFonts w:ascii="Arial" w:cs="Arial" w:eastAsia="Arial" w:hAnsi="Arial"/>
          <w:sz w:val="2"/>
          <w:szCs w:val="2"/>
          <w:color w:val="FFFFFF"/>
        </w:rPr>
        <w:t>opertions with locations in:</w:t>
      </w:r>
    </w:p>
    <w:p>
      <w:pPr>
        <w:spacing w:after="0" w:line="205" w:lineRule="auto"/>
        <w:tabs>
          <w:tab w:leader="none" w:pos="1380" w:val="left"/>
        </w:tabs>
        <w:rPr>
          <w:sz w:val="20"/>
          <w:szCs w:val="20"/>
          <w:color w:val="auto"/>
        </w:rPr>
      </w:pPr>
      <w:r>
        <w:rPr>
          <w:rFonts w:ascii="Arial" w:cs="Arial" w:eastAsia="Arial" w:hAnsi="Arial"/>
          <w:sz w:val="4"/>
          <w:szCs w:val="4"/>
          <w:color w:val="FFFFFF"/>
        </w:rPr>
        <w:t>United States</w:t>
      </w:r>
      <w:r>
        <w:rPr>
          <w:sz w:val="20"/>
          <w:szCs w:val="20"/>
          <w:color w:val="auto"/>
        </w:rPr>
        <w:tab/>
      </w:r>
      <w:r>
        <w:rPr>
          <w:rFonts w:ascii="Arial" w:cs="Arial" w:eastAsia="Arial" w:hAnsi="Arial"/>
          <w:sz w:val="4"/>
          <w:szCs w:val="4"/>
          <w:color w:val="FFFFFF"/>
        </w:rPr>
        <w:t>China Mexico Italy Slovakia Bosnia</w:t>
      </w:r>
    </w:p>
    <w:p>
      <w:pPr>
        <w:ind w:right="379"/>
        <w:spacing w:after="0"/>
        <w:rPr>
          <w:sz w:val="20"/>
          <w:szCs w:val="20"/>
          <w:color w:val="auto"/>
        </w:rPr>
      </w:pPr>
      <w:r>
        <w:rPr>
          <w:rFonts w:ascii="Arial" w:cs="Arial" w:eastAsia="Arial" w:hAnsi="Arial"/>
          <w:sz w:val="8"/>
          <w:szCs w:val="8"/>
          <w:color w:val="FFFFFF"/>
        </w:rPr>
        <w:t>Market outperformance o High quality, reduced friction, low noise o Two Innovation Centers of Excellence o Advanced grinding and cold forming technologies o Strategic global footprint Benefits of new global organization o Supply chain, technology and best practice</w:t>
      </w:r>
    </w:p>
    <w:p>
      <w:pPr>
        <w:spacing w:after="0" w:line="181" w:lineRule="auto"/>
        <w:rPr>
          <w:sz w:val="20"/>
          <w:szCs w:val="20"/>
          <w:color w:val="auto"/>
        </w:rPr>
      </w:pPr>
      <w:r>
        <w:rPr>
          <w:rFonts w:ascii="Arial" w:cs="Arial" w:eastAsia="Arial" w:hAnsi="Arial"/>
          <w:sz w:val="12"/>
          <w:szCs w:val="12"/>
          <w:color w:val="FFFFFF"/>
        </w:rPr>
        <w:t>JeffPRECISIONManzagolBEARING COMPONENTS</w:t>
      </w:r>
    </w:p>
    <w:p>
      <w:pPr>
        <w:spacing w:after="0" w:line="206" w:lineRule="auto"/>
        <w:rPr>
          <w:sz w:val="20"/>
          <w:szCs w:val="20"/>
          <w:color w:val="auto"/>
        </w:rPr>
      </w:pPr>
      <w:r>
        <w:rPr>
          <w:rFonts w:ascii="Arial" w:cs="Arial" w:eastAsia="Arial" w:hAnsi="Arial"/>
          <w:sz w:val="4"/>
          <w:szCs w:val="4"/>
          <w:color w:val="FFFFFF"/>
        </w:rPr>
        <w:t>www.nninc.comSeniorVicePresident/GM Precision Bearing Components Group</w:t>
      </w:r>
    </w:p>
    <w:p>
      <w:pPr>
        <w:spacing w:after="0"/>
        <w:rPr>
          <w:sz w:val="20"/>
          <w:szCs w:val="20"/>
          <w:color w:val="auto"/>
        </w:rPr>
      </w:pPr>
      <w:r>
        <w:rPr>
          <w:rFonts w:ascii="Arial" w:cs="Arial" w:eastAsia="Arial" w:hAnsi="Arial"/>
          <w:sz w:val="13"/>
          <w:szCs w:val="13"/>
          <w:color w:val="FFFFFF"/>
        </w:rPr>
        <w:t>34</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Industrial Technology Market ($10B)</w:t>
      </w:r>
    </w:p>
    <w:p>
      <w:pPr>
        <w:ind w:left="540"/>
        <w:spacing w:after="0" w:line="182" w:lineRule="auto"/>
        <w:tabs>
          <w:tab w:leader="none" w:pos="1160" w:val="left"/>
        </w:tabs>
        <w:rPr>
          <w:sz w:val="20"/>
          <w:szCs w:val="20"/>
          <w:color w:val="auto"/>
        </w:rPr>
      </w:pPr>
      <w:r>
        <w:rPr>
          <w:rFonts w:ascii="Arial" w:cs="Arial" w:eastAsia="Arial" w:hAnsi="Arial"/>
          <w:sz w:val="9"/>
          <w:szCs w:val="9"/>
          <w:color w:val="FFFFFF"/>
        </w:rPr>
        <w:t>T</w:t>
      </w:r>
      <w:r>
        <w:rPr>
          <w:sz w:val="20"/>
          <w:szCs w:val="20"/>
          <w:color w:val="auto"/>
        </w:rPr>
        <w:tab/>
      </w:r>
      <w:r>
        <w:rPr>
          <w:rFonts w:ascii="Arial" w:cs="Arial" w:eastAsia="Arial" w:hAnsi="Arial"/>
          <w:sz w:val="9"/>
          <w:szCs w:val="9"/>
          <w:color w:val="FFFFFF"/>
        </w:rPr>
        <w:t>End Market</w:t>
      </w:r>
    </w:p>
    <w:p>
      <w:pPr>
        <w:spacing w:after="0" w:line="205" w:lineRule="auto"/>
        <w:rPr>
          <w:sz w:val="20"/>
          <w:szCs w:val="20"/>
          <w:color w:val="auto"/>
        </w:rPr>
      </w:pPr>
      <w:r>
        <w:rPr>
          <w:rFonts w:ascii="Arial" w:cs="Arial" w:eastAsia="Arial" w:hAnsi="Arial"/>
          <w:sz w:val="4"/>
          <w:szCs w:val="4"/>
          <w:color w:val="FFFFFF"/>
        </w:rPr>
        <w:t>8% 15%</w:t>
      </w:r>
    </w:p>
    <w:p>
      <w:pPr>
        <w:spacing w:after="0" w:line="205" w:lineRule="auto"/>
        <w:rPr>
          <w:sz w:val="20"/>
          <w:szCs w:val="20"/>
          <w:color w:val="auto"/>
        </w:rPr>
      </w:pPr>
      <w:r>
        <w:rPr>
          <w:rFonts w:ascii="Arial" w:cs="Arial" w:eastAsia="Arial" w:hAnsi="Arial"/>
          <w:sz w:val="4"/>
          <w:szCs w:val="4"/>
          <w:color w:val="FFFFFF"/>
          <w:vertAlign w:val="subscript"/>
        </w:rPr>
        <w:t>15%</w:t>
      </w:r>
      <w:r>
        <w:rPr>
          <w:rFonts w:ascii="Arial" w:cs="Arial" w:eastAsia="Arial" w:hAnsi="Arial"/>
          <w:sz w:val="2"/>
          <w:szCs w:val="2"/>
          <w:color w:val="FFFFFF"/>
        </w:rPr>
        <w:t>40%</w:t>
      </w:r>
    </w:p>
    <w:p>
      <w:pPr>
        <w:spacing w:after="0" w:line="189" w:lineRule="auto"/>
        <w:rPr>
          <w:sz w:val="20"/>
          <w:szCs w:val="20"/>
          <w:color w:val="auto"/>
        </w:rPr>
      </w:pPr>
      <w:r>
        <w:rPr>
          <w:rFonts w:ascii="Arial" w:cs="Arial" w:eastAsia="Arial" w:hAnsi="Arial"/>
          <w:sz w:val="13"/>
          <w:szCs w:val="13"/>
          <w:color w:val="FFFFFF"/>
        </w:rPr>
        <w:t>22%</w:t>
      </w:r>
    </w:p>
    <w:p>
      <w:pPr>
        <w:spacing w:after="0" w:line="206" w:lineRule="auto"/>
        <w:rPr>
          <w:sz w:val="20"/>
          <w:szCs w:val="20"/>
          <w:color w:val="auto"/>
        </w:rPr>
      </w:pPr>
      <w:r>
        <w:rPr>
          <w:rFonts w:ascii="Arial" w:cs="Arial" w:eastAsia="Arial" w:hAnsi="Arial"/>
          <w:sz w:val="4"/>
          <w:szCs w:val="4"/>
          <w:color w:val="FFFFFF"/>
        </w:rPr>
        <w:t>Wtd.IndustrialGlobalDistributionIDPNNSegmentHeavy/SpecializedGrowthRateIndustrial Machinery Off-Highway Railway</w:t>
      </w:r>
    </w:p>
    <w:p>
      <w:pPr>
        <w:spacing w:after="0" w:line="182" w:lineRule="auto"/>
        <w:rPr>
          <w:sz w:val="20"/>
          <w:szCs w:val="20"/>
          <w:color w:val="auto"/>
        </w:rPr>
      </w:pPr>
      <w:r>
        <w:rPr>
          <w:rFonts w:ascii="Arial" w:cs="Arial" w:eastAsia="Arial" w:hAnsi="Arial"/>
          <w:sz w:val="9"/>
          <w:szCs w:val="9"/>
          <w:color w:val="FFFFFF"/>
        </w:rPr>
        <w:t>8.0% 7.0% 6.0% 5.0% 4.0% 3.0% 2.0% 1.0% 0.0%</w:t>
      </w:r>
    </w:p>
    <w:p>
      <w:pPr>
        <w:spacing w:after="0" w:line="205" w:lineRule="auto"/>
        <w:rPr>
          <w:sz w:val="20"/>
          <w:szCs w:val="20"/>
          <w:color w:val="auto"/>
        </w:rPr>
      </w:pPr>
      <w:r>
        <w:rPr>
          <w:rFonts w:ascii="Arial" w:cs="Arial" w:eastAsia="Arial" w:hAnsi="Arial"/>
          <w:sz w:val="4"/>
          <w:szCs w:val="4"/>
          <w:color w:val="FFFFFF"/>
        </w:rPr>
        <w:t>Market20152016Overview20172018</w:t>
      </w:r>
    </w:p>
    <w:p>
      <w:pPr>
        <w:spacing w:after="0" w:line="205" w:lineRule="auto"/>
        <w:rPr>
          <w:sz w:val="20"/>
          <w:szCs w:val="20"/>
          <w:color w:val="auto"/>
        </w:rPr>
      </w:pPr>
      <w:r>
        <w:rPr>
          <w:rFonts w:ascii="Arial" w:cs="Arial" w:eastAsia="Arial" w:hAnsi="Arial"/>
          <w:sz w:val="4"/>
          <w:szCs w:val="4"/>
          <w:color w:val="FFFFFF"/>
          <w:vertAlign w:val="subscript"/>
        </w:rPr>
        <w:t>OEM</w:t>
      </w:r>
      <w:r>
        <w:rPr>
          <w:rFonts w:ascii="Arial" w:cs="Arial" w:eastAsia="Arial" w:hAnsi="Arial"/>
          <w:sz w:val="2"/>
          <w:szCs w:val="2"/>
          <w:color w:val="FFFFFF"/>
        </w:rPr>
        <w:t>utsourcing trend for precision</w:t>
      </w:r>
      <w:r>
        <w:rPr>
          <w:rFonts w:ascii="Arial" w:cs="Arial" w:eastAsia="Arial" w:hAnsi="Arial"/>
          <w:sz w:val="4"/>
          <w:szCs w:val="4"/>
          <w:color w:val="FFFFFF"/>
          <w:vertAlign w:val="subscript"/>
        </w:rPr>
        <w:t>significant</w:t>
      </w:r>
      <w:r>
        <w:rPr>
          <w:rFonts w:ascii="Arial" w:cs="Arial" w:eastAsia="Arial" w:hAnsi="Arial"/>
          <w:sz w:val="2"/>
          <w:szCs w:val="2"/>
          <w:color w:val="FFFFFF"/>
        </w:rPr>
        <w:t>omponents in all industrial end markets</w:t>
      </w:r>
    </w:p>
    <w:p>
      <w:pPr>
        <w:ind w:left="320"/>
        <w:spacing w:after="0" w:line="182" w:lineRule="auto"/>
        <w:tabs>
          <w:tab w:leader="none" w:pos="1920" w:val="left"/>
        </w:tabs>
        <w:rPr>
          <w:sz w:val="20"/>
          <w:szCs w:val="20"/>
          <w:color w:val="auto"/>
        </w:rPr>
      </w:pPr>
      <w:r>
        <w:rPr>
          <w:rFonts w:ascii="Arial" w:cs="Arial" w:eastAsia="Arial" w:hAnsi="Arial"/>
          <w:sz w:val="9"/>
          <w:szCs w:val="9"/>
          <w:color w:val="FFFFFF"/>
        </w:rPr>
        <w:t>cycles balanced by</w:t>
      </w:r>
      <w:r>
        <w:rPr>
          <w:sz w:val="20"/>
          <w:szCs w:val="20"/>
          <w:color w:val="auto"/>
        </w:rPr>
        <w:tab/>
      </w:r>
      <w:r>
        <w:rPr>
          <w:rFonts w:ascii="Arial" w:cs="Arial" w:eastAsia="Arial" w:hAnsi="Arial"/>
          <w:sz w:val="9"/>
          <w:szCs w:val="9"/>
          <w:color w:val="FFFFFF"/>
        </w:rPr>
        <w:t>aftermarket demand</w:t>
      </w:r>
    </w:p>
    <w:p>
      <w:pPr>
        <w:spacing w:after="0" w:line="205" w:lineRule="auto"/>
        <w:rPr>
          <w:sz w:val="20"/>
          <w:szCs w:val="20"/>
          <w:color w:val="auto"/>
        </w:rPr>
      </w:pPr>
      <w:r>
        <w:rPr>
          <w:rFonts w:ascii="Arial" w:cs="Arial" w:eastAsia="Arial" w:hAnsi="Arial"/>
          <w:sz w:val="4"/>
          <w:szCs w:val="4"/>
          <w:color w:val="FFFFFF"/>
        </w:rPr>
        <w:t>www.nninc.comStrongerperformance in selected end markets: railway, renewable energy and residential</w:t>
      </w:r>
    </w:p>
    <w:p>
      <w:pPr>
        <w:spacing w:after="0"/>
        <w:rPr>
          <w:sz w:val="20"/>
          <w:szCs w:val="20"/>
          <w:color w:val="auto"/>
        </w:rPr>
      </w:pPr>
      <w:r>
        <w:rPr>
          <w:rFonts w:ascii="Arial" w:cs="Arial" w:eastAsia="Arial" w:hAnsi="Arial"/>
          <w:sz w:val="13"/>
          <w:szCs w:val="13"/>
          <w:color w:val="FFFFFF"/>
        </w:rPr>
        <w:t>35</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gridSpan w:val="3"/>
          </w:tcPr>
          <w:p>
            <w:pPr>
              <w:spacing w:after="0"/>
              <w:rPr>
                <w:sz w:val="20"/>
                <w:szCs w:val="20"/>
                <w:color w:val="auto"/>
              </w:rPr>
            </w:pPr>
            <w:r>
              <w:rPr>
                <w:rFonts w:ascii="Arial" w:cs="Arial" w:eastAsia="Arial" w:hAnsi="Arial"/>
                <w:sz w:val="13"/>
                <w:szCs w:val="13"/>
                <w:color w:val="FFFFFF"/>
              </w:rPr>
              <w:t>Industrial Technology End Market</w:t>
            </w:r>
          </w:p>
        </w:tc>
        <w:tc>
          <w:tcPr>
            <w:tcW w:w="34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580" w:type="dxa"/>
            <w:vAlign w:val="bottom"/>
            <w:gridSpan w:val="3"/>
          </w:tcPr>
          <w:p>
            <w:pPr>
              <w:spacing w:after="0" w:line="40" w:lineRule="exact"/>
              <w:rPr>
                <w:sz w:val="20"/>
                <w:szCs w:val="20"/>
                <w:color w:val="auto"/>
              </w:rPr>
            </w:pPr>
            <w:r>
              <w:rPr>
                <w:rFonts w:ascii="Arial" w:cs="Arial" w:eastAsia="Arial" w:hAnsi="Arial"/>
                <w:sz w:val="4"/>
                <w:szCs w:val="4"/>
                <w:color w:val="FFFFFF"/>
              </w:rPr>
              <w:t>Addressable Market ($3B)</w:t>
            </w:r>
          </w:p>
        </w:tc>
        <w:tc>
          <w:tcPr>
            <w:tcW w:w="34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8%</w:t>
            </w:r>
          </w:p>
        </w:tc>
        <w:tc>
          <w:tcPr>
            <w:tcW w:w="2380" w:type="dxa"/>
            <w:vAlign w:val="bottom"/>
            <w:gridSpan w:val="2"/>
          </w:tcPr>
          <w:p>
            <w:pPr>
              <w:ind w:left="20"/>
              <w:spacing w:after="0" w:line="40" w:lineRule="exact"/>
              <w:rPr>
                <w:sz w:val="20"/>
                <w:szCs w:val="20"/>
                <w:color w:val="auto"/>
              </w:rPr>
            </w:pPr>
            <w:r>
              <w:rPr>
                <w:rFonts w:ascii="Arial" w:cs="Arial" w:eastAsia="Arial" w:hAnsi="Arial"/>
                <w:sz w:val="4"/>
                <w:szCs w:val="4"/>
                <w:color w:val="FFFFFF"/>
              </w:rPr>
              <w:t>15%</w:t>
            </w:r>
          </w:p>
        </w:tc>
        <w:tc>
          <w:tcPr>
            <w:tcW w:w="34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spacing w:after="0" w:line="40" w:lineRule="exact"/>
              <w:rPr>
                <w:sz w:val="20"/>
                <w:szCs w:val="20"/>
                <w:color w:val="auto"/>
              </w:rPr>
            </w:pPr>
            <w:r>
              <w:rPr>
                <w:rFonts w:ascii="Arial" w:cs="Arial" w:eastAsia="Arial" w:hAnsi="Arial"/>
                <w:sz w:val="4"/>
                <w:szCs w:val="4"/>
                <w:color w:val="FFFFFF"/>
              </w:rPr>
              <w:t>40%</w:t>
            </w:r>
          </w:p>
        </w:tc>
        <w:tc>
          <w:tcPr>
            <w:tcW w:w="23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spacing w:after="0" w:line="40" w:lineRule="exact"/>
              <w:rPr>
                <w:sz w:val="20"/>
                <w:szCs w:val="20"/>
                <w:color w:val="auto"/>
              </w:rPr>
            </w:pPr>
            <w:r>
              <w:rPr>
                <w:rFonts w:ascii="Arial" w:cs="Arial" w:eastAsia="Arial" w:hAnsi="Arial"/>
                <w:sz w:val="4"/>
                <w:szCs w:val="4"/>
                <w:color w:val="FFFFFF"/>
              </w:rPr>
              <w:t>15%</w:t>
            </w:r>
          </w:p>
        </w:tc>
        <w:tc>
          <w:tcPr>
            <w:tcW w:w="576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FFFFFF"/>
              </w:rPr>
              <w:t>Distribution Heavy/Specialized Industrial Machinery Off-Highway Railway</w:t>
            </w: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280" w:type="dxa"/>
            <w:vAlign w:val="bottom"/>
            <w:gridSpan w:val="2"/>
          </w:tcPr>
          <w:p>
            <w:pPr>
              <w:spacing w:after="0" w:line="79" w:lineRule="exact"/>
              <w:rPr>
                <w:sz w:val="20"/>
                <w:szCs w:val="20"/>
                <w:color w:val="auto"/>
              </w:rPr>
            </w:pPr>
            <w:r>
              <w:rPr>
                <w:rFonts w:ascii="Arial" w:cs="Arial" w:eastAsia="Arial" w:hAnsi="Arial"/>
                <w:sz w:val="9"/>
                <w:szCs w:val="9"/>
                <w:color w:val="FFFFFF"/>
              </w:rPr>
              <w:t>22%</w:t>
            </w:r>
          </w:p>
        </w:tc>
        <w:tc>
          <w:tcPr>
            <w:tcW w:w="5760" w:type="dxa"/>
            <w:vAlign w:val="bottom"/>
            <w:gridSpan w:val="2"/>
            <w:vMerge w:val="continue"/>
          </w:tcPr>
          <w:p>
            <w:pPr>
              <w:spacing w:after="0"/>
              <w:rPr>
                <w:sz w:val="6"/>
                <w:szCs w:val="6"/>
                <w:color w:val="auto"/>
              </w:rPr>
            </w:pPr>
          </w:p>
        </w:tc>
        <w:tc>
          <w:tcPr>
            <w:tcW w:w="5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580" w:type="dxa"/>
            <w:vAlign w:val="bottom"/>
            <w:gridSpan w:val="3"/>
          </w:tcPr>
          <w:p>
            <w:pPr>
              <w:spacing w:after="0" w:line="40" w:lineRule="exact"/>
              <w:rPr>
                <w:sz w:val="20"/>
                <w:szCs w:val="20"/>
                <w:color w:val="auto"/>
              </w:rPr>
            </w:pPr>
            <w:r>
              <w:rPr>
                <w:rFonts w:ascii="Arial" w:cs="Arial" w:eastAsia="Arial" w:hAnsi="Arial"/>
                <w:sz w:val="4"/>
                <w:szCs w:val="4"/>
                <w:color w:val="FFFFFF"/>
              </w:rPr>
              <w:t>IndustrialNN’Industrial Technology Business* ($135M)</w:t>
            </w:r>
          </w:p>
        </w:tc>
        <w:tc>
          <w:tcPr>
            <w:tcW w:w="34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2380" w:type="dxa"/>
            <w:vAlign w:val="bottom"/>
            <w:gridSpan w:val="2"/>
            <w:vMerge w:val="restart"/>
          </w:tcPr>
          <w:p>
            <w:pPr>
              <w:ind w:left="20"/>
              <w:spacing w:after="0" w:line="79" w:lineRule="exact"/>
              <w:rPr>
                <w:sz w:val="20"/>
                <w:szCs w:val="20"/>
                <w:color w:val="auto"/>
              </w:rPr>
            </w:pPr>
            <w:r>
              <w:rPr>
                <w:rFonts w:ascii="Arial" w:cs="Arial" w:eastAsia="Arial" w:hAnsi="Arial"/>
                <w:sz w:val="9"/>
                <w:szCs w:val="9"/>
                <w:color w:val="FFFFFF"/>
              </w:rPr>
              <w:t>8% 32% 10%</w:t>
            </w:r>
          </w:p>
        </w:tc>
        <w:tc>
          <w:tcPr>
            <w:tcW w:w="34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2380" w:type="dxa"/>
            <w:vAlign w:val="bottom"/>
            <w:gridSpan w:val="2"/>
            <w:vMerge w:val="continue"/>
          </w:tcPr>
          <w:p>
            <w:pPr>
              <w:spacing w:after="0"/>
              <w:rPr>
                <w:sz w:val="3"/>
                <w:szCs w:val="3"/>
                <w:color w:val="auto"/>
              </w:rPr>
            </w:pPr>
          </w:p>
        </w:tc>
        <w:tc>
          <w:tcPr>
            <w:tcW w:w="34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spacing w:after="0" w:line="40" w:lineRule="exact"/>
              <w:rPr>
                <w:sz w:val="20"/>
                <w:szCs w:val="20"/>
                <w:color w:val="auto"/>
              </w:rPr>
            </w:pPr>
            <w:r>
              <w:rPr>
                <w:rFonts w:ascii="Arial" w:cs="Arial" w:eastAsia="Arial" w:hAnsi="Arial"/>
                <w:sz w:val="4"/>
                <w:szCs w:val="4"/>
                <w:color w:val="FFFFFF"/>
              </w:rPr>
              <w:t>19%</w:t>
            </w:r>
          </w:p>
        </w:tc>
        <w:tc>
          <w:tcPr>
            <w:tcW w:w="5760" w:type="dxa"/>
            <w:vAlign w:val="bottom"/>
            <w:gridSpan w:val="2"/>
            <w:vMerge w:val="restart"/>
          </w:tcPr>
          <w:p>
            <w:pPr>
              <w:ind w:left="40"/>
              <w:spacing w:after="0" w:line="118" w:lineRule="exact"/>
              <w:rPr>
                <w:sz w:val="20"/>
                <w:szCs w:val="20"/>
                <w:color w:val="auto"/>
              </w:rPr>
            </w:pPr>
            <w:r>
              <w:rPr>
                <w:rFonts w:ascii="Arial" w:cs="Arial" w:eastAsia="Arial" w:hAnsi="Arial"/>
                <w:sz w:val="13"/>
                <w:szCs w:val="13"/>
                <w:color w:val="FFFFFF"/>
              </w:rPr>
              <w:t>Machinery Commercial Vehicles Industrial Motors Industrial Drives Wind Energy Railway Other</w:t>
            </w:r>
          </w:p>
        </w:tc>
        <w:tc>
          <w:tcPr>
            <w:tcW w:w="5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280" w:type="dxa"/>
            <w:vAlign w:val="bottom"/>
            <w:gridSpan w:val="2"/>
          </w:tcPr>
          <w:p>
            <w:pPr>
              <w:spacing w:after="0" w:line="79" w:lineRule="exact"/>
              <w:rPr>
                <w:sz w:val="20"/>
                <w:szCs w:val="20"/>
                <w:color w:val="auto"/>
              </w:rPr>
            </w:pPr>
            <w:r>
              <w:rPr>
                <w:rFonts w:ascii="Arial" w:cs="Arial" w:eastAsia="Arial" w:hAnsi="Arial"/>
                <w:sz w:val="9"/>
                <w:szCs w:val="9"/>
                <w:color w:val="FFFFFF"/>
              </w:rPr>
              <w:t>28%</w:t>
            </w:r>
          </w:p>
        </w:tc>
        <w:tc>
          <w:tcPr>
            <w:tcW w:w="5760" w:type="dxa"/>
            <w:vAlign w:val="bottom"/>
            <w:gridSpan w:val="2"/>
            <w:vMerge w:val="continue"/>
          </w:tcPr>
          <w:p>
            <w:pPr>
              <w:spacing w:after="0"/>
              <w:rPr>
                <w:sz w:val="6"/>
                <w:szCs w:val="6"/>
                <w:color w:val="auto"/>
              </w:rPr>
            </w:pPr>
          </w:p>
        </w:tc>
        <w:tc>
          <w:tcPr>
            <w:tcW w:w="5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220" w:type="dxa"/>
            <w:vAlign w:val="bottom"/>
            <w:gridSpan w:val="5"/>
          </w:tcPr>
          <w:p>
            <w:pPr>
              <w:spacing w:after="0" w:line="40" w:lineRule="exact"/>
              <w:rPr>
                <w:sz w:val="20"/>
                <w:szCs w:val="20"/>
                <w:color w:val="auto"/>
              </w:rPr>
            </w:pPr>
            <w:r>
              <w:rPr>
                <w:rFonts w:ascii="Arial" w:cs="Arial" w:eastAsia="Arial" w:hAnsi="Arial"/>
                <w:sz w:val="4"/>
                <w:szCs w:val="4"/>
                <w:color w:val="FFFFFF"/>
              </w:rPr>
              <w:t>Fluid Power: Compressors, motors and pumps o Needs for high volume precision machined components o Expanding our market reach into adjacent applications o Pursue higher order assemblies</w:t>
            </w:r>
          </w:p>
        </w:tc>
        <w:tc>
          <w:tcPr>
            <w:tcW w:w="0" w:type="dxa"/>
            <w:vAlign w:val="bottom"/>
          </w:tcPr>
          <w:p>
            <w:pPr>
              <w:spacing w:after="0" w:line="20" w:lineRule="exact"/>
              <w:rPr>
                <w:sz w:val="1"/>
                <w:szCs w:val="1"/>
                <w:color w:val="auto"/>
              </w:rPr>
            </w:pPr>
          </w:p>
        </w:tc>
      </w:tr>
      <w:tr>
        <w:trPr>
          <w:trHeight w:val="39"/>
        </w:trPr>
        <w:tc>
          <w:tcPr>
            <w:tcW w:w="2580" w:type="dxa"/>
            <w:vAlign w:val="bottom"/>
            <w:gridSpan w:val="3"/>
          </w:tcPr>
          <w:p>
            <w:pPr>
              <w:spacing w:after="0" w:line="40" w:lineRule="exact"/>
              <w:rPr>
                <w:sz w:val="20"/>
                <w:szCs w:val="20"/>
                <w:color w:val="auto"/>
              </w:rPr>
            </w:pPr>
            <w:r>
              <w:rPr>
                <w:rFonts w:ascii="Arial" w:cs="Arial" w:eastAsia="Arial" w:hAnsi="Arial"/>
                <w:sz w:val="4"/>
                <w:szCs w:val="4"/>
                <w:color w:val="FFFFFF"/>
              </w:rPr>
              <w:t>Wind Energy: High volume, large size products</w:t>
            </w:r>
          </w:p>
        </w:tc>
        <w:tc>
          <w:tcPr>
            <w:tcW w:w="3460" w:type="dxa"/>
            <w:vAlign w:val="bottom"/>
          </w:tcPr>
          <w:p>
            <w:pPr>
              <w:ind w:left="60"/>
              <w:spacing w:after="0" w:line="40" w:lineRule="exact"/>
              <w:rPr>
                <w:sz w:val="20"/>
                <w:szCs w:val="20"/>
                <w:color w:val="auto"/>
              </w:rPr>
            </w:pPr>
            <w:r>
              <w:rPr>
                <w:rFonts w:ascii="Arial" w:cs="Arial" w:eastAsia="Arial" w:hAnsi="Arial"/>
                <w:sz w:val="4"/>
                <w:szCs w:val="4"/>
                <w:color w:val="FFFFFF"/>
              </w:rPr>
              <w:t>Supplying reliability-critical components o Supporting the</w:t>
            </w:r>
          </w:p>
        </w:tc>
        <w:tc>
          <w:tcPr>
            <w:tcW w:w="5180" w:type="dxa"/>
            <w:vAlign w:val="bottom"/>
          </w:tcPr>
          <w:p>
            <w:pPr>
              <w:ind w:left="340"/>
              <w:spacing w:after="0" w:line="40" w:lineRule="exact"/>
              <w:rPr>
                <w:sz w:val="20"/>
                <w:szCs w:val="20"/>
                <w:color w:val="auto"/>
              </w:rPr>
            </w:pPr>
            <w:r>
              <w:rPr>
                <w:rFonts w:ascii="Arial" w:cs="Arial" w:eastAsia="Arial" w:hAnsi="Arial"/>
                <w:sz w:val="4"/>
                <w:szCs w:val="4"/>
                <w:color w:val="FFFFFF"/>
              </w:rPr>
              <w:t>trend o Regionalized capabilities</w:t>
            </w:r>
          </w:p>
        </w:tc>
        <w:tc>
          <w:tcPr>
            <w:tcW w:w="0" w:type="dxa"/>
            <w:vAlign w:val="bottom"/>
          </w:tcPr>
          <w:p>
            <w:pPr>
              <w:spacing w:after="0" w:line="20" w:lineRule="exact"/>
              <w:rPr>
                <w:sz w:val="1"/>
                <w:szCs w:val="1"/>
                <w:color w:val="auto"/>
              </w:rPr>
            </w:pPr>
          </w:p>
        </w:tc>
      </w:tr>
      <w:tr>
        <w:trPr>
          <w:trHeight w:val="0"/>
        </w:trPr>
        <w:tc>
          <w:tcPr>
            <w:tcW w:w="2580" w:type="dxa"/>
            <w:vAlign w:val="bottom"/>
            <w:gridSpan w:val="3"/>
          </w:tcPr>
          <w:p>
            <w:pPr>
              <w:spacing w:after="0" w:line="117" w:lineRule="exact"/>
              <w:rPr>
                <w:sz w:val="20"/>
                <w:szCs w:val="20"/>
                <w:color w:val="auto"/>
              </w:rPr>
            </w:pPr>
            <w:r>
              <w:rPr>
                <w:rFonts w:ascii="Arial" w:cs="Arial" w:eastAsia="Arial" w:hAnsi="Arial"/>
                <w:sz w:val="13"/>
                <w:szCs w:val="13"/>
                <w:color w:val="FFFFFF"/>
              </w:rPr>
              <w:t>Railway: Safety critical components</w:t>
            </w:r>
          </w:p>
        </w:tc>
        <w:tc>
          <w:tcPr>
            <w:tcW w:w="8640" w:type="dxa"/>
            <w:vAlign w:val="bottom"/>
            <w:gridSpan w:val="2"/>
          </w:tcPr>
          <w:p>
            <w:pPr>
              <w:ind w:left="80"/>
              <w:spacing w:after="0" w:line="117" w:lineRule="exact"/>
              <w:rPr>
                <w:sz w:val="20"/>
                <w:szCs w:val="20"/>
                <w:color w:val="auto"/>
              </w:rPr>
            </w:pPr>
            <w:r>
              <w:rPr>
                <w:rFonts w:ascii="Arial" w:cs="Arial" w:eastAsia="Arial" w:hAnsi="Arial"/>
                <w:sz w:val="13"/>
                <w:szCs w:val="13"/>
                <w:color w:val="FFFFFF"/>
                <w:w w:val="86"/>
              </w:rPr>
              <w:t>the outsourcing trend o Install capacity in best cost countriesoutsourcingChinagrowth $1B end market spend next 5 years Linear Systems: Actuators and guides o Expanded</w:t>
            </w:r>
          </w:p>
        </w:tc>
        <w:tc>
          <w:tcPr>
            <w:tcW w:w="0" w:type="dxa"/>
            <w:vAlign w:val="bottom"/>
          </w:tcPr>
          <w:p>
            <w:pPr>
              <w:spacing w:after="0" w:line="20" w:lineRule="exact"/>
              <w:rPr>
                <w:sz w:val="1"/>
                <w:szCs w:val="1"/>
                <w:color w:val="auto"/>
              </w:rPr>
            </w:pPr>
          </w:p>
        </w:tc>
      </w:tr>
    </w:tbl>
    <w:p>
      <w:pPr>
        <w:ind w:right="4440"/>
        <w:spacing w:after="0"/>
        <w:rPr>
          <w:sz w:val="20"/>
          <w:szCs w:val="20"/>
          <w:color w:val="auto"/>
        </w:rPr>
      </w:pPr>
      <w:r>
        <w:rPr>
          <w:rFonts w:ascii="Arial" w:cs="Arial" w:eastAsia="Arial" w:hAnsi="Arial"/>
          <w:sz w:val="9"/>
          <w:szCs w:val="9"/>
          <w:color w:val="FFFFFF"/>
        </w:rPr>
        <w:t>application of precision machined componentsSupportingAdjacent market for bearing components o Potential for higher order assemblies www.nninc.com</w:t>
      </w:r>
    </w:p>
    <w:p>
      <w:pPr>
        <w:sectPr>
          <w:pgSz w:w="11900" w:h="16838" w:orient="portrait"/>
          <w:cols w:equalWidth="0" w:num="1">
            <w:col w:w="11220"/>
          </w:cols>
          <w:pgMar w:left="240" w:top="1440" w:right="4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color w:val="FFFFFF"/>
              </w:rPr>
              <w:t>Industrial T</w:t>
            </w:r>
          </w:p>
        </w:tc>
        <w:tc>
          <w:tcPr>
            <w:tcW w:w="5380" w:type="dxa"/>
            <w:vAlign w:val="bottom"/>
            <w:gridSpan w:val="2"/>
          </w:tcPr>
          <w:p>
            <w:pPr>
              <w:ind w:left="20"/>
              <w:spacing w:after="0"/>
              <w:rPr>
                <w:sz w:val="20"/>
                <w:szCs w:val="20"/>
                <w:color w:val="auto"/>
              </w:rPr>
            </w:pPr>
            <w:r>
              <w:rPr>
                <w:rFonts w:ascii="Arial" w:cs="Arial" w:eastAsia="Arial" w:hAnsi="Arial"/>
                <w:sz w:val="13"/>
                <w:szCs w:val="13"/>
                <w:color w:val="FFFFFF"/>
              </w:rPr>
              <w:t>End Market: How We Grow</w:t>
            </w:r>
          </w:p>
        </w:tc>
        <w:tc>
          <w:tcPr>
            <w:tcW w:w="0" w:type="dxa"/>
            <w:vAlign w:val="bottom"/>
          </w:tcPr>
          <w:p>
            <w:pPr>
              <w:spacing w:after="0"/>
              <w:rPr>
                <w:sz w:val="1"/>
                <w:szCs w:val="1"/>
                <w:color w:val="auto"/>
              </w:rPr>
            </w:pPr>
          </w:p>
        </w:tc>
      </w:tr>
      <w:tr>
        <w:trPr>
          <w:trHeight w:val="39"/>
        </w:trPr>
        <w:tc>
          <w:tcPr>
            <w:tcW w:w="1740" w:type="dxa"/>
            <w:vAlign w:val="bottom"/>
            <w:gridSpan w:val="3"/>
          </w:tcPr>
          <w:p>
            <w:pPr>
              <w:spacing w:after="0" w:line="40" w:lineRule="exact"/>
              <w:rPr>
                <w:sz w:val="20"/>
                <w:szCs w:val="20"/>
                <w:color w:val="auto"/>
              </w:rPr>
            </w:pPr>
            <w:r>
              <w:rPr>
                <w:rFonts w:ascii="Arial" w:cs="Arial" w:eastAsia="Arial" w:hAnsi="Arial"/>
                <w:sz w:val="4"/>
                <w:szCs w:val="4"/>
                <w:color w:val="FFFFFF"/>
              </w:rPr>
              <w:t>Market growechnologyrate:2.5%</w:t>
            </w:r>
          </w:p>
        </w:tc>
        <w:tc>
          <w:tcPr>
            <w:tcW w:w="48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cages o Programs with 3 majors o Active in all factories o Broad range, limited competition</w:t>
            </w:r>
          </w:p>
        </w:tc>
        <w:tc>
          <w:tcPr>
            <w:tcW w:w="0" w:type="dxa"/>
            <w:vAlign w:val="bottom"/>
          </w:tcPr>
          <w:p>
            <w:pPr>
              <w:spacing w:after="0" w:line="20" w:lineRule="exact"/>
              <w:rPr>
                <w:sz w:val="1"/>
                <w:szCs w:val="1"/>
                <w:color w:val="auto"/>
              </w:rPr>
            </w:pPr>
          </w:p>
        </w:tc>
      </w:tr>
      <w:tr>
        <w:trPr>
          <w:trHeight w:val="39"/>
        </w:trPr>
        <w:tc>
          <w:tcPr>
            <w:tcW w:w="1740" w:type="dxa"/>
            <w:vAlign w:val="bottom"/>
            <w:gridSpan w:val="3"/>
          </w:tcPr>
          <w:p>
            <w:pPr>
              <w:spacing w:after="0" w:line="40" w:lineRule="exact"/>
              <w:rPr>
                <w:sz w:val="20"/>
                <w:szCs w:val="20"/>
                <w:color w:val="auto"/>
              </w:rPr>
            </w:pPr>
            <w:r>
              <w:rPr>
                <w:rFonts w:ascii="Arial" w:cs="Arial" w:eastAsia="Arial" w:hAnsi="Arial"/>
                <w:sz w:val="4"/>
                <w:szCs w:val="4"/>
                <w:color w:val="FFFFFF"/>
              </w:rPr>
              <w:t>Outsourcing trend on rollers</w:t>
            </w:r>
          </w:p>
        </w:tc>
        <w:tc>
          <w:tcPr>
            <w:tcW w:w="4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gridSpan w:val="2"/>
          </w:tcPr>
          <w:p>
            <w:pPr>
              <w:spacing w:after="0" w:line="40" w:lineRule="exact"/>
              <w:rPr>
                <w:sz w:val="20"/>
                <w:szCs w:val="20"/>
                <w:color w:val="auto"/>
              </w:rPr>
            </w:pPr>
            <w:r>
              <w:rPr>
                <w:rFonts w:ascii="Arial" w:cs="Arial" w:eastAsia="Arial" w:hAnsi="Arial"/>
                <w:sz w:val="4"/>
                <w:szCs w:val="4"/>
                <w:color w:val="FFFFFF"/>
              </w:rPr>
              <w:t>White space activity</w:t>
            </w:r>
          </w:p>
        </w:tc>
        <w:tc>
          <w:tcPr>
            <w:tcW w:w="53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Expanded sales, marketing and engineering o Targeted Approach</w:t>
            </w:r>
          </w:p>
        </w:tc>
        <w:tc>
          <w:tcPr>
            <w:tcW w:w="0" w:type="dxa"/>
            <w:vAlign w:val="bottom"/>
          </w:tcPr>
          <w:p>
            <w:pPr>
              <w:spacing w:after="0" w:line="20" w:lineRule="exact"/>
              <w:rPr>
                <w:sz w:val="1"/>
                <w:szCs w:val="1"/>
                <w:color w:val="auto"/>
              </w:rPr>
            </w:pPr>
          </w:p>
        </w:tc>
      </w:tr>
      <w:tr>
        <w:trPr>
          <w:trHeight w:val="39"/>
        </w:trPr>
        <w:tc>
          <w:tcPr>
            <w:tcW w:w="280" w:type="dxa"/>
            <w:vAlign w:val="bottom"/>
          </w:tcPr>
          <w:p>
            <w:pPr>
              <w:spacing w:after="0"/>
              <w:rPr>
                <w:sz w:val="3"/>
                <w:szCs w:val="3"/>
                <w:color w:val="auto"/>
              </w:rPr>
            </w:pPr>
          </w:p>
        </w:tc>
        <w:tc>
          <w:tcPr>
            <w:tcW w:w="6260" w:type="dxa"/>
            <w:vAlign w:val="bottom"/>
            <w:gridSpan w:val="3"/>
          </w:tcPr>
          <w:p>
            <w:pPr>
              <w:ind w:left="60"/>
              <w:spacing w:after="0" w:line="40" w:lineRule="exact"/>
              <w:rPr>
                <w:sz w:val="20"/>
                <w:szCs w:val="20"/>
                <w:color w:val="auto"/>
              </w:rPr>
            </w:pPr>
            <w:r>
              <w:rPr>
                <w:rFonts w:ascii="Arial" w:cs="Arial" w:eastAsia="Arial" w:hAnsi="Arial"/>
                <w:sz w:val="4"/>
                <w:szCs w:val="4"/>
                <w:color w:val="FFFFFF"/>
              </w:rPr>
              <w:t>engineered solutions o Cross-training sales and application engineers o Linkage between Innovation Centers</w:t>
            </w:r>
          </w:p>
        </w:tc>
        <w:tc>
          <w:tcPr>
            <w:tcW w:w="0" w:type="dxa"/>
            <w:vAlign w:val="bottom"/>
          </w:tcPr>
          <w:p>
            <w:pPr>
              <w:spacing w:after="0" w:line="20" w:lineRule="exact"/>
              <w:rPr>
                <w:sz w:val="1"/>
                <w:szCs w:val="1"/>
                <w:color w:val="auto"/>
              </w:rPr>
            </w:pPr>
          </w:p>
        </w:tc>
      </w:tr>
      <w:tr>
        <w:trPr>
          <w:trHeight w:val="39"/>
        </w:trPr>
        <w:tc>
          <w:tcPr>
            <w:tcW w:w="6540" w:type="dxa"/>
            <w:vAlign w:val="bottom"/>
            <w:gridSpan w:val="4"/>
          </w:tcPr>
          <w:p>
            <w:pPr>
              <w:spacing w:after="0" w:line="40" w:lineRule="exact"/>
              <w:rPr>
                <w:sz w:val="20"/>
                <w:szCs w:val="20"/>
                <w:color w:val="auto"/>
              </w:rPr>
            </w:pPr>
            <w:r>
              <w:rPr>
                <w:rFonts w:ascii="Arial" w:cs="Arial" w:eastAsia="Arial" w:hAnsi="Arial"/>
                <w:sz w:val="4"/>
                <w:szCs w:val="4"/>
                <w:color w:val="FFFFFF"/>
              </w:rPr>
              <w:t>CrossNN’ estimated growth rate: 6—7%</w:t>
            </w:r>
          </w:p>
        </w:tc>
        <w:tc>
          <w:tcPr>
            <w:tcW w:w="0" w:type="dxa"/>
            <w:vAlign w:val="bottom"/>
          </w:tcPr>
          <w:p>
            <w:pPr>
              <w:spacing w:after="0" w:line="20" w:lineRule="exact"/>
              <w:rPr>
                <w:sz w:val="1"/>
                <w:szCs w:val="1"/>
                <w:color w:val="auto"/>
              </w:rPr>
            </w:pPr>
          </w:p>
        </w:tc>
      </w:tr>
      <w:tr>
        <w:trPr>
          <w:trHeight w:val="39"/>
        </w:trPr>
        <w:tc>
          <w:tcPr>
            <w:tcW w:w="1160" w:type="dxa"/>
            <w:vAlign w:val="bottom"/>
            <w:gridSpan w:val="2"/>
          </w:tcPr>
          <w:p>
            <w:pPr>
              <w:spacing w:after="0" w:line="40" w:lineRule="exact"/>
              <w:rPr>
                <w:sz w:val="20"/>
                <w:szCs w:val="20"/>
                <w:color w:val="auto"/>
              </w:rPr>
            </w:pPr>
            <w:r>
              <w:rPr>
                <w:rFonts w:ascii="Arial" w:cs="Arial" w:eastAsia="Arial" w:hAnsi="Arial"/>
                <w:sz w:val="4"/>
                <w:szCs w:val="4"/>
                <w:color w:val="FFFFFF"/>
              </w:rPr>
              <w:t>In Millions</w:t>
            </w:r>
          </w:p>
        </w:tc>
        <w:tc>
          <w:tcPr>
            <w:tcW w:w="580" w:type="dxa"/>
            <w:vAlign w:val="bottom"/>
            <w:vMerge w:val="restart"/>
          </w:tcPr>
          <w:p>
            <w:pPr>
              <w:ind w:left="20"/>
              <w:spacing w:after="0" w:line="118" w:lineRule="exact"/>
              <w:rPr>
                <w:sz w:val="20"/>
                <w:szCs w:val="20"/>
                <w:color w:val="auto"/>
              </w:rPr>
            </w:pPr>
            <w:r>
              <w:rPr>
                <w:rFonts w:ascii="Arial" w:cs="Arial" w:eastAsia="Arial" w:hAnsi="Arial"/>
                <w:sz w:val="13"/>
                <w:szCs w:val="13"/>
                <w:color w:val="FFFFFF"/>
                <w:w w:val="87"/>
              </w:rPr>
              <w:t>$140 $120</w:t>
            </w:r>
          </w:p>
        </w:tc>
        <w:tc>
          <w:tcPr>
            <w:tcW w:w="4800" w:type="dxa"/>
            <w:vAlign w:val="bottom"/>
            <w:vMerge w:val="restart"/>
          </w:tcPr>
          <w:p>
            <w:pPr>
              <w:jc w:val="right"/>
              <w:ind w:right="4445"/>
              <w:spacing w:after="0" w:line="118" w:lineRule="exact"/>
              <w:rPr>
                <w:sz w:val="20"/>
                <w:szCs w:val="20"/>
                <w:color w:val="auto"/>
              </w:rPr>
            </w:pPr>
            <w:r>
              <w:rPr>
                <w:rFonts w:ascii="Arial" w:cs="Arial" w:eastAsia="Arial" w:hAnsi="Arial"/>
                <w:sz w:val="13"/>
                <w:szCs w:val="13"/>
                <w:color w:val="FFFFFF"/>
                <w:w w:val="96"/>
              </w:rPr>
              <w:t>$100</w:t>
            </w:r>
          </w:p>
        </w:tc>
        <w:tc>
          <w:tcPr>
            <w:tcW w:w="0" w:type="dxa"/>
            <w:vAlign w:val="bottom"/>
          </w:tcPr>
          <w:p>
            <w:pPr>
              <w:spacing w:after="0" w:line="20" w:lineRule="exact"/>
              <w:rPr>
                <w:sz w:val="1"/>
                <w:szCs w:val="1"/>
                <w:color w:val="auto"/>
              </w:rPr>
            </w:pPr>
          </w:p>
        </w:tc>
      </w:tr>
      <w:tr>
        <w:trPr>
          <w:trHeight w:val="79"/>
        </w:trPr>
        <w:tc>
          <w:tcPr>
            <w:tcW w:w="280" w:type="dxa"/>
            <w:vAlign w:val="bottom"/>
          </w:tcPr>
          <w:p>
            <w:pPr>
              <w:jc w:val="right"/>
              <w:spacing w:after="0" w:line="79" w:lineRule="exact"/>
              <w:rPr>
                <w:sz w:val="20"/>
                <w:szCs w:val="20"/>
                <w:color w:val="auto"/>
              </w:rPr>
            </w:pPr>
            <w:r>
              <w:rPr>
                <w:rFonts w:ascii="Arial" w:cs="Arial" w:eastAsia="Arial" w:hAnsi="Arial"/>
                <w:sz w:val="9"/>
                <w:szCs w:val="9"/>
                <w:color w:val="FFFFFF"/>
              </w:rPr>
              <w:t>200</w:t>
            </w:r>
          </w:p>
        </w:tc>
        <w:tc>
          <w:tcPr>
            <w:tcW w:w="880" w:type="dxa"/>
            <w:vAlign w:val="bottom"/>
          </w:tcPr>
          <w:p>
            <w:pPr>
              <w:ind w:left="20"/>
              <w:spacing w:after="0" w:line="79" w:lineRule="exact"/>
              <w:rPr>
                <w:sz w:val="20"/>
                <w:szCs w:val="20"/>
                <w:color w:val="auto"/>
              </w:rPr>
            </w:pPr>
            <w:r>
              <w:rPr>
                <w:rFonts w:ascii="Arial" w:cs="Arial" w:eastAsia="Arial" w:hAnsi="Arial"/>
                <w:sz w:val="9"/>
                <w:szCs w:val="9"/>
                <w:color w:val="FFFFFF"/>
              </w:rPr>
              <w:t>$200 $180 $160</w:t>
            </w:r>
          </w:p>
        </w:tc>
        <w:tc>
          <w:tcPr>
            <w:tcW w:w="580" w:type="dxa"/>
            <w:vAlign w:val="bottom"/>
            <w:vMerge w:val="continue"/>
          </w:tcPr>
          <w:p>
            <w:pPr>
              <w:spacing w:after="0"/>
              <w:rPr>
                <w:sz w:val="6"/>
                <w:szCs w:val="6"/>
                <w:color w:val="auto"/>
              </w:rPr>
            </w:pPr>
          </w:p>
        </w:tc>
        <w:tc>
          <w:tcPr>
            <w:tcW w:w="4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$135</w:t>
            </w:r>
          </w:p>
        </w:tc>
        <w:tc>
          <w:tcPr>
            <w:tcW w:w="6260" w:type="dxa"/>
            <w:vAlign w:val="bottom"/>
            <w:gridSpan w:val="3"/>
            <w:vMerge w:val="restart"/>
          </w:tcPr>
          <w:p>
            <w:pPr>
              <w:ind w:left="20"/>
              <w:spacing w:after="0" w:line="79" w:lineRule="exact"/>
              <w:rPr>
                <w:sz w:val="20"/>
                <w:szCs w:val="20"/>
                <w:color w:val="auto"/>
              </w:rPr>
            </w:pPr>
            <w:r>
              <w:rPr>
                <w:rFonts w:ascii="Arial" w:cs="Arial" w:eastAsia="Arial" w:hAnsi="Arial"/>
                <w:sz w:val="9"/>
                <w:szCs w:val="9"/>
                <w:color w:val="FFFFFF"/>
              </w:rPr>
              <w:t>Base 2016 2017 2018 Strategic</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2015</w:t>
            </w:r>
          </w:p>
        </w:tc>
        <w:tc>
          <w:tcPr>
            <w:tcW w:w="62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gridSpan w:val="2"/>
          </w:tcPr>
          <w:p>
            <w:pPr>
              <w:spacing w:after="0" w:line="40" w:lineRule="exact"/>
              <w:rPr>
                <w:sz w:val="20"/>
                <w:szCs w:val="20"/>
                <w:color w:val="auto"/>
              </w:rPr>
            </w:pPr>
            <w:r>
              <w:rPr>
                <w:rFonts w:ascii="Arial" w:cs="Arial" w:eastAsia="Arial" w:hAnsi="Arial"/>
                <w:sz w:val="4"/>
                <w:szCs w:val="4"/>
                <w:color w:val="FFFFFF"/>
              </w:rPr>
              <w:t>Target</w:t>
            </w:r>
          </w:p>
        </w:tc>
        <w:tc>
          <w:tcPr>
            <w:tcW w:w="580" w:type="dxa"/>
            <w:vAlign w:val="bottom"/>
          </w:tcPr>
          <w:p>
            <w:pPr>
              <w:spacing w:after="0"/>
              <w:rPr>
                <w:sz w:val="3"/>
                <w:szCs w:val="3"/>
                <w:color w:val="auto"/>
              </w:rPr>
            </w:pPr>
          </w:p>
        </w:tc>
        <w:tc>
          <w:tcPr>
            <w:tcW w:w="4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gridSpan w:val="2"/>
          </w:tcPr>
          <w:p>
            <w:pPr>
              <w:spacing w:after="0" w:line="40" w:lineRule="exact"/>
              <w:rPr>
                <w:sz w:val="20"/>
                <w:szCs w:val="20"/>
                <w:color w:val="auto"/>
              </w:rPr>
            </w:pPr>
            <w:r>
              <w:rPr>
                <w:rFonts w:ascii="Arial" w:cs="Arial" w:eastAsia="Arial" w:hAnsi="Arial"/>
                <w:sz w:val="4"/>
                <w:szCs w:val="4"/>
                <w:color w:val="FFFFFF"/>
              </w:rPr>
              <w:t>www.nninc.com</w:t>
            </w:r>
          </w:p>
        </w:tc>
        <w:tc>
          <w:tcPr>
            <w:tcW w:w="580" w:type="dxa"/>
            <w:vAlign w:val="bottom"/>
          </w:tcPr>
          <w:p>
            <w:pPr>
              <w:spacing w:after="0"/>
              <w:rPr>
                <w:sz w:val="3"/>
                <w:szCs w:val="3"/>
                <w:color w:val="auto"/>
              </w:rPr>
            </w:pPr>
          </w:p>
        </w:tc>
        <w:tc>
          <w:tcPr>
            <w:tcW w:w="4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80" w:type="dxa"/>
            <w:vAlign w:val="bottom"/>
          </w:tcPr>
          <w:p>
            <w:pPr>
              <w:spacing w:after="0"/>
              <w:rPr>
                <w:sz w:val="20"/>
                <w:szCs w:val="20"/>
                <w:color w:val="auto"/>
              </w:rPr>
            </w:pPr>
            <w:r>
              <w:rPr>
                <w:rFonts w:ascii="Arial" w:cs="Arial" w:eastAsia="Arial" w:hAnsi="Arial"/>
                <w:sz w:val="13"/>
                <w:szCs w:val="13"/>
                <w:color w:val="FFFFFF"/>
              </w:rPr>
              <w:t>37</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Aerospace</w:t>
      </w:r>
      <w:r>
        <w:rPr>
          <w:rFonts w:ascii="Arial" w:cs="Arial" w:eastAsia="Arial" w:hAnsi="Arial"/>
          <w:sz w:val="13"/>
          <w:szCs w:val="13"/>
          <w:color w:val="FFFFFF"/>
        </w:rPr>
        <w:t xml:space="preserve"> &amp; Defense End Market</w:t>
      </w:r>
    </w:p>
    <w:p>
      <w:pPr>
        <w:spacing w:after="0" w:line="189" w:lineRule="auto"/>
        <w:tabs>
          <w:tab w:leader="none" w:pos="580" w:val="left"/>
        </w:tabs>
        <w:rPr>
          <w:sz w:val="20"/>
          <w:szCs w:val="20"/>
          <w:color w:val="auto"/>
        </w:rPr>
      </w:pPr>
      <w:r>
        <w:rPr>
          <w:rFonts w:ascii="Arial" w:cs="Arial" w:eastAsia="Arial" w:hAnsi="Arial"/>
          <w:sz w:val="13"/>
          <w:szCs w:val="13"/>
          <w:color w:val="FFFFFF"/>
          <w:vertAlign w:val="subscript"/>
        </w:rPr>
        <w:t>70%</w:t>
      </w:r>
      <w:r>
        <w:rPr>
          <w:rFonts w:ascii="Arial" w:cs="Arial" w:eastAsia="Arial" w:hAnsi="Arial"/>
          <w:sz w:val="8"/>
          <w:szCs w:val="8"/>
          <w:color w:val="FFFFFF"/>
        </w:rPr>
        <w:t>3</w:t>
      </w:r>
      <w:r>
        <w:rPr>
          <w:sz w:val="20"/>
          <w:szCs w:val="20"/>
          <w:color w:val="auto"/>
        </w:rPr>
        <w:tab/>
      </w:r>
      <w:r>
        <w:rPr>
          <w:rFonts w:ascii="Arial" w:cs="Arial" w:eastAsia="Arial" w:hAnsi="Arial"/>
          <w:sz w:val="13"/>
          <w:szCs w:val="13"/>
          <w:color w:val="FFFFFF"/>
          <w:vertAlign w:val="superscript"/>
        </w:rPr>
        <w:t>Overview</w:t>
      </w:r>
    </w:p>
    <w:p>
      <w:pPr>
        <w:spacing w:after="0" w:line="205" w:lineRule="auto"/>
        <w:rPr>
          <w:sz w:val="20"/>
          <w:szCs w:val="20"/>
          <w:color w:val="auto"/>
        </w:rPr>
      </w:pPr>
      <w:r>
        <w:rPr>
          <w:rFonts w:ascii="Arial" w:cs="Arial" w:eastAsia="Arial" w:hAnsi="Arial"/>
          <w:sz w:val="4"/>
          <w:szCs w:val="4"/>
          <w:color w:val="FFFFFF"/>
        </w:rPr>
        <w:t>Commercial</w:t>
      </w:r>
    </w:p>
    <w:p>
      <w:pPr>
        <w:spacing w:after="0" w:line="205" w:lineRule="auto"/>
        <w:rPr>
          <w:sz w:val="20"/>
          <w:szCs w:val="20"/>
          <w:color w:val="auto"/>
        </w:rPr>
      </w:pPr>
      <w:r>
        <w:rPr>
          <w:rFonts w:ascii="Arial" w:cs="Arial" w:eastAsia="Arial" w:hAnsi="Arial"/>
          <w:sz w:val="4"/>
          <w:szCs w:val="4"/>
          <w:color w:val="FFFFFF"/>
        </w:rPr>
        <w:t>Defense</w:t>
      </w:r>
    </w:p>
    <w:p>
      <w:pPr>
        <w:spacing w:after="0" w:line="205" w:lineRule="auto"/>
        <w:rPr>
          <w:sz w:val="20"/>
          <w:szCs w:val="20"/>
          <w:color w:val="auto"/>
        </w:rPr>
      </w:pPr>
      <w:r>
        <w:rPr>
          <w:rFonts w:ascii="Arial" w:cs="Arial" w:eastAsia="Arial" w:hAnsi="Arial"/>
          <w:sz w:val="4"/>
          <w:szCs w:val="4"/>
          <w:color w:val="FFFFFF"/>
        </w:rPr>
        <w:t>Boeing Commercial Aircraft Build Forecast</w:t>
      </w:r>
    </w:p>
    <w:p>
      <w:pPr>
        <w:spacing w:after="0" w:line="205" w:lineRule="auto"/>
        <w:rPr>
          <w:sz w:val="20"/>
          <w:szCs w:val="20"/>
          <w:color w:val="auto"/>
        </w:rPr>
      </w:pPr>
      <w:r>
        <w:rPr>
          <w:rFonts w:ascii="Arial" w:cs="Arial" w:eastAsia="Arial" w:hAnsi="Arial"/>
          <w:sz w:val="4"/>
          <w:szCs w:val="4"/>
          <w:color w:val="FFFFFF"/>
        </w:rPr>
        <w:t>Units 45,000 40,000 35,000 30,000 25,000 20,000 15,000 10,000 5,000 0 2014</w:t>
      </w:r>
    </w:p>
    <w:p>
      <w:pPr>
        <w:spacing w:after="0" w:line="205" w:lineRule="auto"/>
        <w:rPr>
          <w:sz w:val="20"/>
          <w:szCs w:val="20"/>
          <w:color w:val="auto"/>
        </w:rPr>
      </w:pPr>
      <w:r>
        <w:rPr>
          <w:rFonts w:ascii="Arial" w:cs="Arial" w:eastAsia="Arial" w:hAnsi="Arial"/>
          <w:sz w:val="4"/>
          <w:szCs w:val="4"/>
          <w:color w:val="FFFFFF"/>
        </w:rPr>
        <w:t>Growth Replacement Retained 43,560 21,960 58% 38,050 new aircrafts valued $5.6 trillion 16,090 42% 5,510 2034 Market Overview</w:t>
      </w:r>
    </w:p>
    <w:p>
      <w:pPr>
        <w:ind w:right="99"/>
        <w:spacing w:after="0" w:line="223" w:lineRule="auto"/>
        <w:rPr>
          <w:sz w:val="20"/>
          <w:szCs w:val="20"/>
          <w:color w:val="auto"/>
        </w:rPr>
      </w:pPr>
      <w:r>
        <w:rPr>
          <w:rFonts w:ascii="Arial" w:cs="Arial" w:eastAsia="Arial" w:hAnsi="Arial"/>
          <w:sz w:val="11"/>
          <w:szCs w:val="11"/>
          <w:color w:val="FFFFFF"/>
          <w:vertAlign w:val="subscript"/>
        </w:rPr>
        <w:t>Commercial</w:t>
      </w:r>
      <w:r>
        <w:rPr>
          <w:rFonts w:ascii="Arial" w:cs="Arial" w:eastAsia="Arial" w:hAnsi="Arial"/>
          <w:sz w:val="8"/>
          <w:szCs w:val="8"/>
          <w:color w:val="FFFFFF"/>
        </w:rPr>
        <w:t xml:space="preserve"> Aircraft o Driven by increasing air traffic (+6.5% in 2015) o Cheap oil: airline profits up but efficiency is less critical o Order backlog at record levels for majors but timing flexible Defense Domestic spending stable but program-dependent o Foreign military sales helping overall</w:t>
      </w:r>
    </w:p>
    <w:p>
      <w:pPr>
        <w:spacing w:after="0" w:line="206" w:lineRule="auto"/>
        <w:rPr>
          <w:sz w:val="20"/>
          <w:szCs w:val="20"/>
          <w:color w:val="auto"/>
        </w:rPr>
      </w:pPr>
      <w:r>
        <w:rPr>
          <w:rFonts w:ascii="Arial" w:cs="Arial" w:eastAsia="Arial" w:hAnsi="Arial"/>
          <w:sz w:val="4"/>
          <w:szCs w:val="4"/>
          <w:color w:val="FFFFFF"/>
        </w:rPr>
        <w:t>www.nninc.comCFM–LEAPTurbofan Engine</w:t>
      </w:r>
    </w:p>
    <w:p>
      <w:pPr>
        <w:spacing w:after="0"/>
        <w:rPr>
          <w:sz w:val="20"/>
          <w:szCs w:val="20"/>
          <w:color w:val="auto"/>
        </w:rPr>
      </w:pPr>
      <w:r>
        <w:rPr>
          <w:rFonts w:ascii="Arial" w:cs="Arial" w:eastAsia="Arial" w:hAnsi="Arial"/>
          <w:sz w:val="13"/>
          <w:szCs w:val="13"/>
          <w:color w:val="FFFFFF"/>
        </w:rPr>
        <w:t>38</w:t>
      </w:r>
    </w:p>
    <w:p>
      <w:pPr>
        <w:sectPr>
          <w:pgSz w:w="11900" w:h="16838" w:orient="portrait"/>
          <w:cols w:equalWidth="0" w:num="1">
            <w:col w:w="10219"/>
          </w:cols>
          <w:pgMar w:left="2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80" w:type="dxa"/>
            <w:vAlign w:val="bottom"/>
          </w:tcPr>
          <w:p>
            <w:pPr>
              <w:spacing w:after="0"/>
              <w:rPr>
                <w:sz w:val="20"/>
                <w:szCs w:val="20"/>
                <w:color w:val="auto"/>
              </w:rPr>
            </w:pPr>
            <w:r>
              <w:rPr>
                <w:rFonts w:ascii="Arial" w:cs="Arial" w:eastAsia="Arial" w:hAnsi="Arial"/>
                <w:sz w:val="13"/>
                <w:szCs w:val="13"/>
                <w:color w:val="FFFFFF"/>
              </w:rPr>
              <w:t>Aerospace &amp; Defense: How W Grow</w:t>
            </w:r>
          </w:p>
        </w:tc>
        <w:tc>
          <w:tcPr>
            <w:tcW w:w="1440" w:type="dxa"/>
            <w:vAlign w:val="bottom"/>
            <w:vMerge w:val="restart"/>
          </w:tcPr>
          <w:p>
            <w:pPr>
              <w:ind w:left="360"/>
              <w:spacing w:after="0"/>
              <w:rPr>
                <w:sz w:val="20"/>
                <w:szCs w:val="20"/>
                <w:color w:val="auto"/>
              </w:rPr>
            </w:pPr>
            <w:r>
              <w:rPr>
                <w:rFonts w:ascii="Arial" w:cs="Arial" w:eastAsia="Arial" w:hAnsi="Arial"/>
                <w:sz w:val="13"/>
                <w:szCs w:val="13"/>
                <w:color w:val="FFFFFF"/>
              </w:rPr>
              <w:t>certifications o</w:t>
            </w:r>
          </w:p>
        </w:tc>
        <w:tc>
          <w:tcPr>
            <w:tcW w:w="620" w:type="dxa"/>
            <w:vAlign w:val="bottom"/>
            <w:vMerge w:val="restart"/>
          </w:tcPr>
          <w:p>
            <w:pPr>
              <w:ind w:left="280"/>
              <w:spacing w:after="0"/>
              <w:rPr>
                <w:sz w:val="20"/>
                <w:szCs w:val="20"/>
                <w:color w:val="auto"/>
              </w:rPr>
            </w:pPr>
            <w:r>
              <w:rPr>
                <w:rFonts w:ascii="Arial" w:cs="Arial" w:eastAsia="Arial" w:hAnsi="Arial"/>
                <w:sz w:val="13"/>
                <w:szCs w:val="13"/>
                <w:color w:val="FFFFFF"/>
                <w:w w:val="78"/>
              </w:rPr>
              <w:t>access</w:t>
            </w:r>
          </w:p>
        </w:tc>
        <w:tc>
          <w:tcPr>
            <w:tcW w:w="0" w:type="dxa"/>
            <w:vAlign w:val="bottom"/>
          </w:tcPr>
          <w:p>
            <w:pPr>
              <w:spacing w:after="0"/>
              <w:rPr>
                <w:sz w:val="1"/>
                <w:szCs w:val="1"/>
                <w:color w:val="auto"/>
              </w:rPr>
            </w:pPr>
          </w:p>
        </w:tc>
      </w:tr>
      <w:tr>
        <w:trPr>
          <w:trHeight w:val="0"/>
        </w:trPr>
        <w:tc>
          <w:tcPr>
            <w:tcW w:w="2580" w:type="dxa"/>
            <w:vAlign w:val="bottom"/>
          </w:tcPr>
          <w:p>
            <w:pPr>
              <w:spacing w:after="0" w:line="78" w:lineRule="exact"/>
              <w:rPr>
                <w:sz w:val="20"/>
                <w:szCs w:val="20"/>
                <w:color w:val="auto"/>
              </w:rPr>
            </w:pPr>
            <w:r>
              <w:rPr>
                <w:rFonts w:ascii="Arial" w:cs="Arial" w:eastAsia="Arial" w:hAnsi="Arial"/>
                <w:sz w:val="8"/>
                <w:szCs w:val="8"/>
                <w:color w:val="FFFFFF"/>
              </w:rPr>
              <w:t>PEP acquisition provides market presence</w:t>
            </w:r>
          </w:p>
        </w:tc>
        <w:tc>
          <w:tcPr>
            <w:tcW w:w="14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19"/>
        <w:spacing w:after="0" w:line="211" w:lineRule="auto"/>
        <w:rPr>
          <w:sz w:val="20"/>
          <w:szCs w:val="20"/>
          <w:color w:val="auto"/>
        </w:rPr>
      </w:pPr>
      <w:r>
        <w:rPr>
          <w:rFonts w:ascii="Arial" w:cs="Arial" w:eastAsia="Arial" w:hAnsi="Arial"/>
          <w:sz w:val="4"/>
          <w:szCs w:val="4"/>
          <w:color w:val="FFFFFF"/>
        </w:rPr>
        <w:t>NN capabilities fit market needs o High precisionRegulatoryExacting quality standardsCustomerManufacture complex parts &amp; assemblies o Design &amp; technical collaboration resources o Global footprint Industry demand and technical drivers provide opportunities to expand our business</w:t>
      </w:r>
    </w:p>
    <w:p>
      <w:pPr>
        <w:spacing w:after="0" w:line="205"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39</w:t>
      </w:r>
    </w:p>
    <w:p>
      <w:pPr>
        <w:sectPr>
          <w:pgSz w:w="11900" w:h="16838" w:orient="portrait"/>
          <w:cols w:equalWidth="0" w:num="1">
            <w:col w:w="10219"/>
          </w:cols>
          <w:pgMar w:left="2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Automotive</w:t>
      </w:r>
    </w:p>
    <w:p>
      <w:pPr>
        <w:sectPr>
          <w:pgSz w:w="11900" w:h="16838" w:orient="portrait"/>
          <w:cols w:equalWidth="0" w:num="1">
            <w:col w:w="10219"/>
          </w:cols>
          <w:pgMar w:left="2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Autocam Precision Components – Group Introduction</w:t>
      </w:r>
    </w:p>
    <w:p>
      <w:pPr>
        <w:spacing w:after="0" w:line="204" w:lineRule="auto"/>
        <w:rPr>
          <w:sz w:val="20"/>
          <w:szCs w:val="20"/>
          <w:color w:val="auto"/>
        </w:rPr>
      </w:pPr>
      <w:r>
        <w:rPr>
          <w:rFonts w:ascii="Arial" w:cs="Arial" w:eastAsia="Arial" w:hAnsi="Arial"/>
          <w:sz w:val="4"/>
          <w:szCs w:val="4"/>
          <w:color w:val="FFFFFF"/>
        </w:rPr>
        <w:t>AcquiredManufacturesbyNNclosein Augusttolerance2014precision metal components</w:t>
      </w:r>
    </w:p>
    <w:p>
      <w:pPr>
        <w:spacing w:after="0" w:line="205" w:lineRule="auto"/>
        <w:rPr>
          <w:sz w:val="20"/>
          <w:szCs w:val="20"/>
          <w:color w:val="auto"/>
        </w:rPr>
      </w:pPr>
      <w:r>
        <w:rPr>
          <w:rFonts w:ascii="Arial" w:cs="Arial" w:eastAsia="Arial" w:hAnsi="Arial"/>
          <w:sz w:val="4"/>
          <w:szCs w:val="4"/>
          <w:color w:val="FFFFFF"/>
        </w:rPr>
        <w:t>Group Headquarters: Kentwood, MI</w:t>
      </w:r>
    </w:p>
    <w:p>
      <w:pPr>
        <w:spacing w:after="0" w:line="205" w:lineRule="auto"/>
        <w:rPr>
          <w:sz w:val="20"/>
          <w:szCs w:val="20"/>
          <w:color w:val="auto"/>
        </w:rPr>
      </w:pPr>
      <w:r>
        <w:rPr>
          <w:rFonts w:ascii="Arial" w:cs="Arial" w:eastAsia="Arial" w:hAnsi="Arial"/>
          <w:sz w:val="4"/>
          <w:szCs w:val="4"/>
          <w:color w:val="FFFFFF"/>
        </w:rPr>
        <w:t>15 manufacturing operations with locations in: United States France Mexico Poland Brazil China</w:t>
      </w:r>
    </w:p>
    <w:p>
      <w:pPr>
        <w:ind w:right="4619"/>
        <w:spacing w:after="0" w:line="204" w:lineRule="auto"/>
        <w:rPr>
          <w:sz w:val="20"/>
          <w:szCs w:val="20"/>
          <w:color w:val="auto"/>
        </w:rPr>
      </w:pPr>
      <w:r>
        <w:rPr>
          <w:rFonts w:ascii="Arial" w:cs="Arial" w:eastAsia="Arial" w:hAnsi="Arial"/>
          <w:sz w:val="8"/>
          <w:szCs w:val="8"/>
          <w:color w:val="FFFFFF"/>
        </w:rPr>
        <w:t>Targets transportation and industrial segments whose advancing technologies provide growth opportunities Specializes in single-digit micron tolerances</w:t>
      </w:r>
    </w:p>
    <w:p>
      <w:pPr>
        <w:spacing w:after="0" w:line="183" w:lineRule="auto"/>
        <w:rPr>
          <w:sz w:val="20"/>
          <w:szCs w:val="20"/>
          <w:color w:val="auto"/>
        </w:rPr>
      </w:pPr>
      <w:r>
        <w:rPr>
          <w:rFonts w:ascii="Arial" w:cs="Arial" w:eastAsia="Arial" w:hAnsi="Arial"/>
          <w:sz w:val="9"/>
          <w:szCs w:val="9"/>
          <w:color w:val="FFFFFF"/>
        </w:rPr>
        <w:t>More than 2 million parts produced daily</w:t>
      </w:r>
    </w:p>
    <w:p>
      <w:pPr>
        <w:spacing w:after="0" w:line="182" w:lineRule="auto"/>
        <w:rPr>
          <w:sz w:val="20"/>
          <w:szCs w:val="20"/>
          <w:color w:val="auto"/>
        </w:rPr>
      </w:pPr>
      <w:r>
        <w:rPr>
          <w:rFonts w:ascii="Arial" w:cs="Arial" w:eastAsia="Arial" w:hAnsi="Arial"/>
          <w:sz w:val="9"/>
          <w:szCs w:val="9"/>
          <w:color w:val="FFFFFF"/>
        </w:rPr>
        <w:t>WarrenAutocamVeltmanPrecision Components Group</w:t>
      </w:r>
    </w:p>
    <w:p>
      <w:pPr>
        <w:spacing w:after="0" w:line="205" w:lineRule="auto"/>
        <w:rPr>
          <w:sz w:val="20"/>
          <w:szCs w:val="20"/>
          <w:color w:val="auto"/>
        </w:rPr>
      </w:pPr>
      <w:r>
        <w:rPr>
          <w:rFonts w:ascii="Arial" w:cs="Arial" w:eastAsia="Arial" w:hAnsi="Arial"/>
          <w:sz w:val="4"/>
          <w:szCs w:val="4"/>
          <w:color w:val="FFFFFF"/>
        </w:rPr>
        <w:t>www.nninc.comSeniorVicePresident/GM Autocam Precision Components Group</w:t>
      </w:r>
    </w:p>
    <w:p>
      <w:pPr>
        <w:spacing w:after="0"/>
        <w:rPr>
          <w:sz w:val="20"/>
          <w:szCs w:val="20"/>
          <w:color w:val="auto"/>
        </w:rPr>
      </w:pPr>
      <w:r>
        <w:rPr>
          <w:rFonts w:ascii="Arial" w:cs="Arial" w:eastAsia="Arial" w:hAnsi="Arial"/>
          <w:sz w:val="13"/>
          <w:szCs w:val="13"/>
          <w:color w:val="FFFFFF"/>
        </w:rPr>
        <w:t>41</w:t>
      </w:r>
    </w:p>
    <w:p>
      <w:pPr>
        <w:sectPr>
          <w:pgSz w:w="11900" w:h="16838" w:orient="portrait"/>
          <w:cols w:equalWidth="0" w:num="1">
            <w:col w:w="10219"/>
          </w:cols>
          <w:pgMar w:left="2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EndAutomotiveMarket (End$650B)Market</w:t>
      </w:r>
    </w:p>
    <w:p>
      <w:pPr>
        <w:spacing w:after="0" w:line="182" w:lineRule="auto"/>
        <w:rPr>
          <w:sz w:val="20"/>
          <w:szCs w:val="20"/>
          <w:color w:val="auto"/>
        </w:rPr>
      </w:pPr>
      <w:r>
        <w:rPr>
          <w:rFonts w:ascii="Arial" w:cs="Arial" w:eastAsia="Arial" w:hAnsi="Arial"/>
          <w:sz w:val="7"/>
          <w:szCs w:val="7"/>
          <w:color w:val="FFFFFF"/>
        </w:rPr>
        <w:t>44%</w:t>
      </w:r>
      <w:r>
        <w:rPr>
          <w:rFonts w:ascii="Arial" w:cs="Arial" w:eastAsia="Arial" w:hAnsi="Arial"/>
          <w:sz w:val="9"/>
          <w:szCs w:val="9"/>
          <w:color w:val="FFFFFF"/>
          <w:vertAlign w:val="superscript"/>
        </w:rPr>
        <w:t>27%</w:t>
      </w:r>
      <w:r>
        <w:rPr>
          <w:rFonts w:ascii="Arial" w:cs="Arial" w:eastAsia="Arial" w:hAnsi="Arial"/>
          <w:sz w:val="7"/>
          <w:szCs w:val="7"/>
          <w:color w:val="FFFFFF"/>
        </w:rPr>
        <w:t xml:space="preserve"> 9% 20%</w:t>
      </w:r>
    </w:p>
    <w:p>
      <w:pPr>
        <w:spacing w:after="0" w:line="182" w:lineRule="auto"/>
        <w:rPr>
          <w:sz w:val="20"/>
          <w:szCs w:val="20"/>
          <w:color w:val="auto"/>
        </w:rPr>
      </w:pPr>
      <w:r>
        <w:rPr>
          <w:rFonts w:ascii="Arial" w:cs="Arial" w:eastAsia="Arial" w:hAnsi="Arial"/>
          <w:sz w:val="7"/>
          <w:szCs w:val="7"/>
          <w:color w:val="FFFFFF"/>
        </w:rPr>
        <w:t>Engine</w:t>
      </w:r>
      <w:r>
        <w:rPr>
          <w:rFonts w:ascii="Arial" w:cs="Arial" w:eastAsia="Arial" w:hAnsi="Arial"/>
          <w:sz w:val="9"/>
          <w:szCs w:val="9"/>
          <w:color w:val="FFFFFF"/>
          <w:vertAlign w:val="subscript"/>
        </w:rPr>
        <w:t>ADOPTION</w:t>
      </w:r>
      <w:r>
        <w:rPr>
          <w:rFonts w:ascii="Arial" w:cs="Arial" w:eastAsia="Arial" w:hAnsi="Arial"/>
          <w:sz w:val="7"/>
          <w:szCs w:val="7"/>
          <w:color w:val="FFFFFF"/>
        </w:rPr>
        <w:t>ransmission Chassis Systems Bearings</w:t>
      </w:r>
    </w:p>
    <w:p>
      <w:pPr>
        <w:spacing w:after="0" w:line="205" w:lineRule="auto"/>
        <w:rPr>
          <w:sz w:val="20"/>
          <w:szCs w:val="20"/>
          <w:color w:val="auto"/>
        </w:rPr>
      </w:pPr>
      <w:r>
        <w:rPr>
          <w:rFonts w:ascii="Arial" w:cs="Arial" w:eastAsia="Arial" w:hAnsi="Arial"/>
          <w:sz w:val="4"/>
          <w:szCs w:val="4"/>
          <w:color w:val="FFFFFF"/>
        </w:rPr>
        <w:t>G  I Multi-SpeedRATETrans E Steering VVT/VCT</w:t>
      </w:r>
    </w:p>
    <w:p>
      <w:pPr>
        <w:spacing w:after="0" w:line="182" w:lineRule="auto"/>
        <w:rPr>
          <w:sz w:val="20"/>
          <w:szCs w:val="20"/>
          <w:color w:val="auto"/>
        </w:rPr>
      </w:pPr>
      <w:r>
        <w:rPr>
          <w:rFonts w:ascii="Arial" w:cs="Arial" w:eastAsia="Arial" w:hAnsi="Arial"/>
          <w:sz w:val="7"/>
          <w:szCs w:val="7"/>
          <w:color w:val="FFFFFF"/>
        </w:rPr>
        <w:t>100.0% 90.0% 80.0% 70.0% 60.0% 50.0% 40.</w:t>
      </w:r>
      <w:r>
        <w:rPr>
          <w:rFonts w:ascii="Arial" w:cs="Arial" w:eastAsia="Arial" w:hAnsi="Arial"/>
          <w:sz w:val="9"/>
          <w:szCs w:val="9"/>
          <w:color w:val="FFFFFF"/>
          <w:vertAlign w:val="superscript"/>
        </w:rPr>
        <w:t>0%</w:t>
      </w:r>
      <w:r>
        <w:rPr>
          <w:rFonts w:ascii="Arial" w:cs="Arial" w:eastAsia="Arial" w:hAnsi="Arial"/>
          <w:sz w:val="7"/>
          <w:szCs w:val="7"/>
          <w:color w:val="FFFFFF"/>
        </w:rPr>
        <w:t xml:space="preserve"> 30.0% 20.0% 10.0% 0.0%</w:t>
      </w:r>
    </w:p>
    <w:p>
      <w:pPr>
        <w:spacing w:after="0" w:line="182" w:lineRule="auto"/>
        <w:rPr>
          <w:sz w:val="20"/>
          <w:szCs w:val="20"/>
          <w:color w:val="auto"/>
        </w:rPr>
      </w:pPr>
      <w:r>
        <w:rPr>
          <w:rFonts w:ascii="Arial" w:cs="Arial" w:eastAsia="Arial" w:hAnsi="Arial"/>
          <w:sz w:val="9"/>
          <w:szCs w:val="9"/>
          <w:color w:val="FFFFFF"/>
        </w:rPr>
        <w:t>CAGR35.0% 30.0% 25.0% 20.0% 15.0% 10.0% 5.0%  .0%</w:t>
      </w:r>
    </w:p>
    <w:p>
      <w:pPr>
        <w:spacing w:after="0" w:line="206" w:lineRule="auto"/>
        <w:rPr>
          <w:sz w:val="20"/>
          <w:szCs w:val="20"/>
          <w:color w:val="auto"/>
        </w:rPr>
      </w:pPr>
      <w:r>
        <w:rPr>
          <w:rFonts w:ascii="Arial" w:cs="Arial" w:eastAsia="Arial" w:hAnsi="Arial"/>
          <w:sz w:val="4"/>
          <w:szCs w:val="4"/>
          <w:color w:val="FFFFFF"/>
        </w:rPr>
        <w:t>End2015Market20162017Overview2018 ‘15-‘18 CAGR</w:t>
      </w:r>
    </w:p>
    <w:p>
      <w:pPr>
        <w:spacing w:after="0" w:line="182" w:lineRule="auto"/>
        <w:rPr>
          <w:sz w:val="20"/>
          <w:szCs w:val="20"/>
          <w:color w:val="auto"/>
        </w:rPr>
      </w:pPr>
      <w:r>
        <w:rPr>
          <w:rFonts w:ascii="Arial" w:cs="Arial" w:eastAsia="Arial" w:hAnsi="Arial"/>
          <w:sz w:val="9"/>
          <w:szCs w:val="9"/>
          <w:color w:val="FFFFFF"/>
        </w:rPr>
        <w:t>Light Vehicles expected to grow at an average of 2.5% through 2018</w:t>
      </w:r>
    </w:p>
    <w:p>
      <w:pPr>
        <w:spacing w:after="0" w:line="206" w:lineRule="auto"/>
        <w:rPr>
          <w:sz w:val="20"/>
          <w:szCs w:val="20"/>
          <w:color w:val="auto"/>
        </w:rPr>
      </w:pPr>
      <w:r>
        <w:rPr>
          <w:rFonts w:ascii="Arial" w:cs="Arial" w:eastAsia="Arial" w:hAnsi="Arial"/>
          <w:sz w:val="4"/>
          <w:szCs w:val="4"/>
          <w:color w:val="FFFFFF"/>
        </w:rPr>
        <w:t>BearingFuelsavingcomponentstechnologieswill isgrowlargestattheproductautomotiveandgrowthmarketwillgrowthoutpacerateindustry</w:t>
      </w:r>
    </w:p>
    <w:p>
      <w:pPr>
        <w:spacing w:after="0" w:line="182" w:lineRule="auto"/>
        <w:rPr>
          <w:sz w:val="20"/>
          <w:szCs w:val="20"/>
          <w:color w:val="auto"/>
        </w:rPr>
      </w:pPr>
      <w:r>
        <w:rPr>
          <w:rFonts w:ascii="Arial" w:cs="Arial" w:eastAsia="Arial" w:hAnsi="Arial"/>
          <w:sz w:val="9"/>
          <w:szCs w:val="9"/>
          <w:color w:val="FFFFFF"/>
        </w:rPr>
        <w:t>Electric motor and sensor components expected to outpace overall automotive market</w:t>
      </w:r>
    </w:p>
    <w:p>
      <w:pPr>
        <w:spacing w:after="0" w:line="205" w:lineRule="auto"/>
        <w:rPr>
          <w:sz w:val="20"/>
          <w:szCs w:val="20"/>
          <w:color w:val="auto"/>
        </w:rPr>
      </w:pPr>
      <w:r>
        <w:rPr>
          <w:rFonts w:ascii="Arial" w:cs="Arial" w:eastAsia="Arial" w:hAnsi="Arial"/>
          <w:sz w:val="4"/>
          <w:szCs w:val="4"/>
          <w:color w:val="FFFFFF"/>
        </w:rPr>
        <w:t>www.nninc.comNNhassignificant OEM platform diversification through Tier 1 customers</w:t>
      </w:r>
    </w:p>
    <w:p>
      <w:pPr>
        <w:spacing w:after="0"/>
        <w:rPr>
          <w:sz w:val="20"/>
          <w:szCs w:val="20"/>
          <w:color w:val="auto"/>
        </w:rPr>
      </w:pPr>
      <w:r>
        <w:rPr>
          <w:rFonts w:ascii="Arial" w:cs="Arial" w:eastAsia="Arial" w:hAnsi="Arial"/>
          <w:sz w:val="13"/>
          <w:szCs w:val="13"/>
          <w:color w:val="FFFFFF"/>
        </w:rPr>
        <w:t>42</w:t>
      </w:r>
    </w:p>
    <w:p>
      <w:pPr>
        <w:sectPr>
          <w:pgSz w:w="11900" w:h="16838" w:orient="portrait"/>
          <w:cols w:equalWidth="0" w:num="1">
            <w:col w:w="10219"/>
          </w:cols>
          <w:pgMar w:left="2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Addressable</w:t>
      </w:r>
      <w:r>
        <w:rPr>
          <w:rFonts w:ascii="Arial" w:cs="Arial" w:eastAsia="Arial" w:hAnsi="Arial"/>
          <w:sz w:val="13"/>
          <w:szCs w:val="13"/>
          <w:color w:val="FFFFFF"/>
        </w:rPr>
        <w:t>utomotive End Market</w:t>
      </w:r>
    </w:p>
    <w:p>
      <w:pPr>
        <w:spacing w:after="0" w:line="189" w:lineRule="auto"/>
        <w:rPr>
          <w:sz w:val="20"/>
          <w:szCs w:val="20"/>
          <w:color w:val="auto"/>
        </w:rPr>
      </w:pPr>
      <w:r>
        <w:rPr>
          <w:rFonts w:ascii="Arial" w:cs="Arial" w:eastAsia="Arial" w:hAnsi="Arial"/>
          <w:sz w:val="13"/>
          <w:szCs w:val="13"/>
          <w:color w:val="FFFFFF"/>
          <w:vertAlign w:val="subscript"/>
        </w:rPr>
        <w:t>36%</w:t>
      </w:r>
      <w:r>
        <w:rPr>
          <w:rFonts w:ascii="Arial" w:cs="Arial" w:eastAsia="Arial" w:hAnsi="Arial"/>
          <w:sz w:val="8"/>
          <w:szCs w:val="8"/>
          <w:color w:val="FFFFFF"/>
        </w:rPr>
        <w:t>23%</w:t>
      </w:r>
      <w:r>
        <w:rPr>
          <w:rFonts w:ascii="Arial" w:cs="Arial" w:eastAsia="Arial" w:hAnsi="Arial"/>
          <w:sz w:val="13"/>
          <w:szCs w:val="13"/>
          <w:color w:val="FFFFFF"/>
          <w:vertAlign w:val="subscript"/>
        </w:rPr>
        <w:t>18%9% 5%</w:t>
      </w:r>
      <w:r>
        <w:rPr>
          <w:rFonts w:ascii="Arial" w:cs="Arial" w:eastAsia="Arial" w:hAnsi="Arial"/>
          <w:sz w:val="8"/>
          <w:szCs w:val="8"/>
          <w:color w:val="FFFFFF"/>
        </w:rPr>
        <w:t xml:space="preserve"> </w:t>
      </w:r>
      <w:r>
        <w:rPr>
          <w:rFonts w:ascii="Arial" w:cs="Arial" w:eastAsia="Arial" w:hAnsi="Arial"/>
          <w:sz w:val="13"/>
          <w:szCs w:val="13"/>
          <w:color w:val="FFFFFF"/>
          <w:vertAlign w:val="superscript"/>
        </w:rPr>
        <w:t>Market ($5.6B)</w:t>
      </w:r>
    </w:p>
    <w:p>
      <w:pPr>
        <w:spacing w:after="0" w:line="205" w:lineRule="auto"/>
        <w:rPr>
          <w:sz w:val="20"/>
          <w:szCs w:val="20"/>
          <w:color w:val="auto"/>
        </w:rPr>
      </w:pPr>
      <w:r>
        <w:rPr>
          <w:rFonts w:ascii="Arial" w:cs="Arial" w:eastAsia="Arial" w:hAnsi="Arial"/>
          <w:sz w:val="4"/>
          <w:szCs w:val="4"/>
          <w:color w:val="FFFFFF"/>
        </w:rPr>
        <w:t>9%</w:t>
      </w:r>
    </w:p>
    <w:p>
      <w:pPr>
        <w:spacing w:after="0" w:line="205" w:lineRule="auto"/>
        <w:rPr>
          <w:sz w:val="20"/>
          <w:szCs w:val="20"/>
          <w:color w:val="auto"/>
        </w:rPr>
      </w:pPr>
      <w:r>
        <w:rPr>
          <w:rFonts w:ascii="Arial" w:cs="Arial" w:eastAsia="Arial" w:hAnsi="Arial"/>
          <w:sz w:val="4"/>
          <w:szCs w:val="4"/>
          <w:color w:val="FFFFFF"/>
        </w:rPr>
        <w:t>Fuel Systems</w:t>
      </w:r>
    </w:p>
    <w:p>
      <w:pPr>
        <w:spacing w:after="0" w:line="205" w:lineRule="auto"/>
        <w:rPr>
          <w:sz w:val="20"/>
          <w:szCs w:val="20"/>
          <w:color w:val="auto"/>
        </w:rPr>
      </w:pPr>
      <w:r>
        <w:rPr>
          <w:rFonts w:ascii="Arial" w:cs="Arial" w:eastAsia="Arial" w:hAnsi="Arial"/>
          <w:sz w:val="4"/>
          <w:szCs w:val="4"/>
          <w:color w:val="FFFFFF"/>
        </w:rPr>
        <w:t>Advanced Powertrain Steering Electric Motors</w:t>
      </w:r>
    </w:p>
    <w:p>
      <w:pPr>
        <w:spacing w:after="0" w:line="205" w:lineRule="auto"/>
        <w:rPr>
          <w:sz w:val="20"/>
          <w:szCs w:val="20"/>
          <w:color w:val="auto"/>
        </w:rPr>
      </w:pPr>
      <w:r>
        <w:rPr>
          <w:rFonts w:ascii="Arial" w:cs="Arial" w:eastAsia="Arial" w:hAnsi="Arial"/>
          <w:sz w:val="4"/>
          <w:szCs w:val="4"/>
          <w:color w:val="FFFFFF"/>
          <w:vertAlign w:val="superscript"/>
        </w:rPr>
        <w:t>Sensor</w:t>
      </w:r>
    </w:p>
    <w:p>
      <w:pPr>
        <w:spacing w:after="0" w:line="205" w:lineRule="auto"/>
        <w:rPr>
          <w:sz w:val="20"/>
          <w:szCs w:val="20"/>
          <w:color w:val="auto"/>
        </w:rPr>
      </w:pPr>
      <w:r>
        <w:rPr>
          <w:rFonts w:ascii="Arial" w:cs="Arial" w:eastAsia="Arial" w:hAnsi="Arial"/>
          <w:sz w:val="4"/>
          <w:szCs w:val="4"/>
          <w:color w:val="FFFFFF"/>
        </w:rPr>
        <w:t>NN’ AutomotiveComponentsBusiness*(non-electrical)($510M)Bearings</w:t>
      </w:r>
    </w:p>
    <w:p>
      <w:pPr>
        <w:spacing w:after="0" w:line="189" w:lineRule="auto"/>
        <w:rPr>
          <w:sz w:val="20"/>
          <w:szCs w:val="20"/>
          <w:color w:val="auto"/>
        </w:rPr>
      </w:pPr>
      <w:r>
        <w:rPr>
          <w:rFonts w:ascii="Arial" w:cs="Arial" w:eastAsia="Arial" w:hAnsi="Arial"/>
          <w:sz w:val="13"/>
          <w:szCs w:val="13"/>
          <w:color w:val="FFFFFF"/>
        </w:rPr>
        <w:t>29% 31%</w:t>
      </w:r>
    </w:p>
    <w:p>
      <w:pPr>
        <w:spacing w:after="0" w:line="206" w:lineRule="auto"/>
        <w:rPr>
          <w:sz w:val="20"/>
          <w:szCs w:val="20"/>
          <w:color w:val="auto"/>
        </w:rPr>
      </w:pPr>
      <w:r>
        <w:rPr>
          <w:rFonts w:ascii="Arial" w:cs="Arial" w:eastAsia="Arial" w:hAnsi="Arial"/>
          <w:sz w:val="4"/>
          <w:szCs w:val="4"/>
          <w:color w:val="FFFFFF"/>
        </w:rPr>
        <w:t>Fuel4%5%13%Systems6%12%</w:t>
      </w:r>
    </w:p>
    <w:p>
      <w:pPr>
        <w:spacing w:after="0" w:line="205" w:lineRule="auto"/>
        <w:rPr>
          <w:sz w:val="20"/>
          <w:szCs w:val="20"/>
          <w:color w:val="auto"/>
        </w:rPr>
      </w:pPr>
      <w:r>
        <w:rPr>
          <w:rFonts w:ascii="Arial" w:cs="Arial" w:eastAsia="Arial" w:hAnsi="Arial"/>
          <w:sz w:val="4"/>
          <w:szCs w:val="4"/>
          <w:color w:val="FFFFFF"/>
        </w:rPr>
        <w:t>Advanced Powertrain Steering Electric Motors</w:t>
      </w:r>
    </w:p>
    <w:p>
      <w:pPr>
        <w:spacing w:after="0" w:line="205" w:lineRule="auto"/>
        <w:rPr>
          <w:sz w:val="20"/>
          <w:szCs w:val="20"/>
          <w:color w:val="auto"/>
        </w:rPr>
      </w:pPr>
      <w:r>
        <w:rPr>
          <w:rFonts w:ascii="Arial" w:cs="Arial" w:eastAsia="Arial" w:hAnsi="Arial"/>
          <w:sz w:val="4"/>
          <w:szCs w:val="4"/>
          <w:color w:val="FFFFFF"/>
        </w:rPr>
        <w:t>Sensor Components (non-electrical) Other</w:t>
      </w:r>
    </w:p>
    <w:p>
      <w:pPr>
        <w:spacing w:after="0" w:line="205" w:lineRule="auto"/>
        <w:rPr>
          <w:sz w:val="20"/>
          <w:szCs w:val="20"/>
          <w:color w:val="auto"/>
        </w:rPr>
      </w:pPr>
      <w:r>
        <w:rPr>
          <w:rFonts w:ascii="Arial" w:cs="Arial" w:eastAsia="Arial" w:hAnsi="Arial"/>
          <w:sz w:val="4"/>
          <w:szCs w:val="4"/>
          <w:color w:val="FFFFFF"/>
        </w:rPr>
        <w:t>Bearings</w:t>
      </w:r>
    </w:p>
    <w:p>
      <w:pPr>
        <w:spacing w:after="0" w:line="182" w:lineRule="auto"/>
        <w:rPr>
          <w:sz w:val="20"/>
          <w:szCs w:val="20"/>
          <w:color w:val="auto"/>
        </w:rPr>
      </w:pPr>
      <w:r>
        <w:rPr>
          <w:rFonts w:ascii="Arial" w:cs="Arial" w:eastAsia="Arial" w:hAnsi="Arial"/>
          <w:sz w:val="9"/>
          <w:szCs w:val="9"/>
          <w:color w:val="FFFFFF"/>
        </w:rPr>
        <w:t>Safety Power Steering Electric Accessory Motors Climate Control Fuel Systems Electrical Switch Sensor Components Advanced Powertrain Braking Systems Wheel Hub Units Constant Velocity Joints www.nninc.com</w:t>
      </w:r>
    </w:p>
    <w:p>
      <w:pPr>
        <w:spacing w:after="0" w:line="205" w:lineRule="auto"/>
        <w:rPr>
          <w:sz w:val="20"/>
          <w:szCs w:val="20"/>
          <w:color w:val="auto"/>
        </w:rPr>
      </w:pPr>
      <w:r>
        <w:rPr>
          <w:rFonts w:ascii="Arial" w:cs="Arial" w:eastAsia="Arial" w:hAnsi="Arial"/>
          <w:sz w:val="4"/>
          <w:szCs w:val="4"/>
          <w:color w:val="FFFFFF"/>
        </w:rPr>
        <w:t>43</w:t>
      </w:r>
    </w:p>
    <w:p>
      <w:pPr>
        <w:spacing w:after="0"/>
        <w:rPr>
          <w:sz w:val="20"/>
          <w:szCs w:val="20"/>
          <w:color w:val="auto"/>
        </w:rPr>
      </w:pPr>
      <w:r>
        <w:rPr>
          <w:rFonts w:ascii="Arial" w:cs="Arial" w:eastAsia="Arial" w:hAnsi="Arial"/>
          <w:sz w:val="13"/>
          <w:szCs w:val="13"/>
          <w:color w:val="FFFFFF"/>
        </w:rPr>
        <w:t>*Based on mid-point of 2016 guidance</w:t>
      </w:r>
    </w:p>
    <w:p>
      <w:pPr>
        <w:sectPr>
          <w:pgSz w:w="11900" w:h="16838" w:orient="portrait"/>
          <w:cols w:equalWidth="0" w:num="1">
            <w:col w:w="10580"/>
          </w:cols>
          <w:pgMar w:left="240" w:top="1440" w:right="10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80" w:type="dxa"/>
            <w:vAlign w:val="bottom"/>
            <w:gridSpan w:val="4"/>
          </w:tcPr>
          <w:p>
            <w:pPr>
              <w:spacing w:after="0"/>
              <w:rPr>
                <w:sz w:val="20"/>
                <w:szCs w:val="20"/>
                <w:color w:val="auto"/>
              </w:rPr>
            </w:pPr>
            <w:r>
              <w:rPr>
                <w:rFonts w:ascii="Arial" w:cs="Arial" w:eastAsia="Arial" w:hAnsi="Arial"/>
                <w:sz w:val="13"/>
                <w:szCs w:val="13"/>
                <w:color w:val="FFFFFF"/>
              </w:rPr>
              <w:t>Automotive End Market: How We Grow</w:t>
            </w:r>
          </w:p>
        </w:tc>
        <w:tc>
          <w:tcPr>
            <w:tcW w:w="0" w:type="dxa"/>
            <w:vAlign w:val="bottom"/>
          </w:tcPr>
          <w:p>
            <w:pPr>
              <w:spacing w:after="0"/>
              <w:rPr>
                <w:sz w:val="1"/>
                <w:szCs w:val="1"/>
                <w:color w:val="auto"/>
              </w:rPr>
            </w:pPr>
          </w:p>
        </w:tc>
      </w:tr>
      <w:tr>
        <w:trPr>
          <w:trHeight w:val="39"/>
        </w:trPr>
        <w:tc>
          <w:tcPr>
            <w:tcW w:w="280" w:type="dxa"/>
            <w:vAlign w:val="bottom"/>
          </w:tcPr>
          <w:p>
            <w:pPr>
              <w:spacing w:after="0"/>
              <w:rPr>
                <w:sz w:val="3"/>
                <w:szCs w:val="3"/>
                <w:color w:val="auto"/>
              </w:rPr>
            </w:pPr>
          </w:p>
        </w:tc>
        <w:tc>
          <w:tcPr>
            <w:tcW w:w="1180" w:type="dxa"/>
            <w:vAlign w:val="bottom"/>
          </w:tcPr>
          <w:p>
            <w:pPr>
              <w:ind w:left="140"/>
              <w:spacing w:after="0" w:line="40" w:lineRule="exact"/>
              <w:rPr>
                <w:sz w:val="20"/>
                <w:szCs w:val="20"/>
                <w:color w:val="auto"/>
              </w:rPr>
            </w:pPr>
            <w:r>
              <w:rPr>
                <w:rFonts w:ascii="Arial" w:cs="Arial" w:eastAsia="Arial" w:hAnsi="Arial"/>
                <w:sz w:val="4"/>
                <w:szCs w:val="4"/>
                <w:color w:val="FFFFFF"/>
              </w:rPr>
              <w:t>growth rate: 2.5%</w:t>
            </w:r>
          </w:p>
        </w:tc>
        <w:tc>
          <w:tcPr>
            <w:tcW w:w="580" w:type="dxa"/>
            <w:vAlign w:val="bottom"/>
          </w:tcPr>
          <w:p>
            <w:pPr>
              <w:spacing w:after="0"/>
              <w:rPr>
                <w:sz w:val="3"/>
                <w:szCs w:val="3"/>
                <w:color w:val="auto"/>
              </w:rPr>
            </w:pPr>
          </w:p>
        </w:tc>
        <w:tc>
          <w:tcPr>
            <w:tcW w:w="4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780" w:type="dxa"/>
            <w:vAlign w:val="bottom"/>
            <w:gridSpan w:val="4"/>
          </w:tcPr>
          <w:p>
            <w:pPr>
              <w:spacing w:after="0" w:line="40" w:lineRule="exact"/>
              <w:rPr>
                <w:sz w:val="20"/>
                <w:szCs w:val="20"/>
                <w:color w:val="auto"/>
              </w:rPr>
            </w:pPr>
            <w:r>
              <w:rPr>
                <w:rFonts w:ascii="Arial" w:cs="Arial" w:eastAsia="Arial" w:hAnsi="Arial"/>
                <w:sz w:val="4"/>
                <w:szCs w:val="4"/>
                <w:color w:val="FFFFFF"/>
              </w:rPr>
              <w:t>MarketTgetmarkets that deliver growth stronger than the industry  Rifle vs. shotgun approach o Adoption of fuel saving technologies</w:t>
            </w:r>
          </w:p>
        </w:tc>
        <w:tc>
          <w:tcPr>
            <w:tcW w:w="0" w:type="dxa"/>
            <w:vAlign w:val="bottom"/>
          </w:tcPr>
          <w:p>
            <w:pPr>
              <w:spacing w:after="0" w:line="20" w:lineRule="exact"/>
              <w:rPr>
                <w:sz w:val="1"/>
                <w:szCs w:val="1"/>
                <w:color w:val="auto"/>
              </w:rPr>
            </w:pPr>
          </w:p>
        </w:tc>
      </w:tr>
      <w:tr>
        <w:trPr>
          <w:trHeight w:val="39"/>
        </w:trPr>
        <w:tc>
          <w:tcPr>
            <w:tcW w:w="6780" w:type="dxa"/>
            <w:vAlign w:val="bottom"/>
            <w:gridSpan w:val="4"/>
          </w:tcPr>
          <w:p>
            <w:pPr>
              <w:spacing w:after="0" w:line="40" w:lineRule="exact"/>
              <w:rPr>
                <w:sz w:val="20"/>
                <w:szCs w:val="20"/>
                <w:color w:val="auto"/>
              </w:rPr>
            </w:pPr>
            <w:r>
              <w:rPr>
                <w:rFonts w:ascii="Arial" w:cs="Arial" w:eastAsia="Arial" w:hAnsi="Arial"/>
                <w:sz w:val="4"/>
                <w:szCs w:val="4"/>
                <w:color w:val="FFFFFF"/>
              </w:rPr>
              <w:t>Pursue customers that value our:  Engineered solu ions o Global platform</w:t>
            </w:r>
          </w:p>
        </w:tc>
        <w:tc>
          <w:tcPr>
            <w:tcW w:w="0" w:type="dxa"/>
            <w:vAlign w:val="bottom"/>
          </w:tcPr>
          <w:p>
            <w:pPr>
              <w:spacing w:after="0" w:line="20" w:lineRule="exact"/>
              <w:rPr>
                <w:sz w:val="1"/>
                <w:szCs w:val="1"/>
                <w:color w:val="auto"/>
              </w:rPr>
            </w:pPr>
          </w:p>
        </w:tc>
      </w:tr>
      <w:tr>
        <w:trPr>
          <w:trHeight w:val="39"/>
        </w:trPr>
        <w:tc>
          <w:tcPr>
            <w:tcW w:w="1460" w:type="dxa"/>
            <w:vAlign w:val="bottom"/>
            <w:gridSpan w:val="2"/>
          </w:tcPr>
          <w:p>
            <w:pPr>
              <w:spacing w:after="0" w:line="40" w:lineRule="exact"/>
              <w:rPr>
                <w:sz w:val="20"/>
                <w:szCs w:val="20"/>
                <w:color w:val="auto"/>
              </w:rPr>
            </w:pPr>
            <w:r>
              <w:rPr>
                <w:rFonts w:ascii="Arial" w:cs="Arial" w:eastAsia="Arial" w:hAnsi="Arial"/>
                <w:sz w:val="4"/>
                <w:szCs w:val="4"/>
                <w:color w:val="FFFFFF"/>
              </w:rPr>
              <w:t>Localization (Mexico,</w:t>
            </w:r>
          </w:p>
        </w:tc>
        <w:tc>
          <w:tcPr>
            <w:tcW w:w="580" w:type="dxa"/>
            <w:vAlign w:val="bottom"/>
          </w:tcPr>
          <w:p>
            <w:pPr>
              <w:jc w:val="right"/>
              <w:spacing w:after="0" w:line="40" w:lineRule="exact"/>
              <w:rPr>
                <w:sz w:val="20"/>
                <w:szCs w:val="20"/>
                <w:color w:val="auto"/>
              </w:rPr>
            </w:pPr>
            <w:r>
              <w:rPr>
                <w:rFonts w:ascii="Arial" w:cs="Arial" w:eastAsia="Arial" w:hAnsi="Arial"/>
                <w:sz w:val="4"/>
                <w:szCs w:val="4"/>
                <w:color w:val="FFFFFF"/>
              </w:rPr>
              <w:t>Bosnia,</w:t>
            </w:r>
          </w:p>
        </w:tc>
        <w:tc>
          <w:tcPr>
            <w:tcW w:w="4740" w:type="dxa"/>
            <w:vAlign w:val="bottom"/>
          </w:tcPr>
          <w:p>
            <w:pPr>
              <w:ind w:left="20"/>
              <w:spacing w:after="0" w:line="40" w:lineRule="exact"/>
              <w:rPr>
                <w:sz w:val="20"/>
                <w:szCs w:val="20"/>
                <w:color w:val="auto"/>
              </w:rPr>
            </w:pPr>
            <w:r>
              <w:rPr>
                <w:rFonts w:ascii="Arial" w:cs="Arial" w:eastAsia="Arial" w:hAnsi="Arial"/>
                <w:sz w:val="4"/>
                <w:szCs w:val="4"/>
                <w:color w:val="FFFFFF"/>
              </w:rPr>
              <w:t>Slovakia) – take advantage of low labor cost facilities</w:t>
            </w:r>
          </w:p>
        </w:tc>
        <w:tc>
          <w:tcPr>
            <w:tcW w:w="0" w:type="dxa"/>
            <w:vAlign w:val="bottom"/>
          </w:tcPr>
          <w:p>
            <w:pPr>
              <w:spacing w:after="0" w:line="20" w:lineRule="exact"/>
              <w:rPr>
                <w:sz w:val="1"/>
                <w:szCs w:val="1"/>
                <w:color w:val="auto"/>
              </w:rPr>
            </w:pPr>
          </w:p>
        </w:tc>
      </w:tr>
      <w:tr>
        <w:trPr>
          <w:trHeight w:val="39"/>
        </w:trPr>
        <w:tc>
          <w:tcPr>
            <w:tcW w:w="6780" w:type="dxa"/>
            <w:vAlign w:val="bottom"/>
            <w:gridSpan w:val="4"/>
          </w:tcPr>
          <w:p>
            <w:pPr>
              <w:spacing w:after="0" w:line="40" w:lineRule="exact"/>
              <w:rPr>
                <w:sz w:val="20"/>
                <w:szCs w:val="20"/>
                <w:color w:val="auto"/>
              </w:rPr>
            </w:pPr>
            <w:r>
              <w:rPr>
                <w:rFonts w:ascii="Arial" w:cs="Arial" w:eastAsia="Arial" w:hAnsi="Arial"/>
                <w:sz w:val="4"/>
                <w:szCs w:val="4"/>
                <w:color w:val="FFFFFF"/>
              </w:rPr>
              <w:t>South American MarketPoland,OEMs are still investing o NN has competitive advantage (capital, management)</w:t>
            </w:r>
          </w:p>
        </w:tc>
        <w:tc>
          <w:tcPr>
            <w:tcW w:w="0" w:type="dxa"/>
            <w:vAlign w:val="bottom"/>
          </w:tcPr>
          <w:p>
            <w:pPr>
              <w:spacing w:after="0" w:line="20" w:lineRule="exact"/>
              <w:rPr>
                <w:sz w:val="1"/>
                <w:szCs w:val="1"/>
                <w:color w:val="auto"/>
              </w:rPr>
            </w:pPr>
          </w:p>
        </w:tc>
      </w:tr>
      <w:tr>
        <w:trPr>
          <w:trHeight w:val="39"/>
        </w:trPr>
        <w:tc>
          <w:tcPr>
            <w:tcW w:w="280" w:type="dxa"/>
            <w:vAlign w:val="bottom"/>
          </w:tcPr>
          <w:p>
            <w:pPr>
              <w:spacing w:after="0"/>
              <w:rPr>
                <w:sz w:val="3"/>
                <w:szCs w:val="3"/>
                <w:color w:val="auto"/>
              </w:rPr>
            </w:pPr>
          </w:p>
        </w:tc>
        <w:tc>
          <w:tcPr>
            <w:tcW w:w="1180" w:type="dxa"/>
            <w:vAlign w:val="bottom"/>
          </w:tcPr>
          <w:p>
            <w:pPr>
              <w:ind w:left="20"/>
              <w:spacing w:after="0" w:line="40" w:lineRule="exact"/>
              <w:rPr>
                <w:sz w:val="20"/>
                <w:szCs w:val="20"/>
                <w:color w:val="auto"/>
              </w:rPr>
            </w:pPr>
            <w:r>
              <w:rPr>
                <w:rFonts w:ascii="Arial" w:cs="Arial" w:eastAsia="Arial" w:hAnsi="Arial"/>
                <w:sz w:val="4"/>
                <w:szCs w:val="4"/>
                <w:color w:val="FFFFFF"/>
              </w:rPr>
              <w:t>-selling</w:t>
            </w:r>
          </w:p>
        </w:tc>
        <w:tc>
          <w:tcPr>
            <w:tcW w:w="580" w:type="dxa"/>
            <w:vAlign w:val="bottom"/>
          </w:tcPr>
          <w:p>
            <w:pPr>
              <w:spacing w:after="0"/>
              <w:rPr>
                <w:sz w:val="3"/>
                <w:szCs w:val="3"/>
                <w:color w:val="auto"/>
              </w:rPr>
            </w:pPr>
          </w:p>
        </w:tc>
        <w:tc>
          <w:tcPr>
            <w:tcW w:w="4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780" w:type="dxa"/>
            <w:vAlign w:val="bottom"/>
            <w:gridSpan w:val="4"/>
          </w:tcPr>
          <w:p>
            <w:pPr>
              <w:spacing w:after="0" w:line="40" w:lineRule="exact"/>
              <w:rPr>
                <w:sz w:val="20"/>
                <w:szCs w:val="20"/>
                <w:color w:val="auto"/>
              </w:rPr>
            </w:pPr>
            <w:r>
              <w:rPr>
                <w:rFonts w:ascii="Arial" w:cs="Arial" w:eastAsia="Arial" w:hAnsi="Arial"/>
                <w:sz w:val="4"/>
                <w:szCs w:val="4"/>
                <w:color w:val="FFFFFF"/>
              </w:rPr>
              <w:t>CrossNN’ estimated market growth rate: 2.5%</w:t>
            </w:r>
          </w:p>
        </w:tc>
        <w:tc>
          <w:tcPr>
            <w:tcW w:w="0" w:type="dxa"/>
            <w:vAlign w:val="bottom"/>
          </w:tcPr>
          <w:p>
            <w:pPr>
              <w:spacing w:after="0" w:line="20" w:lineRule="exact"/>
              <w:rPr>
                <w:sz w:val="1"/>
                <w:szCs w:val="1"/>
                <w:color w:val="auto"/>
              </w:rPr>
            </w:pPr>
          </w:p>
        </w:tc>
      </w:tr>
      <w:tr>
        <w:trPr>
          <w:trHeight w:val="39"/>
        </w:trPr>
        <w:tc>
          <w:tcPr>
            <w:tcW w:w="1460" w:type="dxa"/>
            <w:vAlign w:val="bottom"/>
            <w:gridSpan w:val="2"/>
          </w:tcPr>
          <w:p>
            <w:pPr>
              <w:spacing w:after="0" w:line="40" w:lineRule="exact"/>
              <w:rPr>
                <w:sz w:val="20"/>
                <w:szCs w:val="20"/>
                <w:color w:val="auto"/>
              </w:rPr>
            </w:pPr>
            <w:r>
              <w:rPr>
                <w:rFonts w:ascii="Arial" w:cs="Arial" w:eastAsia="Arial" w:hAnsi="Arial"/>
                <w:sz w:val="4"/>
                <w:szCs w:val="4"/>
                <w:color w:val="FFFFFF"/>
              </w:rPr>
              <w:t>In Millions</w:t>
            </w:r>
          </w:p>
        </w:tc>
        <w:tc>
          <w:tcPr>
            <w:tcW w:w="58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$450 $425</w:t>
            </w:r>
          </w:p>
        </w:tc>
        <w:tc>
          <w:tcPr>
            <w:tcW w:w="474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$400 $375 $350</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75</w:t>
            </w:r>
          </w:p>
        </w:tc>
        <w:tc>
          <w:tcPr>
            <w:tcW w:w="1180" w:type="dxa"/>
            <w:vAlign w:val="bottom"/>
          </w:tcPr>
          <w:p>
            <w:pPr>
              <w:ind w:left="20"/>
              <w:spacing w:after="0" w:line="40" w:lineRule="exact"/>
              <w:rPr>
                <w:sz w:val="20"/>
                <w:szCs w:val="20"/>
                <w:color w:val="auto"/>
              </w:rPr>
            </w:pPr>
            <w:r>
              <w:rPr>
                <w:rFonts w:ascii="Arial" w:cs="Arial" w:eastAsia="Arial" w:hAnsi="Arial"/>
                <w:sz w:val="4"/>
                <w:szCs w:val="4"/>
                <w:color w:val="FFFFFF"/>
              </w:rPr>
              <w:t>$550 $525 $500 $475</w:t>
            </w:r>
          </w:p>
        </w:tc>
        <w:tc>
          <w:tcPr>
            <w:tcW w:w="580" w:type="dxa"/>
            <w:vAlign w:val="bottom"/>
            <w:vMerge w:val="continue"/>
          </w:tcPr>
          <w:p>
            <w:pPr>
              <w:spacing w:after="0"/>
              <w:rPr>
                <w:sz w:val="3"/>
                <w:szCs w:val="3"/>
                <w:color w:val="auto"/>
              </w:rPr>
            </w:pPr>
          </w:p>
        </w:tc>
        <w:tc>
          <w:tcPr>
            <w:tcW w:w="4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549</w:t>
            </w: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$463</w:t>
            </w:r>
          </w:p>
        </w:tc>
        <w:tc>
          <w:tcPr>
            <w:tcW w:w="1760" w:type="dxa"/>
            <w:vAlign w:val="bottom"/>
            <w:gridSpan w:val="2"/>
            <w:vMerge w:val="restart"/>
          </w:tcPr>
          <w:p>
            <w:pPr>
              <w:ind w:left="20"/>
              <w:spacing w:after="0" w:line="79" w:lineRule="exact"/>
              <w:rPr>
                <w:sz w:val="20"/>
                <w:szCs w:val="20"/>
                <w:color w:val="auto"/>
              </w:rPr>
            </w:pPr>
            <w:r>
              <w:rPr>
                <w:rFonts w:ascii="Arial" w:cs="Arial" w:eastAsia="Arial" w:hAnsi="Arial"/>
                <w:sz w:val="9"/>
                <w:szCs w:val="9"/>
                <w:color w:val="FFFFFF"/>
              </w:rPr>
              <w:t>Base 2016 2017 2018 Strategic</w:t>
            </w:r>
          </w:p>
        </w:tc>
        <w:tc>
          <w:tcPr>
            <w:tcW w:w="4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Arial" w:cs="Arial" w:eastAsia="Arial" w:hAnsi="Arial"/>
                <w:sz w:val="4"/>
                <w:szCs w:val="4"/>
                <w:color w:val="FFFFFF"/>
              </w:rPr>
              <w:t>2015</w:t>
            </w:r>
          </w:p>
        </w:tc>
        <w:tc>
          <w:tcPr>
            <w:tcW w:w="1760" w:type="dxa"/>
            <w:vAlign w:val="bottom"/>
            <w:gridSpan w:val="2"/>
            <w:vMerge w:val="continue"/>
          </w:tcPr>
          <w:p>
            <w:pPr>
              <w:spacing w:after="0"/>
              <w:rPr>
                <w:sz w:val="3"/>
                <w:szCs w:val="3"/>
                <w:color w:val="auto"/>
              </w:rPr>
            </w:pPr>
          </w:p>
        </w:tc>
        <w:tc>
          <w:tcPr>
            <w:tcW w:w="4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460" w:type="dxa"/>
            <w:vAlign w:val="bottom"/>
            <w:gridSpan w:val="2"/>
          </w:tcPr>
          <w:p>
            <w:pPr>
              <w:spacing w:after="0"/>
              <w:rPr>
                <w:sz w:val="20"/>
                <w:szCs w:val="20"/>
                <w:color w:val="auto"/>
              </w:rPr>
            </w:pPr>
            <w:r>
              <w:rPr>
                <w:rFonts w:ascii="Arial" w:cs="Arial" w:eastAsia="Arial" w:hAnsi="Arial"/>
                <w:sz w:val="13"/>
                <w:szCs w:val="13"/>
                <w:color w:val="FFFFFF"/>
              </w:rPr>
              <w:t>Target</w:t>
            </w:r>
          </w:p>
        </w:tc>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www.nninc.com</w:t>
      </w:r>
    </w:p>
    <w:p>
      <w:pPr>
        <w:spacing w:after="0"/>
        <w:rPr>
          <w:sz w:val="20"/>
          <w:szCs w:val="20"/>
          <w:color w:val="auto"/>
        </w:rPr>
      </w:pPr>
      <w:r>
        <w:rPr>
          <w:rFonts w:ascii="Arial" w:cs="Arial" w:eastAsia="Arial" w:hAnsi="Arial"/>
          <w:sz w:val="13"/>
          <w:szCs w:val="13"/>
          <w:color w:val="FFFFFF"/>
        </w:rPr>
        <w:t>44</w:t>
      </w:r>
    </w:p>
    <w:p>
      <w:pPr>
        <w:sectPr>
          <w:pgSz w:w="11900" w:h="16838" w:orient="portrait"/>
          <w:cols w:equalWidth="0" w:num="1">
            <w:col w:w="10219"/>
          </w:cols>
          <w:pgMar w:left="24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CAFE – Requirements</w:t>
      </w:r>
    </w:p>
    <w:p>
      <w:pPr>
        <w:spacing w:after="0" w:line="204" w:lineRule="auto"/>
        <w:rPr>
          <w:sz w:val="20"/>
          <w:szCs w:val="20"/>
          <w:color w:val="auto"/>
        </w:rPr>
      </w:pPr>
      <w:r>
        <w:rPr>
          <w:rFonts w:ascii="Arial" w:cs="Arial" w:eastAsia="Arial" w:hAnsi="Arial"/>
          <w:sz w:val="4"/>
          <w:szCs w:val="4"/>
          <w:color w:val="FFFFFF"/>
        </w:rPr>
        <w:t>Global fuel efficiency standards are increasing at unprecedented rates</w:t>
      </w:r>
    </w:p>
    <w:p>
      <w:pPr>
        <w:spacing w:after="0"/>
        <w:rPr>
          <w:sz w:val="20"/>
          <w:szCs w:val="20"/>
          <w:color w:val="auto"/>
        </w:rPr>
      </w:pPr>
      <w:r>
        <w:rPr>
          <w:rFonts w:ascii="Arial" w:cs="Arial" w:eastAsia="Arial" w:hAnsi="Arial"/>
          <w:sz w:val="8"/>
          <w:szCs w:val="8"/>
          <w:color w:val="FFFFFF"/>
        </w:rPr>
        <w:t>OEMs have large gap to close to meet aggressive fuel economy targets o U.S. fuel efficiency requirements increase from 37 MPG in 2016 to 55 MPG in 2025 ~48% higher o EU fuel efficiency requirements increase ~36% by 2025 o China and Japan will both require that fuel efficiency reach 50 MPG or above by 2020</w:t>
      </w:r>
    </w:p>
    <w:p>
      <w:pPr>
        <w:spacing w:after="0" w:line="181" w:lineRule="auto"/>
        <w:rPr>
          <w:sz w:val="20"/>
          <w:szCs w:val="20"/>
          <w:color w:val="auto"/>
        </w:rPr>
      </w:pPr>
      <w:r>
        <w:rPr>
          <w:rFonts w:ascii="Arial" w:cs="Arial" w:eastAsia="Arial" w:hAnsi="Arial"/>
          <w:sz w:val="12"/>
          <w:szCs w:val="12"/>
          <w:color w:val="FFFFFF"/>
          <w:vertAlign w:val="subscript"/>
        </w:rPr>
        <w:t>Miles</w:t>
      </w:r>
      <w:r>
        <w:rPr>
          <w:rFonts w:ascii="Arial" w:cs="Arial" w:eastAsia="Arial" w:hAnsi="Arial"/>
          <w:sz w:val="8"/>
          <w:szCs w:val="8"/>
          <w:color w:val="FFFFFF"/>
        </w:rPr>
        <w:t>OEMsajor increasesareontrackin fueltooreconomyhavealreadyareneededpassedtothereach2015/20162021andCAFE2025andemissionsEUrequirementstargets</w:t>
      </w:r>
    </w:p>
    <w:p>
      <w:pPr>
        <w:spacing w:after="0" w:line="206" w:lineRule="auto"/>
        <w:rPr>
          <w:sz w:val="20"/>
          <w:szCs w:val="20"/>
          <w:color w:val="auto"/>
        </w:rPr>
      </w:pPr>
      <w:r>
        <w:rPr>
          <w:rFonts w:ascii="Arial" w:cs="Arial" w:eastAsia="Arial" w:hAnsi="Arial"/>
          <w:sz w:val="4"/>
          <w:szCs w:val="4"/>
          <w:color w:val="FFFFFF"/>
        </w:rPr>
        <w:t>www.nninc.comperGallon 70 65 60 55 50 45 40 35 30 25 64.8 mpg 54.5 mpg 50.1 mpg 2010 2015 2020 2025</w:t>
      </w:r>
    </w:p>
    <w:p>
      <w:pPr>
        <w:spacing w:after="0"/>
        <w:rPr>
          <w:sz w:val="20"/>
          <w:szCs w:val="20"/>
          <w:color w:val="auto"/>
        </w:rPr>
      </w:pPr>
      <w:r>
        <w:rPr>
          <w:rFonts w:ascii="Arial" w:cs="Arial" w:eastAsia="Arial" w:hAnsi="Arial"/>
          <w:sz w:val="13"/>
          <w:szCs w:val="13"/>
          <w:color w:val="FFFFFF"/>
        </w:rPr>
        <w:t>45</w:t>
      </w:r>
    </w:p>
    <w:p>
      <w:pPr>
        <w:sectPr>
          <w:pgSz w:w="11900" w:h="16838" w:orient="portrait"/>
          <w:cols w:equalWidth="0" w:num="1">
            <w:col w:w="11260"/>
          </w:cols>
          <w:pgMar w:left="240" w:top="1440" w:right="39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CAFE – NN Content Per Vehicle</w:t>
      </w:r>
    </w:p>
    <w:p>
      <w:pPr>
        <w:spacing w:after="0" w:line="204" w:lineRule="auto"/>
        <w:rPr>
          <w:sz w:val="20"/>
          <w:szCs w:val="20"/>
          <w:color w:val="auto"/>
        </w:rPr>
      </w:pPr>
      <w:r>
        <w:rPr>
          <w:rFonts w:ascii="Arial" w:cs="Arial" w:eastAsia="Arial" w:hAnsi="Arial"/>
          <w:sz w:val="4"/>
          <w:szCs w:val="4"/>
          <w:color w:val="FFFFFF"/>
        </w:rPr>
        <w:t>Rapidly increasing standards are driving OEMs to accelerate conversion to new fuel system technologies</w:t>
      </w:r>
    </w:p>
    <w:p>
      <w:pPr>
        <w:spacing w:after="0" w:line="205" w:lineRule="auto"/>
        <w:rPr>
          <w:sz w:val="20"/>
          <w:szCs w:val="20"/>
          <w:color w:val="auto"/>
        </w:rPr>
      </w:pPr>
      <w:r>
        <w:rPr>
          <w:rFonts w:ascii="Arial" w:cs="Arial" w:eastAsia="Arial" w:hAnsi="Arial"/>
          <w:sz w:val="2"/>
          <w:szCs w:val="2"/>
          <w:color w:val="FFFFFF"/>
        </w:rPr>
        <w:t>Shift in fuel injection from Multi-Port Fuel Injection (“MPFI”)</w:t>
      </w:r>
      <w:r>
        <w:rPr>
          <w:rFonts w:ascii="Arial" w:cs="Arial" w:eastAsia="Arial" w:hAnsi="Arial"/>
          <w:sz w:val="4"/>
          <w:szCs w:val="4"/>
          <w:color w:val="FFFFFF"/>
          <w:vertAlign w:val="subscript"/>
        </w:rPr>
        <w:t>injectors</w:t>
      </w:r>
      <w:r>
        <w:rPr>
          <w:rFonts w:ascii="Arial" w:cs="Arial" w:eastAsia="Arial" w:hAnsi="Arial"/>
          <w:sz w:val="2"/>
          <w:szCs w:val="2"/>
          <w:color w:val="FFFFFF"/>
        </w:rPr>
        <w:t>Gasoline Direct Injection (“GDI”) for improved fuel efficiency o MPFI improved consistency of fuel delivery by giving each cylinder its own injector</w:t>
      </w:r>
    </w:p>
    <w:p>
      <w:pPr>
        <w:ind w:right="1440"/>
        <w:spacing w:after="0" w:line="182" w:lineRule="auto"/>
        <w:rPr>
          <w:sz w:val="20"/>
          <w:szCs w:val="20"/>
          <w:color w:val="auto"/>
        </w:rPr>
      </w:pPr>
      <w:r>
        <w:rPr>
          <w:rFonts w:ascii="Arial" w:cs="Arial" w:eastAsia="Arial" w:hAnsi="Arial"/>
          <w:sz w:val="7"/>
          <w:szCs w:val="7"/>
          <w:color w:val="FFFFFF"/>
        </w:rPr>
        <w:t xml:space="preserve">o GDI improves efficiency over MPFI by moving the fuel into the combustion chamber; More precise control of fuel delivery (by position and pressure) means less fuel is required </w:t>
      </w:r>
      <w:r>
        <w:rPr>
          <w:rFonts w:ascii="Arial" w:cs="Arial" w:eastAsia="Arial" w:hAnsi="Arial"/>
          <w:sz w:val="9"/>
          <w:szCs w:val="9"/>
          <w:color w:val="FFFFFF"/>
          <w:vertAlign w:val="superscript"/>
        </w:rPr>
        <w:t>GDI</w:t>
      </w:r>
      <w:r>
        <w:rPr>
          <w:rFonts w:ascii="Arial" w:cs="Arial" w:eastAsia="Arial" w:hAnsi="Arial"/>
          <w:sz w:val="7"/>
          <w:szCs w:val="7"/>
          <w:color w:val="FFFFFF"/>
        </w:rPr>
        <w:t xml:space="preserve"> operates at 2,200psi vs. 40-60psi in MPFI, requiring more components with more stringent tolerance requirements</w:t>
      </w:r>
    </w:p>
    <w:p>
      <w:pPr>
        <w:ind w:left="280"/>
        <w:spacing w:after="0" w:line="205" w:lineRule="auto"/>
        <w:rPr>
          <w:sz w:val="20"/>
          <w:szCs w:val="20"/>
          <w:color w:val="auto"/>
        </w:rPr>
      </w:pPr>
      <w:r>
        <w:rPr>
          <w:rFonts w:ascii="Arial" w:cs="Arial" w:eastAsia="Arial" w:hAnsi="Arial"/>
          <w:sz w:val="4"/>
          <w:szCs w:val="4"/>
          <w:color w:val="FFFFFF"/>
        </w:rPr>
        <w:t>program life around 15+ years</w:t>
      </w:r>
    </w:p>
    <w:p>
      <w:pPr>
        <w:spacing w:after="0" w:line="182" w:lineRule="auto"/>
        <w:rPr>
          <w:sz w:val="20"/>
          <w:szCs w:val="20"/>
          <w:color w:val="auto"/>
        </w:rPr>
      </w:pPr>
      <w:r>
        <w:rPr>
          <w:rFonts w:ascii="Arial" w:cs="Arial" w:eastAsia="Arial" w:hAnsi="Arial"/>
          <w:sz w:val="9"/>
          <w:szCs w:val="9"/>
          <w:color w:val="FFFFFF"/>
        </w:rPr>
        <w:t>MPFI V6 GDI V6</w:t>
      </w:r>
    </w:p>
    <w:p>
      <w:pPr>
        <w:spacing w:after="0" w:line="205" w:lineRule="auto"/>
        <w:rPr>
          <w:sz w:val="20"/>
          <w:szCs w:val="20"/>
          <w:color w:val="auto"/>
        </w:rPr>
      </w:pPr>
      <w:r>
        <w:rPr>
          <w:rFonts w:ascii="Arial" w:cs="Arial" w:eastAsia="Arial" w:hAnsi="Arial"/>
          <w:sz w:val="4"/>
          <w:szCs w:val="4"/>
          <w:color w:val="FFFFFF"/>
          <w:vertAlign w:val="superscript"/>
        </w:rPr>
        <w:t>$</w:t>
      </w:r>
      <w:r>
        <w:rPr>
          <w:rFonts w:ascii="Arial" w:cs="Arial" w:eastAsia="Arial" w:hAnsi="Arial"/>
          <w:sz w:val="2"/>
          <w:szCs w:val="2"/>
          <w:color w:val="FFFFFF"/>
        </w:rPr>
        <w:t>Precision</w:t>
      </w:r>
      <w:r>
        <w:rPr>
          <w:rFonts w:ascii="Arial" w:cs="Arial" w:eastAsia="Arial" w:hAnsi="Arial"/>
          <w:sz w:val="4"/>
          <w:szCs w:val="4"/>
          <w:color w:val="FFFFFF"/>
          <w:vertAlign w:val="superscript"/>
        </w:rPr>
        <w:t>6</w:t>
      </w:r>
      <w:r>
        <w:rPr>
          <w:rFonts w:ascii="Arial" w:cs="Arial" w:eastAsia="Arial" w:hAnsi="Arial"/>
          <w:sz w:val="2"/>
          <w:szCs w:val="2"/>
          <w:color w:val="FFFFFF"/>
        </w:rPr>
        <w:t>InjectorsTurned Part content:</w:t>
      </w:r>
    </w:p>
    <w:p>
      <w:pPr>
        <w:ind w:left="160"/>
        <w:spacing w:after="0" w:line="205" w:lineRule="auto"/>
        <w:rPr>
          <w:sz w:val="20"/>
          <w:szCs w:val="20"/>
          <w:color w:val="auto"/>
        </w:rPr>
      </w:pPr>
      <w:r>
        <w:rPr>
          <w:rFonts w:ascii="Arial" w:cs="Arial" w:eastAsia="Arial" w:hAnsi="Arial"/>
          <w:sz w:val="4"/>
          <w:szCs w:val="4"/>
          <w:color w:val="FFFFFF"/>
        </w:rPr>
        <w:t>per vehicle</w:t>
      </w:r>
    </w:p>
    <w:p>
      <w:pPr>
        <w:spacing w:after="0" w:line="205" w:lineRule="auto"/>
        <w:rPr>
          <w:sz w:val="20"/>
          <w:szCs w:val="20"/>
          <w:color w:val="auto"/>
        </w:rPr>
      </w:pPr>
      <w:r>
        <w:rPr>
          <w:rFonts w:ascii="Arial" w:cs="Arial" w:eastAsia="Arial" w:hAnsi="Arial"/>
          <w:sz w:val="4"/>
          <w:szCs w:val="4"/>
          <w:color w:val="FFFFFF"/>
        </w:rPr>
        <w:t>Precision Turned Part content:</w:t>
      </w:r>
    </w:p>
    <w:p>
      <w:pPr>
        <w:spacing w:after="0" w:line="205" w:lineRule="auto"/>
        <w:rPr>
          <w:sz w:val="20"/>
          <w:szCs w:val="20"/>
          <w:color w:val="auto"/>
        </w:rPr>
      </w:pPr>
      <w:r>
        <w:rPr>
          <w:rFonts w:ascii="Arial" w:cs="Arial" w:eastAsia="Arial" w:hAnsi="Arial"/>
          <w:sz w:val="4"/>
          <w:szCs w:val="4"/>
          <w:color w:val="FFFFFF"/>
        </w:rPr>
        <w:t>6 Injectors</w:t>
      </w:r>
    </w:p>
    <w:p>
      <w:pPr>
        <w:spacing w:after="0" w:line="205" w:lineRule="auto"/>
        <w:rPr>
          <w:sz w:val="20"/>
          <w:szCs w:val="20"/>
          <w:color w:val="auto"/>
        </w:rPr>
      </w:pPr>
      <w:r>
        <w:rPr>
          <w:rFonts w:ascii="Arial" w:cs="Arial" w:eastAsia="Arial" w:hAnsi="Arial"/>
          <w:sz w:val="4"/>
          <w:szCs w:val="4"/>
          <w:color w:val="FFFFFF"/>
          <w:vertAlign w:val="superscript"/>
        </w:rPr>
        <w:t>1</w:t>
      </w:r>
      <w:r>
        <w:rPr>
          <w:rFonts w:ascii="Arial" w:cs="Arial" w:eastAsia="Arial" w:hAnsi="Arial"/>
          <w:sz w:val="2"/>
          <w:szCs w:val="2"/>
          <w:color w:val="FFFFFF"/>
        </w:rPr>
        <w:t xml:space="preserve"> High pressure fittings</w:t>
      </w:r>
      <w:r>
        <w:rPr>
          <w:rFonts w:ascii="Arial" w:cs="Arial" w:eastAsia="Arial" w:hAnsi="Arial"/>
          <w:sz w:val="4"/>
          <w:szCs w:val="4"/>
          <w:color w:val="FFFFFF"/>
          <w:vertAlign w:val="superscript"/>
        </w:rPr>
        <w:t>uelpump</w:t>
      </w:r>
    </w:p>
    <w:p>
      <w:pPr>
        <w:spacing w:after="0" w:line="205" w:lineRule="auto"/>
        <w:rPr>
          <w:sz w:val="20"/>
          <w:szCs w:val="20"/>
          <w:color w:val="auto"/>
        </w:rPr>
      </w:pPr>
      <w:r>
        <w:rPr>
          <w:rFonts w:ascii="Arial" w:cs="Arial" w:eastAsia="Arial" w:hAnsi="Arial"/>
          <w:sz w:val="4"/>
          <w:szCs w:val="4"/>
          <w:color w:val="FFFFFF"/>
        </w:rPr>
        <w:t>2</w:t>
      </w:r>
    </w:p>
    <w:p>
      <w:pPr>
        <w:spacing w:after="0" w:line="182" w:lineRule="auto"/>
        <w:rPr>
          <w:sz w:val="20"/>
          <w:szCs w:val="20"/>
          <w:color w:val="auto"/>
        </w:rPr>
      </w:pPr>
      <w:r>
        <w:rPr>
          <w:rFonts w:ascii="Arial" w:cs="Arial" w:eastAsia="Arial" w:hAnsi="Arial"/>
          <w:sz w:val="9"/>
          <w:szCs w:val="9"/>
          <w:color w:val="FFFFFF"/>
        </w:rPr>
        <w:t>$60 per vehicle</w:t>
      </w:r>
    </w:p>
    <w:p>
      <w:pPr>
        <w:spacing w:after="0"/>
        <w:rPr>
          <w:sz w:val="20"/>
          <w:szCs w:val="20"/>
          <w:color w:val="auto"/>
        </w:rPr>
      </w:pPr>
      <w:r>
        <w:rPr>
          <w:rFonts w:ascii="Arial" w:cs="Arial" w:eastAsia="Arial" w:hAnsi="Arial"/>
          <w:sz w:val="13"/>
          <w:szCs w:val="13"/>
          <w:color w:val="FFFFFF"/>
        </w:rPr>
        <w:t>46www.nninc.com</w:t>
      </w:r>
    </w:p>
    <w:p>
      <w:pPr>
        <w:sectPr>
          <w:pgSz w:w="11900" w:h="16838" w:orient="portrait"/>
          <w:cols w:equalWidth="0" w:num="1">
            <w:col w:w="11340"/>
          </w:cols>
          <w:pgMar w:left="240" w:top="1440" w:right="3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gridSpan w:val="2"/>
          </w:tcPr>
          <w:p>
            <w:pPr>
              <w:spacing w:after="0"/>
              <w:rPr>
                <w:sz w:val="20"/>
                <w:szCs w:val="20"/>
                <w:color w:val="auto"/>
              </w:rPr>
            </w:pPr>
            <w:r>
              <w:rPr>
                <w:rFonts w:ascii="Arial" w:cs="Arial" w:eastAsia="Arial" w:hAnsi="Arial"/>
                <w:sz w:val="13"/>
                <w:szCs w:val="13"/>
                <w:color w:val="FFFFFF"/>
              </w:rPr>
              <w:t>CAFE – NN Content Per Vehicle</w:t>
            </w:r>
          </w:p>
        </w:tc>
        <w:tc>
          <w:tcPr>
            <w:tcW w:w="0" w:type="dxa"/>
            <w:vAlign w:val="bottom"/>
          </w:tcPr>
          <w:p>
            <w:pPr>
              <w:spacing w:after="0"/>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Technology</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Direct Injection</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Multi-Speed Transmissions</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Variable Valve/Cam Timing</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Electric Power Steering</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High Pressure Diesel (Commercial Vehicles)</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Efficiency Increase</w:t>
            </w:r>
          </w:p>
        </w:tc>
        <w:tc>
          <w:tcPr>
            <w:tcW w:w="0" w:type="dxa"/>
            <w:vAlign w:val="bottom"/>
          </w:tcPr>
          <w:p>
            <w:pPr>
              <w:spacing w:after="0" w:line="20" w:lineRule="exact"/>
              <w:rPr>
                <w:sz w:val="1"/>
                <w:szCs w:val="1"/>
                <w:color w:val="auto"/>
              </w:rPr>
            </w:pPr>
          </w:p>
        </w:tc>
      </w:tr>
      <w:tr>
        <w:trPr>
          <w:trHeight w:val="39"/>
        </w:trPr>
        <w:tc>
          <w:tcPr>
            <w:tcW w:w="140" w:type="dxa"/>
            <w:vAlign w:val="bottom"/>
            <w:vMerge w:val="restart"/>
          </w:tcPr>
          <w:p>
            <w:pPr>
              <w:spacing w:after="0" w:line="79" w:lineRule="exact"/>
              <w:rPr>
                <w:sz w:val="20"/>
                <w:szCs w:val="20"/>
                <w:color w:val="auto"/>
              </w:rPr>
            </w:pPr>
            <w:r>
              <w:rPr>
                <w:rFonts w:ascii="Arial" w:cs="Arial" w:eastAsia="Arial" w:hAnsi="Arial"/>
                <w:sz w:val="9"/>
                <w:szCs w:val="9"/>
                <w:color w:val="FFFFFF"/>
              </w:rPr>
              <w:t>15</w:t>
            </w:r>
          </w:p>
        </w:tc>
        <w:tc>
          <w:tcPr>
            <w:tcW w:w="2220" w:type="dxa"/>
            <w:vAlign w:val="bottom"/>
          </w:tcPr>
          <w:p>
            <w:pPr>
              <w:spacing w:after="0" w:line="40" w:lineRule="exact"/>
              <w:rPr>
                <w:sz w:val="20"/>
                <w:szCs w:val="20"/>
                <w:color w:val="auto"/>
              </w:rPr>
            </w:pPr>
            <w:r>
              <w:rPr>
                <w:rFonts w:ascii="Arial" w:cs="Arial" w:eastAsia="Arial" w:hAnsi="Arial"/>
                <w:sz w:val="4"/>
                <w:szCs w:val="4"/>
                <w:color w:val="FFFFFF"/>
              </w:rPr>
              <w:t>—20%</w:t>
            </w:r>
          </w:p>
        </w:tc>
        <w:tc>
          <w:tcPr>
            <w:tcW w:w="0" w:type="dxa"/>
            <w:vAlign w:val="bottom"/>
          </w:tcPr>
          <w:p>
            <w:pPr>
              <w:spacing w:after="0" w:line="20" w:lineRule="exact"/>
              <w:rPr>
                <w:sz w:val="1"/>
                <w:szCs w:val="1"/>
                <w:color w:val="auto"/>
              </w:rPr>
            </w:pPr>
          </w:p>
        </w:tc>
      </w:tr>
      <w:tr>
        <w:trPr>
          <w:trHeight w:val="39"/>
        </w:trPr>
        <w:tc>
          <w:tcPr>
            <w:tcW w:w="140" w:type="dxa"/>
            <w:vAlign w:val="bottom"/>
            <w:vMerge w:val="continue"/>
          </w:tcPr>
          <w:p>
            <w:pPr>
              <w:spacing w:after="0"/>
              <w:rPr>
                <w:sz w:val="3"/>
                <w:szCs w:val="3"/>
                <w:color w:val="auto"/>
              </w:rPr>
            </w:pPr>
          </w:p>
        </w:tc>
        <w:tc>
          <w:tcPr>
            <w:tcW w:w="2220" w:type="dxa"/>
            <w:vAlign w:val="bottom"/>
          </w:tcPr>
          <w:p>
            <w:pPr>
              <w:ind w:left="60"/>
              <w:spacing w:after="0" w:line="40" w:lineRule="exact"/>
              <w:rPr>
                <w:sz w:val="20"/>
                <w:szCs w:val="20"/>
                <w:color w:val="auto"/>
              </w:rPr>
            </w:pPr>
            <w:r>
              <w:rPr>
                <w:rFonts w:ascii="Arial" w:cs="Arial" w:eastAsia="Arial" w:hAnsi="Arial"/>
                <w:sz w:val="4"/>
                <w:szCs w:val="4"/>
                <w:color w:val="FFFFFF"/>
              </w:rPr>
              <w:t>10%</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2220" w:type="dxa"/>
            <w:vAlign w:val="bottom"/>
          </w:tcPr>
          <w:p>
            <w:pPr>
              <w:ind w:left="60"/>
              <w:spacing w:after="0" w:line="40" w:lineRule="exact"/>
              <w:rPr>
                <w:sz w:val="20"/>
                <w:szCs w:val="20"/>
                <w:color w:val="auto"/>
              </w:rPr>
            </w:pPr>
            <w:r>
              <w:rPr>
                <w:rFonts w:ascii="Arial" w:cs="Arial" w:eastAsia="Arial" w:hAnsi="Arial"/>
                <w:sz w:val="4"/>
                <w:szCs w:val="4"/>
                <w:color w:val="FFFFFF"/>
              </w:rPr>
              <w:t>6%</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3—5% 20-30%</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Key Customers</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2220" w:type="dxa"/>
            <w:vAlign w:val="bottom"/>
          </w:tcPr>
          <w:p>
            <w:pPr>
              <w:ind w:left="260"/>
              <w:spacing w:after="0" w:line="40" w:lineRule="exact"/>
              <w:rPr>
                <w:sz w:val="20"/>
                <w:szCs w:val="20"/>
                <w:color w:val="auto"/>
              </w:rPr>
            </w:pPr>
            <w:r>
              <w:rPr>
                <w:rFonts w:ascii="Arial" w:cs="Arial" w:eastAsia="Arial" w:hAnsi="Arial"/>
                <w:sz w:val="4"/>
                <w:szCs w:val="4"/>
                <w:color w:val="FFFFFF"/>
              </w:rPr>
              <w:t>Denso, Continental</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Bosch,ZFBosch, Fiat</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Denso, BorgWarner, Mahle</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ZF-TRW Bosch, Nexteer</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jc w:val="center"/>
              <w:ind w:right="821"/>
              <w:spacing w:after="0" w:line="40" w:lineRule="exact"/>
              <w:rPr>
                <w:sz w:val="20"/>
                <w:szCs w:val="20"/>
                <w:color w:val="auto"/>
              </w:rPr>
            </w:pPr>
            <w:r>
              <w:rPr>
                <w:rFonts w:ascii="Arial" w:cs="Arial" w:eastAsia="Arial" w:hAnsi="Arial"/>
                <w:sz w:val="4"/>
                <w:szCs w:val="4"/>
                <w:color w:val="FFFFFF"/>
              </w:rPr>
              <w:t>ummins, Bosch, Navistar</w:t>
            </w:r>
          </w:p>
        </w:tc>
        <w:tc>
          <w:tcPr>
            <w:tcW w:w="0" w:type="dxa"/>
            <w:vAlign w:val="bottom"/>
          </w:tcPr>
          <w:p>
            <w:pPr>
              <w:spacing w:after="0" w:line="20" w:lineRule="exact"/>
              <w:rPr>
                <w:sz w:val="1"/>
                <w:szCs w:val="1"/>
                <w:color w:val="auto"/>
              </w:rPr>
            </w:pPr>
          </w:p>
        </w:tc>
      </w:tr>
      <w:tr>
        <w:trPr>
          <w:trHeight w:val="39"/>
        </w:trPr>
        <w:tc>
          <w:tcPr>
            <w:tcW w:w="2360" w:type="dxa"/>
            <w:vAlign w:val="bottom"/>
            <w:gridSpan w:val="2"/>
          </w:tcPr>
          <w:p>
            <w:pPr>
              <w:spacing w:after="0" w:line="40" w:lineRule="exact"/>
              <w:rPr>
                <w:sz w:val="20"/>
                <w:szCs w:val="20"/>
                <w:color w:val="auto"/>
              </w:rPr>
            </w:pPr>
            <w:r>
              <w:rPr>
                <w:rFonts w:ascii="Arial" w:cs="Arial" w:eastAsia="Arial" w:hAnsi="Arial"/>
                <w:sz w:val="4"/>
                <w:szCs w:val="4"/>
                <w:color w:val="FFFFFF"/>
              </w:rPr>
              <w:t>Content Increase per Vehicle</w:t>
            </w:r>
          </w:p>
        </w:tc>
        <w:tc>
          <w:tcPr>
            <w:tcW w:w="0" w:type="dxa"/>
            <w:vAlign w:val="bottom"/>
          </w:tcPr>
          <w:p>
            <w:pPr>
              <w:spacing w:after="0" w:line="20" w:lineRule="exact"/>
              <w:rPr>
                <w:sz w:val="1"/>
                <w:szCs w:val="1"/>
                <w:color w:val="auto"/>
              </w:rPr>
            </w:pPr>
          </w:p>
        </w:tc>
      </w:tr>
      <w:tr>
        <w:trPr>
          <w:trHeight w:val="1"/>
        </w:trPr>
        <w:tc>
          <w:tcPr>
            <w:tcW w:w="140" w:type="dxa"/>
            <w:vAlign w:val="bottom"/>
          </w:tcPr>
          <w:p>
            <w:pPr>
              <w:spacing w:after="0" w:line="2" w:lineRule="exact"/>
              <w:rPr>
                <w:sz w:val="20"/>
                <w:szCs w:val="20"/>
                <w:color w:val="auto"/>
              </w:rPr>
            </w:pPr>
            <w:r>
              <w:rPr>
                <w:rFonts w:ascii="Arial" w:cs="Arial" w:eastAsia="Arial" w:hAnsi="Arial"/>
                <w:sz w:val="1"/>
                <w:szCs w:val="1"/>
                <w:color w:val="FFFFFF"/>
              </w:rPr>
              <w:t>$0</w:t>
            </w:r>
          </w:p>
        </w:tc>
        <w:tc>
          <w:tcPr>
            <w:tcW w:w="2220" w:type="dxa"/>
            <w:vAlign w:val="bottom"/>
          </w:tcPr>
          <w:p>
            <w:pPr>
              <w:jc w:val="right"/>
              <w:ind w:right="1001"/>
              <w:spacing w:after="0" w:line="2" w:lineRule="exact"/>
              <w:rPr>
                <w:sz w:val="20"/>
                <w:szCs w:val="20"/>
                <w:color w:val="auto"/>
              </w:rPr>
            </w:pPr>
            <w:r>
              <w:rPr>
                <w:rFonts w:ascii="Arial" w:cs="Arial" w:eastAsia="Arial" w:hAnsi="Arial"/>
                <w:sz w:val="1"/>
                <w:szCs w:val="1"/>
                <w:color w:val="FFFFFF"/>
              </w:rPr>
              <w:t>$20 $40 $60 $80 $100</w:t>
            </w:r>
          </w:p>
        </w:tc>
        <w:tc>
          <w:tcPr>
            <w:tcW w:w="0" w:type="dxa"/>
            <w:vAlign w:val="bottom"/>
          </w:tcPr>
          <w:p>
            <w:pPr>
              <w:spacing w:after="0" w:line="20" w:lineRule="exact"/>
              <w:rPr>
                <w:sz w:val="1"/>
                <w:szCs w:val="1"/>
                <w:color w:val="auto"/>
              </w:rPr>
            </w:pPr>
          </w:p>
        </w:tc>
      </w:tr>
    </w:tbl>
    <w:p>
      <w:pPr>
        <w:spacing w:after="0" w:line="204" w:lineRule="auto"/>
        <w:rPr>
          <w:sz w:val="20"/>
          <w:szCs w:val="20"/>
          <w:color w:val="auto"/>
        </w:rPr>
      </w:pPr>
      <w:r>
        <w:rPr>
          <w:rFonts w:ascii="Arial" w:cs="Arial" w:eastAsia="Arial" w:hAnsi="Arial"/>
          <w:sz w:val="4"/>
          <w:szCs w:val="4"/>
          <w:color w:val="FFFFFF"/>
        </w:rPr>
        <w:t>www.nninc.comRegulatorystandards will require adoption of all fuel saving technologies</w:t>
      </w:r>
    </w:p>
    <w:p>
      <w:pPr>
        <w:spacing w:after="0"/>
        <w:rPr>
          <w:sz w:val="20"/>
          <w:szCs w:val="20"/>
          <w:color w:val="auto"/>
        </w:rPr>
      </w:pPr>
      <w:r>
        <w:rPr>
          <w:rFonts w:ascii="Arial" w:cs="Arial" w:eastAsia="Arial" w:hAnsi="Arial"/>
          <w:sz w:val="13"/>
          <w:szCs w:val="13"/>
          <w:color w:val="FFFFFF"/>
        </w:rPr>
        <w:t>47</w:t>
      </w:r>
    </w:p>
    <w:p>
      <w:pPr>
        <w:sectPr>
          <w:pgSz w:w="11900" w:h="16838" w:orient="portrait"/>
          <w:cols w:equalWidth="0" w:num="1">
            <w:col w:w="10219"/>
          </w:cols>
          <w:pgMar w:left="2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Automotive Summary</w:t>
      </w:r>
    </w:p>
    <w:p>
      <w:pPr>
        <w:ind w:right="739"/>
        <w:spacing w:after="0" w:line="234" w:lineRule="auto"/>
        <w:rPr>
          <w:sz w:val="20"/>
          <w:szCs w:val="20"/>
          <w:color w:val="auto"/>
        </w:rPr>
      </w:pPr>
      <w:r>
        <w:rPr>
          <w:rFonts w:ascii="Arial" w:cs="Arial" w:eastAsia="Arial" w:hAnsi="Arial"/>
          <w:sz w:val="7"/>
          <w:szCs w:val="7"/>
          <w:color w:val="FFFFFF"/>
        </w:rPr>
        <w:t>Industry leader in manufacture of complex precision components and assemblies required for applications that allow OEMs to meet CAFE and other global fuel efficiency standards Growth of new CAFE technologies will substantially outpace automotive industry growth projections of 2.5% annually</w:t>
      </w:r>
    </w:p>
    <w:p>
      <w:pPr>
        <w:spacing w:after="0" w:line="205" w:lineRule="auto"/>
        <w:rPr>
          <w:sz w:val="20"/>
          <w:szCs w:val="20"/>
          <w:color w:val="auto"/>
        </w:rPr>
      </w:pPr>
      <w:r>
        <w:rPr>
          <w:rFonts w:ascii="Arial" w:cs="Arial" w:eastAsia="Arial" w:hAnsi="Arial"/>
          <w:sz w:val="2"/>
          <w:szCs w:val="2"/>
          <w:color w:val="FFFFFF"/>
        </w:rPr>
        <w:t xml:space="preserve">CAFE </w:t>
      </w:r>
      <w:r>
        <w:rPr>
          <w:rFonts w:ascii="Arial" w:cs="Arial" w:eastAsia="Arial" w:hAnsi="Arial"/>
          <w:sz w:val="4"/>
          <w:szCs w:val="4"/>
          <w:color w:val="FFFFFF"/>
          <w:vertAlign w:val="subscript"/>
        </w:rPr>
        <w:t>Power</w:t>
      </w:r>
      <w:r>
        <w:rPr>
          <w:rFonts w:ascii="Arial" w:cs="Arial" w:eastAsia="Arial" w:hAnsi="Arial"/>
          <w:sz w:val="2"/>
          <w:szCs w:val="2"/>
          <w:color w:val="FFFFFF"/>
        </w:rPr>
        <w:t>relatd technologies require more components</w:t>
      </w:r>
      <w:r>
        <w:rPr>
          <w:rFonts w:ascii="Arial" w:cs="Arial" w:eastAsia="Arial" w:hAnsi="Arial"/>
          <w:sz w:val="4"/>
          <w:szCs w:val="4"/>
          <w:color w:val="FFFFFF"/>
          <w:vertAlign w:val="subscript"/>
        </w:rPr>
        <w:t>Climate</w:t>
      </w:r>
      <w:r>
        <w:rPr>
          <w:rFonts w:ascii="Arial" w:cs="Arial" w:eastAsia="Arial" w:hAnsi="Arial"/>
          <w:sz w:val="2"/>
          <w:szCs w:val="2"/>
          <w:color w:val="FFFFFF"/>
        </w:rPr>
        <w:t>wih tighter tolerances resulting in higher content per vehicle for NN</w:t>
      </w:r>
    </w:p>
    <w:p>
      <w:pPr>
        <w:spacing w:after="0" w:line="205" w:lineRule="auto"/>
        <w:tabs>
          <w:tab w:leader="none" w:pos="720" w:val="left"/>
          <w:tab w:leader="none" w:pos="3060" w:val="left"/>
        </w:tabs>
        <w:rPr>
          <w:sz w:val="20"/>
          <w:szCs w:val="20"/>
          <w:color w:val="auto"/>
        </w:rPr>
      </w:pPr>
      <w:r>
        <w:rPr>
          <w:rFonts w:ascii="Arial" w:cs="Arial" w:eastAsia="Arial" w:hAnsi="Arial"/>
          <w:sz w:val="4"/>
          <w:szCs w:val="4"/>
          <w:color w:val="FFFFFF"/>
          <w:vertAlign w:val="subscript"/>
        </w:rPr>
        <w:t>Electrical</w:t>
      </w:r>
      <w:r>
        <w:rPr>
          <w:rFonts w:ascii="Arial" w:cs="Arial" w:eastAsia="Arial" w:hAnsi="Arial"/>
          <w:sz w:val="2"/>
          <w:szCs w:val="2"/>
          <w:color w:val="FFFFFF"/>
        </w:rPr>
        <w:t>Safey</w:t>
      </w:r>
      <w:r>
        <w:rPr>
          <w:sz w:val="20"/>
          <w:szCs w:val="20"/>
          <w:color w:val="auto"/>
        </w:rPr>
        <w:tab/>
      </w:r>
      <w:r>
        <w:rPr>
          <w:rFonts w:ascii="Arial" w:cs="Arial" w:eastAsia="Arial" w:hAnsi="Arial"/>
          <w:sz w:val="4"/>
          <w:szCs w:val="4"/>
          <w:color w:val="FFFFFF"/>
        </w:rPr>
        <w:t>Steering Electric Accessory Motors</w:t>
      </w:r>
      <w:r>
        <w:rPr>
          <w:sz w:val="20"/>
          <w:szCs w:val="20"/>
          <w:color w:val="auto"/>
        </w:rPr>
        <w:tab/>
      </w:r>
      <w:r>
        <w:rPr>
          <w:rFonts w:ascii="Arial" w:cs="Arial" w:eastAsia="Arial" w:hAnsi="Arial"/>
          <w:sz w:val="4"/>
          <w:szCs w:val="4"/>
          <w:color w:val="FFFFFF"/>
        </w:rPr>
        <w:t>Control Fuel Systems</w:t>
      </w:r>
    </w:p>
    <w:p>
      <w:pPr>
        <w:ind w:right="3879" w:firstLine="534"/>
        <w:spacing w:after="0" w:line="182" w:lineRule="auto"/>
        <w:rPr>
          <w:sz w:val="20"/>
          <w:szCs w:val="20"/>
          <w:color w:val="auto"/>
        </w:rPr>
      </w:pPr>
      <w:r>
        <w:rPr>
          <w:rFonts w:ascii="Arial" w:cs="Arial" w:eastAsia="Arial" w:hAnsi="Arial"/>
          <w:sz w:val="9"/>
          <w:szCs w:val="9"/>
          <w:color w:val="FFFFFF"/>
        </w:rPr>
        <w:t>Switch Sensor Components Advanced Powertrain Braking Systems Wheel Hub Units Constant Velocity Joints www.nninc.com</w:t>
      </w:r>
    </w:p>
    <w:p>
      <w:pPr>
        <w:spacing w:after="0"/>
        <w:rPr>
          <w:sz w:val="20"/>
          <w:szCs w:val="20"/>
          <w:color w:val="auto"/>
        </w:rPr>
      </w:pPr>
      <w:r>
        <w:rPr>
          <w:rFonts w:ascii="Arial" w:cs="Arial" w:eastAsia="Arial" w:hAnsi="Arial"/>
          <w:sz w:val="13"/>
          <w:szCs w:val="13"/>
          <w:color w:val="FFFFFF"/>
        </w:rPr>
        <w:t>48</w:t>
      </w:r>
    </w:p>
    <w:p>
      <w:pPr>
        <w:sectPr>
          <w:pgSz w:w="11900" w:h="16838" w:orient="portrait"/>
          <w:cols w:equalWidth="0" w:num="1">
            <w:col w:w="10219"/>
          </w:cols>
          <w:pgMar w:left="2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Capital Structure Overview</w:t>
      </w:r>
    </w:p>
    <w:p>
      <w:pPr>
        <w:sectPr>
          <w:pgSz w:w="11900" w:h="16838" w:orient="portrait"/>
          <w:cols w:equalWidth="0" w:num="1">
            <w:col w:w="10219"/>
          </w:cols>
          <w:pgMar w:left="240" w:top="1440"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Capital</w:t>
      </w:r>
    </w:p>
    <w:p>
      <w:pPr>
        <w:ind w:left="420"/>
        <w:spacing w:after="0" w:line="182" w:lineRule="auto"/>
        <w:rPr>
          <w:sz w:val="20"/>
          <w:szCs w:val="20"/>
          <w:color w:val="auto"/>
        </w:rPr>
      </w:pPr>
      <w:r>
        <w:rPr>
          <w:rFonts w:ascii="Arial" w:cs="Arial" w:eastAsia="Arial" w:hAnsi="Arial"/>
          <w:sz w:val="9"/>
          <w:szCs w:val="9"/>
          <w:color w:val="FFFFFF"/>
        </w:rPr>
        <w:t>ProfileStructureOverviewOverview</w:t>
      </w:r>
    </w:p>
    <w:p>
      <w:pPr>
        <w:spacing w:after="0" w:line="205" w:lineRule="auto"/>
        <w:rPr>
          <w:sz w:val="20"/>
          <w:szCs w:val="20"/>
          <w:color w:val="auto"/>
        </w:rPr>
      </w:pPr>
      <w:r>
        <w:rPr>
          <w:rFonts w:ascii="Arial" w:cs="Arial" w:eastAsia="Arial" w:hAnsi="Arial"/>
          <w:sz w:val="4"/>
          <w:szCs w:val="4"/>
          <w:color w:val="FFFFFF"/>
        </w:rPr>
        <w:t>WACDParentCredit=7.10%Ratings = B2 / B+</w:t>
      </w:r>
    </w:p>
    <w:p>
      <w:pPr>
        <w:spacing w:after="0" w:line="205" w:lineRule="auto"/>
        <w:rPr>
          <w:sz w:val="20"/>
          <w:szCs w:val="20"/>
          <w:color w:val="auto"/>
        </w:rPr>
      </w:pPr>
      <w:r>
        <w:rPr>
          <w:rFonts w:ascii="Arial" w:cs="Arial" w:eastAsia="Arial" w:hAnsi="Arial"/>
          <w:sz w:val="4"/>
          <w:szCs w:val="4"/>
          <w:color w:val="FFFFFF"/>
        </w:rPr>
        <w:t>Required Principal Payments = $5.75M</w:t>
      </w:r>
    </w:p>
    <w:p>
      <w:pPr>
        <w:spacing w:after="0" w:line="205" w:lineRule="auto"/>
        <w:rPr>
          <w:sz w:val="20"/>
          <w:szCs w:val="20"/>
          <w:color w:val="auto"/>
        </w:rPr>
      </w:pPr>
      <w:r>
        <w:rPr>
          <w:rFonts w:ascii="Arial" w:cs="Arial" w:eastAsia="Arial" w:hAnsi="Arial"/>
          <w:sz w:val="4"/>
          <w:szCs w:val="4"/>
          <w:color w:val="FFFFFF"/>
        </w:rPr>
        <w:t>Total Interest Expense* = $60M</w:t>
      </w:r>
    </w:p>
    <w:p>
      <w:pPr>
        <w:spacing w:after="0" w:line="182" w:lineRule="auto"/>
        <w:rPr>
          <w:sz w:val="20"/>
          <w:szCs w:val="20"/>
          <w:color w:val="auto"/>
        </w:rPr>
      </w:pPr>
      <w:r>
        <w:rPr>
          <w:rFonts w:ascii="Arial" w:cs="Arial" w:eastAsia="Arial" w:hAnsi="Arial"/>
          <w:sz w:val="9"/>
          <w:szCs w:val="9"/>
          <w:color w:val="FFFFFF"/>
        </w:rPr>
        <w:t>Covenant Lite Execution</w:t>
      </w:r>
    </w:p>
    <w:p>
      <w:pPr>
        <w:spacing w:after="0" w:line="182" w:lineRule="auto"/>
        <w:rPr>
          <w:sz w:val="20"/>
          <w:szCs w:val="20"/>
          <w:color w:val="auto"/>
        </w:rPr>
      </w:pPr>
      <w:r>
        <w:rPr>
          <w:rFonts w:ascii="Arial" w:cs="Arial" w:eastAsia="Arial" w:hAnsi="Arial"/>
          <w:sz w:val="9"/>
          <w:szCs w:val="9"/>
          <w:color w:val="FFFFFF"/>
        </w:rPr>
        <w:t>RightPricingCapitalnegativelyStructureeffected: macro ba</w:t>
      </w:r>
    </w:p>
    <w:p>
      <w:pPr>
        <w:spacing w:after="0" w:line="182" w:lineRule="auto"/>
        <w:rPr>
          <w:sz w:val="20"/>
          <w:szCs w:val="20"/>
          <w:color w:val="auto"/>
        </w:rPr>
      </w:pPr>
      <w:r>
        <w:rPr>
          <w:rFonts w:ascii="Arial" w:cs="Arial" w:eastAsia="Arial" w:hAnsi="Arial"/>
          <w:sz w:val="9"/>
          <w:szCs w:val="9"/>
          <w:color w:val="FFFFFF"/>
        </w:rPr>
        <w:t>$Total829 millionSenior Debt Outstanding+</w:t>
      </w:r>
    </w:p>
    <w:p>
      <w:pPr>
        <w:spacing w:after="0" w:line="183" w:lineRule="auto"/>
        <w:rPr>
          <w:sz w:val="20"/>
          <w:szCs w:val="20"/>
          <w:color w:val="auto"/>
        </w:rPr>
      </w:pPr>
      <w:r>
        <w:rPr>
          <w:rFonts w:ascii="Arial" w:cs="Arial" w:eastAsia="Arial" w:hAnsi="Arial"/>
          <w:sz w:val="9"/>
          <w:szCs w:val="9"/>
          <w:color w:val="FFFFFF"/>
        </w:rPr>
        <w:t>RevolverTermLoan B $573 million</w:t>
      </w:r>
    </w:p>
    <w:p>
      <w:pPr>
        <w:spacing w:after="0" w:line="204" w:lineRule="auto"/>
        <w:rPr>
          <w:sz w:val="20"/>
          <w:szCs w:val="20"/>
          <w:color w:val="auto"/>
        </w:rPr>
      </w:pPr>
      <w:r>
        <w:rPr>
          <w:rFonts w:ascii="Arial" w:cs="Arial" w:eastAsia="Arial" w:hAnsi="Arial"/>
          <w:sz w:val="4"/>
          <w:szCs w:val="4"/>
          <w:color w:val="FFFFFF"/>
        </w:rPr>
        <w:t>www.nninc.comSeniorNotes$250 million</w:t>
      </w:r>
    </w:p>
    <w:p>
      <w:pPr>
        <w:spacing w:after="0"/>
        <w:rPr>
          <w:sz w:val="20"/>
          <w:szCs w:val="20"/>
          <w:color w:val="auto"/>
        </w:rPr>
      </w:pPr>
      <w:r>
        <w:rPr>
          <w:rFonts w:ascii="Arial" w:cs="Arial" w:eastAsia="Arial" w:hAnsi="Arial"/>
          <w:sz w:val="11"/>
          <w:szCs w:val="11"/>
          <w:color w:val="FFFFFF"/>
        </w:rPr>
        <w:t>50 *Excludes amortization of deferred financing charges +Outstanding as of 12/31/15</w:t>
      </w:r>
    </w:p>
    <w:p>
      <w:pPr>
        <w:sectPr>
          <w:pgSz w:w="11900" w:h="16838" w:orient="portrait"/>
          <w:cols w:equalWidth="0" w:num="1">
            <w:col w:w="10219"/>
          </w:cols>
          <w:pgMar w:left="2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Secured Debt</w:t>
      </w:r>
    </w:p>
    <w:p>
      <w:pPr>
        <w:spacing w:after="0" w:line="182" w:lineRule="auto"/>
        <w:rPr>
          <w:sz w:val="20"/>
          <w:szCs w:val="20"/>
          <w:color w:val="auto"/>
        </w:rPr>
      </w:pPr>
      <w:r>
        <w:rPr>
          <w:rFonts w:ascii="Arial" w:cs="Arial" w:eastAsia="Arial" w:hAnsi="Arial"/>
          <w:sz w:val="9"/>
          <w:szCs w:val="9"/>
          <w:color w:val="FFFFFF"/>
        </w:rPr>
        <w:t>$Total829 millionSenior Debt Outstanding</w:t>
      </w:r>
    </w:p>
    <w:p>
      <w:pPr>
        <w:spacing w:after="0" w:line="182" w:lineRule="auto"/>
        <w:rPr>
          <w:sz w:val="20"/>
          <w:szCs w:val="20"/>
          <w:color w:val="auto"/>
        </w:rPr>
      </w:pPr>
      <w:r>
        <w:rPr>
          <w:rFonts w:ascii="Arial" w:cs="Arial" w:eastAsia="Arial" w:hAnsi="Arial"/>
          <w:sz w:val="9"/>
          <w:szCs w:val="9"/>
          <w:color w:val="FFFFFF"/>
        </w:rPr>
        <w:t>RevolverTermLoan B $573 million</w:t>
      </w:r>
    </w:p>
    <w:p>
      <w:pPr>
        <w:spacing w:after="0" w:line="205" w:lineRule="auto"/>
        <w:rPr>
          <w:sz w:val="20"/>
          <w:szCs w:val="20"/>
          <w:color w:val="auto"/>
        </w:rPr>
      </w:pPr>
      <w:r>
        <w:rPr>
          <w:rFonts w:ascii="Arial" w:cs="Arial" w:eastAsia="Arial" w:hAnsi="Arial"/>
          <w:sz w:val="4"/>
          <w:szCs w:val="4"/>
          <w:color w:val="FFFFFF"/>
        </w:rPr>
        <w:t>Summary*variable rateOverviewloan,rate as of 12/31/15</w:t>
      </w:r>
    </w:p>
    <w:p>
      <w:pPr>
        <w:spacing w:after="0" w:line="205" w:lineRule="auto"/>
        <w:rPr>
          <w:sz w:val="20"/>
          <w:szCs w:val="20"/>
          <w:color w:val="auto"/>
        </w:rPr>
      </w:pPr>
      <w:r>
        <w:rPr>
          <w:rFonts w:ascii="Arial" w:cs="Arial" w:eastAsia="Arial" w:hAnsi="Arial"/>
          <w:sz w:val="4"/>
          <w:szCs w:val="4"/>
          <w:color w:val="FFFFFF"/>
        </w:rPr>
        <w:t>Term Loan</w:t>
      </w:r>
    </w:p>
    <w:p>
      <w:pPr>
        <w:spacing w:after="0" w:line="205" w:lineRule="auto"/>
        <w:rPr>
          <w:sz w:val="20"/>
          <w:szCs w:val="20"/>
          <w:color w:val="auto"/>
        </w:rPr>
      </w:pPr>
      <w:r>
        <w:rPr>
          <w:rFonts w:ascii="Arial" w:cs="Arial" w:eastAsia="Arial" w:hAnsi="Arial"/>
          <w:sz w:val="4"/>
          <w:szCs w:val="4"/>
          <w:color w:val="FFFFFF"/>
        </w:rPr>
        <w:t>Facility Rating: Ba3 / BB-</w:t>
      </w:r>
    </w:p>
    <w:p>
      <w:pPr>
        <w:spacing w:after="0" w:line="182" w:lineRule="auto"/>
        <w:rPr>
          <w:sz w:val="20"/>
          <w:szCs w:val="20"/>
          <w:color w:val="auto"/>
        </w:rPr>
      </w:pPr>
      <w:r>
        <w:rPr>
          <w:rFonts w:ascii="Arial" w:cs="Arial" w:eastAsia="Arial" w:hAnsi="Arial"/>
          <w:sz w:val="9"/>
          <w:szCs w:val="9"/>
          <w:color w:val="FFFFFF"/>
        </w:rPr>
        <w:t>Interest Rate*: 5.75%</w:t>
      </w:r>
    </w:p>
    <w:p>
      <w:pPr>
        <w:spacing w:after="0" w:line="182" w:lineRule="auto"/>
        <w:rPr>
          <w:sz w:val="20"/>
          <w:szCs w:val="20"/>
          <w:color w:val="auto"/>
        </w:rPr>
      </w:pPr>
      <w:r>
        <w:rPr>
          <w:rFonts w:ascii="Arial" w:cs="Arial" w:eastAsia="Arial" w:hAnsi="Arial"/>
          <w:sz w:val="7"/>
          <w:szCs w:val="7"/>
          <w:color w:val="FFFFFF"/>
        </w:rPr>
        <w:t>CovenantRequired</w:t>
      </w:r>
      <w:r>
        <w:rPr>
          <w:rFonts w:ascii="Arial" w:cs="Arial" w:eastAsia="Arial" w:hAnsi="Arial"/>
          <w:sz w:val="9"/>
          <w:szCs w:val="9"/>
          <w:color w:val="FFFFFF"/>
          <w:vertAlign w:val="subscript"/>
        </w:rPr>
        <w:t>softPrinciple</w:t>
      </w:r>
      <w:r>
        <w:rPr>
          <w:rFonts w:ascii="Arial" w:cs="Arial" w:eastAsia="Arial" w:hAnsi="Arial"/>
          <w:sz w:val="7"/>
          <w:szCs w:val="7"/>
          <w:color w:val="FFFFFF"/>
        </w:rPr>
        <w:t>Li Payments: $5.75M</w:t>
      </w:r>
    </w:p>
    <w:p>
      <w:pPr>
        <w:spacing w:after="0" w:line="206" w:lineRule="auto"/>
        <w:tabs>
          <w:tab w:leader="none" w:pos="700" w:val="left"/>
        </w:tabs>
        <w:rPr>
          <w:sz w:val="20"/>
          <w:szCs w:val="20"/>
          <w:color w:val="auto"/>
        </w:rPr>
      </w:pPr>
      <w:r>
        <w:rPr>
          <w:rFonts w:ascii="Arial" w:cs="Arial" w:eastAsia="Arial" w:hAnsi="Arial"/>
          <w:sz w:val="4"/>
          <w:szCs w:val="4"/>
          <w:color w:val="FFFFFF"/>
        </w:rPr>
        <w:t>RevolverOptional</w:t>
      </w:r>
      <w:r>
        <w:rPr>
          <w:sz w:val="20"/>
          <w:szCs w:val="20"/>
          <w:color w:val="auto"/>
        </w:rPr>
        <w:tab/>
      </w:r>
      <w:r>
        <w:rPr>
          <w:rFonts w:ascii="Arial" w:cs="Arial" w:eastAsia="Arial" w:hAnsi="Arial"/>
          <w:sz w:val="4"/>
          <w:szCs w:val="4"/>
          <w:color w:val="FFFFFF"/>
        </w:rPr>
        <w:t>call beginning April 2016</w:t>
      </w:r>
    </w:p>
    <w:p>
      <w:pPr>
        <w:spacing w:after="0" w:line="205" w:lineRule="auto"/>
        <w:rPr>
          <w:sz w:val="20"/>
          <w:szCs w:val="20"/>
          <w:color w:val="auto"/>
        </w:rPr>
      </w:pPr>
      <w:r>
        <w:rPr>
          <w:rFonts w:ascii="Arial" w:cs="Arial" w:eastAsia="Arial" w:hAnsi="Arial"/>
          <w:sz w:val="4"/>
          <w:szCs w:val="4"/>
          <w:color w:val="FFFFFF"/>
        </w:rPr>
        <w:t>Interest Rate: LIBOR + 350</w:t>
      </w:r>
    </w:p>
    <w:p>
      <w:pPr>
        <w:spacing w:after="0" w:line="182" w:lineRule="auto"/>
        <w:rPr>
          <w:sz w:val="20"/>
          <w:szCs w:val="20"/>
          <w:color w:val="auto"/>
        </w:rPr>
      </w:pPr>
      <w:r>
        <w:rPr>
          <w:rFonts w:ascii="Arial" w:cs="Arial" w:eastAsia="Arial" w:hAnsi="Arial"/>
          <w:sz w:val="9"/>
          <w:szCs w:val="9"/>
          <w:color w:val="FFFFFF"/>
        </w:rPr>
        <w:t>Ample capacity to satisfy any working capital needs</w:t>
      </w:r>
    </w:p>
    <w:p>
      <w:pPr>
        <w:spacing w:after="0" w:line="206" w:lineRule="auto"/>
        <w:rPr>
          <w:sz w:val="20"/>
          <w:szCs w:val="20"/>
          <w:color w:val="auto"/>
        </w:rPr>
      </w:pPr>
      <w:r>
        <w:rPr>
          <w:rFonts w:ascii="Arial" w:cs="Arial" w:eastAsia="Arial" w:hAnsi="Arial"/>
          <w:sz w:val="4"/>
          <w:szCs w:val="4"/>
          <w:color w:val="FFFFFF"/>
        </w:rPr>
        <w:t>www.nninc.comTermLoanisthe only facility with a required principle payment</w:t>
      </w:r>
    </w:p>
    <w:p>
      <w:pPr>
        <w:spacing w:after="0"/>
        <w:rPr>
          <w:sz w:val="20"/>
          <w:szCs w:val="20"/>
          <w:color w:val="auto"/>
        </w:rPr>
      </w:pPr>
      <w:r>
        <w:rPr>
          <w:rFonts w:ascii="Arial" w:cs="Arial" w:eastAsia="Arial" w:hAnsi="Arial"/>
          <w:sz w:val="13"/>
          <w:szCs w:val="13"/>
          <w:color w:val="FFFFFF"/>
        </w:rPr>
        <w:t>51</w:t>
      </w:r>
    </w:p>
    <w:p>
      <w:pPr>
        <w:sectPr>
          <w:pgSz w:w="11900" w:h="16838" w:orient="portrait"/>
          <w:cols w:equalWidth="0" w:num="1">
            <w:col w:w="10219"/>
          </w:cols>
          <w:pgMar w:left="2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Senior Notes</w:t>
      </w:r>
    </w:p>
    <w:p>
      <w:pPr>
        <w:spacing w:after="0" w:line="182" w:lineRule="auto"/>
        <w:rPr>
          <w:sz w:val="20"/>
          <w:szCs w:val="20"/>
          <w:color w:val="auto"/>
        </w:rPr>
      </w:pPr>
      <w:r>
        <w:rPr>
          <w:rFonts w:ascii="Arial" w:cs="Arial" w:eastAsia="Arial" w:hAnsi="Arial"/>
          <w:sz w:val="9"/>
          <w:szCs w:val="9"/>
          <w:color w:val="FFFFFF"/>
        </w:rPr>
        <w:t>Total Senior Debt Outstanding</w:t>
      </w:r>
    </w:p>
    <w:p>
      <w:pPr>
        <w:spacing w:after="0" w:line="205" w:lineRule="auto"/>
        <w:rPr>
          <w:sz w:val="20"/>
          <w:szCs w:val="20"/>
          <w:color w:val="auto"/>
        </w:rPr>
      </w:pPr>
      <w:r>
        <w:rPr>
          <w:rFonts w:ascii="Arial" w:cs="Arial" w:eastAsia="Arial" w:hAnsi="Arial"/>
          <w:sz w:val="4"/>
          <w:szCs w:val="4"/>
          <w:color w:val="FFFFFF"/>
          <w:vertAlign w:val="subscript"/>
        </w:rPr>
        <w:t>Summary</w:t>
      </w:r>
      <w:r>
        <w:rPr>
          <w:rFonts w:ascii="Arial" w:cs="Arial" w:eastAsia="Arial" w:hAnsi="Arial"/>
          <w:sz w:val="2"/>
          <w:szCs w:val="2"/>
          <w:color w:val="FFFFFF"/>
        </w:rPr>
        <w:t>$829eniormillionNotes $250 million</w:t>
      </w:r>
    </w:p>
    <w:p>
      <w:pPr>
        <w:ind w:left="540"/>
        <w:spacing w:after="0" w:line="205" w:lineRule="auto"/>
        <w:rPr>
          <w:sz w:val="20"/>
          <w:szCs w:val="20"/>
          <w:color w:val="auto"/>
        </w:rPr>
      </w:pPr>
      <w:r>
        <w:rPr>
          <w:rFonts w:ascii="Arial" w:cs="Arial" w:eastAsia="Arial" w:hAnsi="Arial"/>
          <w:sz w:val="4"/>
          <w:szCs w:val="4"/>
          <w:color w:val="FFFFFF"/>
        </w:rPr>
        <w:t>Overview</w:t>
      </w:r>
    </w:p>
    <w:p>
      <w:pPr>
        <w:spacing w:after="0" w:line="205" w:lineRule="auto"/>
        <w:rPr>
          <w:sz w:val="20"/>
          <w:szCs w:val="20"/>
          <w:color w:val="auto"/>
        </w:rPr>
      </w:pPr>
      <w:r>
        <w:rPr>
          <w:rFonts w:ascii="Arial" w:cs="Arial" w:eastAsia="Arial" w:hAnsi="Arial"/>
          <w:sz w:val="4"/>
          <w:szCs w:val="4"/>
          <w:color w:val="FFFFFF"/>
        </w:rPr>
        <w:t>Facility Rating: Caa1 / B</w:t>
      </w:r>
    </w:p>
    <w:p>
      <w:pPr>
        <w:spacing w:after="0" w:line="205" w:lineRule="auto"/>
        <w:rPr>
          <w:sz w:val="20"/>
          <w:szCs w:val="20"/>
          <w:color w:val="auto"/>
        </w:rPr>
      </w:pPr>
      <w:r>
        <w:rPr>
          <w:rFonts w:ascii="Arial" w:cs="Arial" w:eastAsia="Arial" w:hAnsi="Arial"/>
          <w:sz w:val="4"/>
          <w:szCs w:val="4"/>
          <w:color w:val="FFFFFF"/>
        </w:rPr>
        <w:t>Maturity: October 2020</w:t>
      </w:r>
    </w:p>
    <w:p>
      <w:pPr>
        <w:spacing w:after="0" w:line="205" w:lineRule="auto"/>
        <w:rPr>
          <w:sz w:val="20"/>
          <w:szCs w:val="20"/>
          <w:color w:val="auto"/>
        </w:rPr>
      </w:pPr>
      <w:r>
        <w:rPr>
          <w:rFonts w:ascii="Arial" w:cs="Arial" w:eastAsia="Arial" w:hAnsi="Arial"/>
          <w:sz w:val="4"/>
          <w:szCs w:val="4"/>
          <w:color w:val="FFFFFF"/>
        </w:rPr>
        <w:t>Callable in November 2017</w:t>
      </w:r>
    </w:p>
    <w:p>
      <w:pPr>
        <w:spacing w:after="0" w:line="205" w:lineRule="auto"/>
        <w:rPr>
          <w:sz w:val="20"/>
          <w:szCs w:val="20"/>
          <w:color w:val="auto"/>
        </w:rPr>
      </w:pPr>
      <w:r>
        <w:rPr>
          <w:rFonts w:ascii="Arial" w:cs="Arial" w:eastAsia="Arial" w:hAnsi="Arial"/>
          <w:sz w:val="4"/>
          <w:szCs w:val="4"/>
          <w:color w:val="FFFFFF"/>
        </w:rPr>
        <w:t>Interest Rate: 10.25%</w:t>
      </w:r>
    </w:p>
    <w:p>
      <w:pPr>
        <w:spacing w:after="0" w:line="205" w:lineRule="auto"/>
        <w:rPr>
          <w:sz w:val="20"/>
          <w:szCs w:val="20"/>
          <w:color w:val="auto"/>
        </w:rPr>
      </w:pPr>
      <w:r>
        <w:rPr>
          <w:rFonts w:ascii="Arial" w:cs="Arial" w:eastAsia="Arial" w:hAnsi="Arial"/>
          <w:sz w:val="4"/>
          <w:szCs w:val="4"/>
          <w:color w:val="FFFFFF"/>
        </w:rPr>
        <w:t>Required Principal: None</w:t>
      </w:r>
    </w:p>
    <w:p>
      <w:pPr>
        <w:spacing w:after="0" w:line="182" w:lineRule="auto"/>
        <w:rPr>
          <w:sz w:val="20"/>
          <w:szCs w:val="20"/>
          <w:color w:val="auto"/>
        </w:rPr>
      </w:pPr>
      <w:r>
        <w:rPr>
          <w:rFonts w:ascii="Arial" w:cs="Arial" w:eastAsia="Arial" w:hAnsi="Arial"/>
          <w:sz w:val="9"/>
          <w:szCs w:val="9"/>
          <w:color w:val="FFFFFF"/>
        </w:rPr>
        <w:t>Covenant Lite</w:t>
      </w:r>
    </w:p>
    <w:p>
      <w:pPr>
        <w:spacing w:after="0" w:line="205" w:lineRule="auto"/>
        <w:rPr>
          <w:sz w:val="20"/>
          <w:szCs w:val="20"/>
          <w:color w:val="auto"/>
        </w:rPr>
      </w:pPr>
      <w:r>
        <w:rPr>
          <w:rFonts w:ascii="Arial" w:cs="Arial" w:eastAsia="Arial" w:hAnsi="Arial"/>
          <w:sz w:val="4"/>
          <w:szCs w:val="4"/>
          <w:color w:val="FFFFFF"/>
        </w:rPr>
        <w:t>www.nninc.comFlexible,Patient Capital</w:t>
      </w:r>
    </w:p>
    <w:p>
      <w:pPr>
        <w:spacing w:after="0"/>
        <w:rPr>
          <w:sz w:val="20"/>
          <w:szCs w:val="20"/>
          <w:color w:val="auto"/>
        </w:rPr>
      </w:pPr>
      <w:r>
        <w:rPr>
          <w:rFonts w:ascii="Arial" w:cs="Arial" w:eastAsia="Arial" w:hAnsi="Arial"/>
          <w:sz w:val="13"/>
          <w:szCs w:val="13"/>
          <w:color w:val="FFFFFF"/>
        </w:rPr>
        <w:t>52</w:t>
      </w:r>
    </w:p>
    <w:p>
      <w:pPr>
        <w:sectPr>
          <w:pgSz w:w="11900" w:h="16838" w:orient="portrait"/>
          <w:cols w:equalWidth="0" w:num="1">
            <w:col w:w="10219"/>
          </w:cols>
          <w:pgMar w:left="240" w:top="1440"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gridSpan w:val="2"/>
          </w:tcPr>
          <w:p>
            <w:pPr>
              <w:spacing w:after="0"/>
              <w:rPr>
                <w:sz w:val="20"/>
                <w:szCs w:val="20"/>
                <w:color w:val="auto"/>
              </w:rPr>
            </w:pPr>
            <w:r>
              <w:rPr>
                <w:rFonts w:ascii="Arial" w:cs="Arial" w:eastAsia="Arial" w:hAnsi="Arial"/>
                <w:sz w:val="13"/>
                <w:szCs w:val="13"/>
                <w:color w:val="FFFFFF"/>
              </w:rPr>
              <w:t>De-Leveraging Profile</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60" w:type="dxa"/>
            <w:vAlign w:val="bottom"/>
          </w:tcPr>
          <w:p>
            <w:pPr>
              <w:ind w:left="100"/>
              <w:spacing w:after="0" w:line="40" w:lineRule="exact"/>
              <w:rPr>
                <w:sz w:val="20"/>
                <w:szCs w:val="20"/>
                <w:color w:val="auto"/>
              </w:rPr>
            </w:pPr>
            <w:r>
              <w:rPr>
                <w:rFonts w:ascii="Arial" w:cs="Arial" w:eastAsia="Arial" w:hAnsi="Arial"/>
                <w:sz w:val="4"/>
                <w:szCs w:val="4"/>
                <w:color w:val="FFFFFF"/>
              </w:rPr>
              <w:t>In Millions</w:t>
            </w:r>
          </w:p>
        </w:tc>
        <w:tc>
          <w:tcPr>
            <w:tcW w:w="3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$500</w:t>
            </w:r>
          </w:p>
        </w:tc>
        <w:tc>
          <w:tcPr>
            <w:tcW w:w="3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$400</w:t>
            </w:r>
          </w:p>
        </w:tc>
        <w:tc>
          <w:tcPr>
            <w:tcW w:w="3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$300</w:t>
            </w:r>
          </w:p>
        </w:tc>
        <w:tc>
          <w:tcPr>
            <w:tcW w:w="28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$200</w:t>
            </w:r>
          </w:p>
        </w:tc>
        <w:tc>
          <w:tcPr>
            <w:tcW w:w="28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$100</w:t>
            </w:r>
          </w:p>
        </w:tc>
        <w:tc>
          <w:tcPr>
            <w:tcW w:w="0" w:type="dxa"/>
            <w:vAlign w:val="bottom"/>
          </w:tcPr>
          <w:p>
            <w:pPr>
              <w:spacing w:after="0" w:line="20" w:lineRule="exact"/>
              <w:rPr>
                <w:sz w:val="1"/>
                <w:szCs w:val="1"/>
                <w:color w:val="auto"/>
              </w:rPr>
            </w:pPr>
          </w:p>
        </w:tc>
      </w:tr>
      <w:tr>
        <w:trPr>
          <w:trHeight w:val="39"/>
        </w:trPr>
        <w:tc>
          <w:tcPr>
            <w:tcW w:w="1160" w:type="dxa"/>
            <w:vAlign w:val="bottom"/>
          </w:tcPr>
          <w:p>
            <w:pPr>
              <w:jc w:val="right"/>
              <w:spacing w:after="0" w:line="40" w:lineRule="exact"/>
              <w:rPr>
                <w:sz w:val="20"/>
                <w:szCs w:val="20"/>
                <w:color w:val="auto"/>
              </w:rPr>
            </w:pPr>
            <w:r>
              <w:rPr>
                <w:rFonts w:ascii="Arial" w:cs="Arial" w:eastAsia="Arial" w:hAnsi="Arial"/>
                <w:sz w:val="4"/>
                <w:szCs w:val="4"/>
                <w:color w:val="FFFFFF"/>
              </w:rPr>
              <w:t>900 $800 $700 $600</w:t>
            </w:r>
          </w:p>
        </w:tc>
        <w:tc>
          <w:tcPr>
            <w:tcW w:w="3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spacing w:after="0" w:line="40" w:lineRule="exact"/>
              <w:rPr>
                <w:sz w:val="20"/>
                <w:szCs w:val="20"/>
                <w:color w:val="auto"/>
              </w:rPr>
            </w:pPr>
            <w:r>
              <w:rPr>
                <w:rFonts w:ascii="Arial" w:cs="Arial" w:eastAsia="Arial" w:hAnsi="Arial"/>
                <w:sz w:val="4"/>
                <w:szCs w:val="4"/>
                <w:color w:val="FFFFFF"/>
              </w:rPr>
              <w:t>$0</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spacing w:after="0" w:line="40" w:lineRule="exact"/>
              <w:rPr>
                <w:sz w:val="20"/>
                <w:szCs w:val="20"/>
                <w:color w:val="auto"/>
              </w:rPr>
            </w:pPr>
            <w:r>
              <w:rPr>
                <w:rFonts w:ascii="Arial" w:cs="Arial" w:eastAsia="Arial" w:hAnsi="Arial"/>
                <w:sz w:val="4"/>
                <w:szCs w:val="4"/>
                <w:color w:val="FFFFFF"/>
              </w:rPr>
              <w:t>Net Debt Outstanding</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160" w:type="dxa"/>
            <w:vAlign w:val="bottom"/>
          </w:tcPr>
          <w:p>
            <w:pPr>
              <w:jc w:val="right"/>
              <w:ind w:right="973"/>
              <w:spacing w:after="0" w:line="79" w:lineRule="exact"/>
              <w:rPr>
                <w:sz w:val="20"/>
                <w:szCs w:val="20"/>
                <w:color w:val="auto"/>
              </w:rPr>
            </w:pPr>
            <w:r>
              <w:rPr>
                <w:rFonts w:ascii="Arial" w:cs="Arial" w:eastAsia="Arial" w:hAnsi="Arial"/>
                <w:sz w:val="9"/>
                <w:szCs w:val="9"/>
                <w:color w:val="FFFFFF"/>
              </w:rPr>
              <w:t>5 0</w:t>
            </w: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60" w:type="dxa"/>
            <w:vAlign w:val="bottom"/>
          </w:tcPr>
          <w:p>
            <w:pPr>
              <w:jc w:val="right"/>
              <w:ind w:right="973"/>
              <w:spacing w:after="0" w:line="40" w:lineRule="exact"/>
              <w:rPr>
                <w:sz w:val="20"/>
                <w:szCs w:val="20"/>
                <w:color w:val="auto"/>
              </w:rPr>
            </w:pPr>
            <w:r>
              <w:rPr>
                <w:rFonts w:ascii="Arial" w:cs="Arial" w:eastAsia="Arial" w:hAnsi="Arial"/>
                <w:sz w:val="4"/>
                <w:szCs w:val="4"/>
                <w:color w:val="FFFFFF"/>
              </w:rPr>
              <w:t>5</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jc w:val="right"/>
              <w:ind w:right="973"/>
              <w:spacing w:after="0" w:line="40" w:lineRule="exact"/>
              <w:rPr>
                <w:sz w:val="20"/>
                <w:szCs w:val="20"/>
                <w:color w:val="auto"/>
              </w:rPr>
            </w:pPr>
            <w:r>
              <w:rPr>
                <w:rFonts w:ascii="Arial" w:cs="Arial" w:eastAsia="Arial" w:hAnsi="Arial"/>
                <w:sz w:val="4"/>
                <w:szCs w:val="4"/>
                <w:color w:val="FFFFFF"/>
              </w:rPr>
              <w:t>4 0</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jc w:val="right"/>
              <w:ind w:right="973"/>
              <w:spacing w:after="0" w:line="40" w:lineRule="exact"/>
              <w:rPr>
                <w:sz w:val="20"/>
                <w:szCs w:val="20"/>
                <w:color w:val="auto"/>
              </w:rPr>
            </w:pPr>
            <w:r>
              <w:rPr>
                <w:rFonts w:ascii="Arial" w:cs="Arial" w:eastAsia="Arial" w:hAnsi="Arial"/>
                <w:sz w:val="4"/>
                <w:szCs w:val="4"/>
                <w:color w:val="FFFFFF"/>
              </w:rPr>
              <w:t>5</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jc w:val="right"/>
              <w:ind w:right="973"/>
              <w:spacing w:after="0" w:line="40" w:lineRule="exact"/>
              <w:rPr>
                <w:sz w:val="20"/>
                <w:szCs w:val="20"/>
                <w:color w:val="auto"/>
              </w:rPr>
            </w:pPr>
            <w:r>
              <w:rPr>
                <w:rFonts w:ascii="Arial" w:cs="Arial" w:eastAsia="Arial" w:hAnsi="Arial"/>
                <w:sz w:val="4"/>
                <w:szCs w:val="4"/>
                <w:color w:val="FFFFFF"/>
              </w:rPr>
              <w:t>3 0</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jc w:val="right"/>
              <w:ind w:right="973"/>
              <w:spacing w:after="0" w:line="40" w:lineRule="exact"/>
              <w:rPr>
                <w:sz w:val="20"/>
                <w:szCs w:val="20"/>
                <w:color w:val="auto"/>
              </w:rPr>
            </w:pPr>
            <w:r>
              <w:rPr>
                <w:rFonts w:ascii="Arial" w:cs="Arial" w:eastAsia="Arial" w:hAnsi="Arial"/>
                <w:sz w:val="4"/>
                <w:szCs w:val="4"/>
                <w:color w:val="FFFFFF"/>
              </w:rPr>
              <w:t>5</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spacing w:after="0" w:line="40" w:lineRule="exact"/>
              <w:rPr>
                <w:sz w:val="20"/>
                <w:szCs w:val="20"/>
                <w:color w:val="auto"/>
              </w:rPr>
            </w:pPr>
            <w:r>
              <w:rPr>
                <w:rFonts w:ascii="Arial" w:cs="Arial" w:eastAsia="Arial" w:hAnsi="Arial"/>
                <w:sz w:val="4"/>
                <w:szCs w:val="4"/>
                <w:color w:val="FFFFFF"/>
              </w:rPr>
              <w:t>2.00x</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60" w:type="dxa"/>
            <w:vAlign w:val="bottom"/>
          </w:tcPr>
          <w:p>
            <w:pPr>
              <w:spacing w:after="0" w:line="40" w:lineRule="exact"/>
              <w:rPr>
                <w:sz w:val="20"/>
                <w:szCs w:val="20"/>
                <w:color w:val="auto"/>
              </w:rPr>
            </w:pPr>
            <w:r>
              <w:rPr>
                <w:rFonts w:ascii="Arial" w:cs="Arial" w:eastAsia="Arial" w:hAnsi="Arial"/>
                <w:sz w:val="4"/>
                <w:szCs w:val="4"/>
                <w:color w:val="FFFFFF"/>
              </w:rPr>
              <w:t>Leverage</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60" w:type="dxa"/>
            <w:vAlign w:val="bottom"/>
            <w:gridSpan w:val="2"/>
          </w:tcPr>
          <w:p>
            <w:pPr>
              <w:spacing w:after="0" w:line="40" w:lineRule="exact"/>
              <w:rPr>
                <w:sz w:val="20"/>
                <w:szCs w:val="20"/>
                <w:color w:val="auto"/>
              </w:rPr>
            </w:pPr>
            <w:r>
              <w:rPr>
                <w:rFonts w:ascii="Arial" w:cs="Arial" w:eastAsia="Arial" w:hAnsi="Arial"/>
                <w:sz w:val="4"/>
                <w:szCs w:val="4"/>
                <w:color w:val="FFFFFF"/>
              </w:rPr>
              <w:t>YE 2015 2016 2017 2018</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60" w:type="dxa"/>
            <w:vAlign w:val="bottom"/>
            <w:gridSpan w:val="2"/>
          </w:tcPr>
          <w:p>
            <w:pPr>
              <w:spacing w:after="0" w:line="40" w:lineRule="exact"/>
              <w:rPr>
                <w:sz w:val="20"/>
                <w:szCs w:val="20"/>
                <w:color w:val="auto"/>
              </w:rPr>
            </w:pPr>
            <w:r>
              <w:rPr>
                <w:rFonts w:ascii="Arial" w:cs="Arial" w:eastAsia="Arial" w:hAnsi="Arial"/>
                <w:sz w:val="4"/>
                <w:szCs w:val="4"/>
                <w:color w:val="FFFFFF"/>
              </w:rPr>
              <w:t>No es Term Loan Leverage</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160" w:type="dxa"/>
            <w:vAlign w:val="bottom"/>
          </w:tcPr>
          <w:p>
            <w:pPr>
              <w:spacing w:after="0" w:line="78" w:lineRule="exact"/>
              <w:rPr>
                <w:sz w:val="20"/>
                <w:szCs w:val="20"/>
                <w:color w:val="auto"/>
              </w:rPr>
            </w:pPr>
            <w:r>
              <w:rPr>
                <w:rFonts w:ascii="Arial" w:cs="Arial" w:eastAsia="Arial" w:hAnsi="Arial"/>
                <w:sz w:val="8"/>
                <w:szCs w:val="8"/>
                <w:color w:val="FFFFFF"/>
              </w:rPr>
              <w:t>Institutional focus</w:t>
            </w:r>
          </w:p>
        </w:tc>
        <w:tc>
          <w:tcPr>
            <w:tcW w:w="900" w:type="dxa"/>
            <w:vAlign w:val="bottom"/>
            <w:gridSpan w:val="3"/>
          </w:tcPr>
          <w:p>
            <w:pPr>
              <w:jc w:val="right"/>
              <w:ind w:right="196"/>
              <w:spacing w:after="0" w:line="78" w:lineRule="exact"/>
              <w:rPr>
                <w:sz w:val="20"/>
                <w:szCs w:val="20"/>
                <w:color w:val="auto"/>
              </w:rPr>
            </w:pPr>
            <w:r>
              <w:rPr>
                <w:rFonts w:ascii="Arial" w:cs="Arial" w:eastAsia="Arial" w:hAnsi="Arial"/>
                <w:sz w:val="8"/>
                <w:szCs w:val="8"/>
                <w:color w:val="FFFFFF"/>
              </w:rPr>
              <w:t>deleveraging</w:t>
            </w: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tabs>
          <w:tab w:leader="none" w:pos="660" w:val="left"/>
        </w:tabs>
        <w:rPr>
          <w:sz w:val="20"/>
          <w:szCs w:val="20"/>
          <w:color w:val="auto"/>
        </w:rPr>
      </w:pPr>
      <w:r>
        <w:rPr>
          <w:rFonts w:ascii="Arial" w:cs="Arial" w:eastAsia="Arial" w:hAnsi="Arial"/>
          <w:sz w:val="1"/>
          <w:szCs w:val="1"/>
          <w:color w:val="FFFFFF"/>
          <w:vertAlign w:val="superscript"/>
        </w:rPr>
        <w:t>Free</w:t>
      </w:r>
      <w:r>
        <w:rPr>
          <w:sz w:val="20"/>
          <w:szCs w:val="20"/>
          <w:color w:val="auto"/>
        </w:rPr>
        <w:tab/>
      </w:r>
      <w:r>
        <w:rPr>
          <w:rFonts w:ascii="Arial" w:cs="Arial" w:eastAsia="Arial" w:hAnsi="Arial"/>
          <w:sz w:val="1"/>
          <w:szCs w:val="1"/>
          <w:color w:val="FFFFFF"/>
        </w:rPr>
        <w:t>provisions</w:t>
      </w:r>
    </w:p>
    <w:p>
      <w:pPr>
        <w:ind w:left="80"/>
        <w:spacing w:after="0" w:line="182" w:lineRule="auto"/>
        <w:rPr>
          <w:sz w:val="20"/>
          <w:szCs w:val="20"/>
          <w:color w:val="auto"/>
        </w:rPr>
      </w:pPr>
      <w:r>
        <w:rPr>
          <w:rFonts w:ascii="Arial" w:cs="Arial" w:eastAsia="Arial" w:hAnsi="Arial"/>
          <w:sz w:val="9"/>
          <w:szCs w:val="9"/>
          <w:color w:val="FFFFFF"/>
        </w:rPr>
        <w:t>lexiblecashcallflow will be directed&amp;ratingsto debtincreasesrepaymentcanspeed up deleveraging</w:t>
      </w:r>
    </w:p>
    <w:p>
      <w:pPr>
        <w:spacing w:after="0" w:line="205" w:lineRule="auto"/>
        <w:rPr>
          <w:sz w:val="20"/>
          <w:szCs w:val="20"/>
          <w:color w:val="auto"/>
        </w:rPr>
      </w:pPr>
      <w:r>
        <w:rPr>
          <w:rFonts w:ascii="Arial" w:cs="Arial" w:eastAsia="Arial" w:hAnsi="Arial"/>
          <w:sz w:val="4"/>
          <w:szCs w:val="4"/>
          <w:color w:val="FFFFFF"/>
        </w:rPr>
        <w:t>www.nninc.comWithnoEBITDA growth we are still less than 3.5x levered at that end of 2018.</w:t>
      </w:r>
    </w:p>
    <w:p>
      <w:pPr>
        <w:spacing w:after="0"/>
        <w:rPr>
          <w:sz w:val="20"/>
          <w:szCs w:val="20"/>
          <w:color w:val="auto"/>
        </w:rPr>
      </w:pPr>
      <w:r>
        <w:rPr>
          <w:rFonts w:ascii="Arial" w:cs="Arial" w:eastAsia="Arial" w:hAnsi="Arial"/>
          <w:sz w:val="13"/>
          <w:szCs w:val="13"/>
          <w:color w:val="FFFFFF"/>
        </w:rPr>
        <w:t>53</w:t>
      </w:r>
    </w:p>
    <w:p>
      <w:pPr>
        <w:sectPr>
          <w:pgSz w:w="11900" w:h="16838" w:orient="portrait"/>
          <w:cols w:equalWidth="0" w:num="1">
            <w:col w:w="10219"/>
          </w:cols>
          <w:pgMar w:left="2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Correct</w:t>
      </w:r>
      <w:r>
        <w:rPr>
          <w:rFonts w:ascii="Arial" w:cs="Arial" w:eastAsia="Arial" w:hAnsi="Arial"/>
          <w:sz w:val="13"/>
          <w:szCs w:val="13"/>
          <w:color w:val="FFFFFF"/>
        </w:rPr>
        <w:t>apital StructureCap</w:t>
      </w:r>
      <w:r>
        <w:rPr>
          <w:rFonts w:ascii="Arial" w:cs="Arial" w:eastAsia="Arial" w:hAnsi="Arial"/>
          <w:sz w:val="26"/>
          <w:szCs w:val="26"/>
          <w:color w:val="FFFFFF"/>
          <w:vertAlign w:val="subscript"/>
        </w:rPr>
        <w:t>pricing</w:t>
      </w:r>
      <w:r>
        <w:rPr>
          <w:rFonts w:ascii="Arial" w:cs="Arial" w:eastAsia="Arial" w:hAnsi="Arial"/>
          <w:sz w:val="13"/>
          <w:szCs w:val="13"/>
          <w:color w:val="FFFFFF"/>
        </w:rPr>
        <w:t>talStructureSummary</w:t>
      </w:r>
    </w:p>
    <w:p>
      <w:pPr>
        <w:spacing w:after="0" w:line="182" w:lineRule="auto"/>
        <w:rPr>
          <w:sz w:val="20"/>
          <w:szCs w:val="20"/>
          <w:color w:val="auto"/>
        </w:rPr>
      </w:pPr>
      <w:r>
        <w:rPr>
          <w:rFonts w:ascii="Arial" w:cs="Arial" w:eastAsia="Arial" w:hAnsi="Arial"/>
          <w:sz w:val="9"/>
          <w:szCs w:val="9"/>
          <w:color w:val="FFFFFF"/>
        </w:rPr>
        <w:t>FlexibleDespite RepricingbeingProvisionswideof expectations, this structure allows for maximum flexibility</w:t>
      </w:r>
    </w:p>
    <w:p>
      <w:pPr>
        <w:spacing w:after="0" w:line="182" w:lineRule="auto"/>
        <w:rPr>
          <w:sz w:val="20"/>
          <w:szCs w:val="20"/>
          <w:color w:val="auto"/>
        </w:rPr>
      </w:pPr>
      <w:r>
        <w:rPr>
          <w:rFonts w:ascii="Arial" w:cs="Arial" w:eastAsia="Arial" w:hAnsi="Arial"/>
          <w:sz w:val="9"/>
          <w:szCs w:val="9"/>
          <w:color w:val="FFFFFF"/>
        </w:rPr>
        <w:t>MoreSoftcallto theoptionsstorybegin in April 2016</w:t>
      </w:r>
    </w:p>
    <w:p>
      <w:pPr>
        <w:spacing w:after="0" w:line="205" w:lineRule="auto"/>
        <w:rPr>
          <w:sz w:val="20"/>
          <w:szCs w:val="20"/>
          <w:color w:val="auto"/>
        </w:rPr>
      </w:pPr>
      <w:r>
        <w:rPr>
          <w:rFonts w:ascii="Arial" w:cs="Arial" w:eastAsia="Arial" w:hAnsi="Arial"/>
          <w:sz w:val="4"/>
          <w:szCs w:val="4"/>
          <w:color w:val="FFFFFF"/>
        </w:rPr>
        <w:t>PowerOurdebtof serviceFreeCashcoverageFlow is better today than post the Autocam acquisition</w:t>
      </w:r>
    </w:p>
    <w:p>
      <w:pPr>
        <w:spacing w:after="0" w:line="182" w:lineRule="auto"/>
        <w:rPr>
          <w:sz w:val="20"/>
          <w:szCs w:val="20"/>
          <w:color w:val="auto"/>
        </w:rPr>
      </w:pPr>
      <w:r>
        <w:rPr>
          <w:rFonts w:ascii="Arial" w:cs="Arial" w:eastAsia="Arial" w:hAnsi="Arial"/>
          <w:sz w:val="7"/>
          <w:szCs w:val="7"/>
          <w:color w:val="FFFFFF"/>
        </w:rPr>
        <w:t>Significant free cash flow</w:t>
      </w:r>
      <w:r>
        <w:rPr>
          <w:rFonts w:ascii="Arial" w:cs="Arial" w:eastAsia="Arial" w:hAnsi="Arial"/>
          <w:sz w:val="9"/>
          <w:szCs w:val="9"/>
          <w:color w:val="FFFFFF"/>
          <w:vertAlign w:val="subscript"/>
        </w:rPr>
        <w:t>management</w:t>
      </w:r>
      <w:r>
        <w:rPr>
          <w:rFonts w:ascii="Arial" w:cs="Arial" w:eastAsia="Arial" w:hAnsi="Arial"/>
          <w:sz w:val="7"/>
          <w:szCs w:val="7"/>
          <w:color w:val="FFFFFF"/>
        </w:rPr>
        <w:t>llowsus to deleverage in less than 3 years</w:t>
      </w:r>
    </w:p>
    <w:p>
      <w:pPr>
        <w:spacing w:after="0" w:line="206" w:lineRule="auto"/>
        <w:tabs>
          <w:tab w:leader="none" w:pos="1840" w:val="left"/>
        </w:tabs>
        <w:rPr>
          <w:sz w:val="20"/>
          <w:szCs w:val="20"/>
          <w:color w:val="auto"/>
        </w:rPr>
      </w:pPr>
      <w:r>
        <w:rPr>
          <w:rFonts w:ascii="Arial" w:cs="Arial" w:eastAsia="Arial" w:hAnsi="Arial"/>
          <w:sz w:val="4"/>
          <w:szCs w:val="4"/>
          <w:color w:val="FFFFFF"/>
        </w:rPr>
        <w:t>www.nninc.comContinuousproactive</w:t>
      </w:r>
      <w:r>
        <w:rPr>
          <w:sz w:val="20"/>
          <w:szCs w:val="20"/>
          <w:color w:val="auto"/>
        </w:rPr>
        <w:tab/>
      </w:r>
      <w:r>
        <w:rPr>
          <w:rFonts w:ascii="Arial" w:cs="Arial" w:eastAsia="Arial" w:hAnsi="Arial"/>
          <w:sz w:val="4"/>
          <w:szCs w:val="4"/>
          <w:color w:val="FFFFFF"/>
        </w:rPr>
        <w:t>of the capital structure</w:t>
      </w:r>
    </w:p>
    <w:p>
      <w:pPr>
        <w:spacing w:after="0"/>
        <w:rPr>
          <w:sz w:val="20"/>
          <w:szCs w:val="20"/>
          <w:color w:val="auto"/>
        </w:rPr>
      </w:pPr>
      <w:r>
        <w:rPr>
          <w:rFonts w:ascii="Arial" w:cs="Arial" w:eastAsia="Arial" w:hAnsi="Arial"/>
          <w:sz w:val="13"/>
          <w:szCs w:val="13"/>
          <w:color w:val="FFFFFF"/>
        </w:rPr>
        <w:t>54</w:t>
      </w:r>
    </w:p>
    <w:p>
      <w:pPr>
        <w:sectPr>
          <w:pgSz w:w="11900" w:h="16838" w:orient="portrait"/>
          <w:cols w:equalWidth="0" w:num="1">
            <w:col w:w="10219"/>
          </w:cols>
          <w:pgMar w:left="24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Financial Performance</w:t>
      </w:r>
    </w:p>
    <w:p>
      <w:pPr>
        <w:sectPr>
          <w:pgSz w:w="11900" w:h="16838" w:orient="portrait"/>
          <w:cols w:equalWidth="0" w:num="1">
            <w:col w:w="10219"/>
          </w:cols>
          <w:pgMar w:left="240" w:top="1440"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In2014Millions–Road to $800 Million</w:t>
      </w:r>
    </w:p>
    <w:p>
      <w:pPr>
        <w:ind w:left="80"/>
        <w:spacing w:after="0" w:line="182" w:lineRule="auto"/>
        <w:rPr>
          <w:sz w:val="20"/>
          <w:szCs w:val="20"/>
          <w:color w:val="auto"/>
        </w:rPr>
      </w:pPr>
      <w:r>
        <w:rPr>
          <w:rFonts w:ascii="Arial" w:cs="Arial" w:eastAsia="Arial" w:hAnsi="Arial"/>
          <w:sz w:val="7"/>
          <w:szCs w:val="7"/>
          <w:color w:val="FFFFFF"/>
        </w:rPr>
        <w:t>900</w:t>
      </w:r>
      <w:r>
        <w:rPr>
          <w:rFonts w:ascii="Arial" w:cs="Arial" w:eastAsia="Arial" w:hAnsi="Arial"/>
          <w:sz w:val="9"/>
          <w:szCs w:val="9"/>
          <w:color w:val="FFFFFF"/>
          <w:vertAlign w:val="subscript"/>
        </w:rPr>
        <w:t>260 $800</w:t>
      </w:r>
      <w:r>
        <w:rPr>
          <w:rFonts w:ascii="Arial" w:cs="Arial" w:eastAsia="Arial" w:hAnsi="Arial"/>
          <w:sz w:val="7"/>
          <w:szCs w:val="7"/>
          <w:color w:val="FFFFFF"/>
        </w:rPr>
        <w:t xml:space="preserve"> $700 $600 $500 $400 $300 $200 $100 $0</w:t>
      </w:r>
    </w:p>
    <w:p>
      <w:pPr>
        <w:spacing w:after="0" w:line="182" w:lineRule="auto"/>
        <w:rPr>
          <w:sz w:val="20"/>
          <w:szCs w:val="20"/>
          <w:color w:val="auto"/>
        </w:rPr>
      </w:pPr>
      <w:r>
        <w:rPr>
          <w:rFonts w:ascii="Arial" w:cs="Arial" w:eastAsia="Arial" w:hAnsi="Arial"/>
          <w:sz w:val="9"/>
          <w:szCs w:val="9"/>
          <w:color w:val="FFFFFF"/>
        </w:rPr>
        <w:t>$9060 $17 $373</w:t>
      </w:r>
    </w:p>
    <w:p>
      <w:pPr>
        <w:ind w:right="3799"/>
        <w:spacing w:after="0" w:line="204" w:lineRule="auto"/>
        <w:rPr>
          <w:sz w:val="20"/>
          <w:szCs w:val="20"/>
          <w:color w:val="auto"/>
        </w:rPr>
      </w:pPr>
      <w:r>
        <w:rPr>
          <w:rFonts w:ascii="Arial" w:cs="Arial" w:eastAsia="Arial" w:hAnsi="Arial"/>
          <w:sz w:val="8"/>
          <w:szCs w:val="8"/>
          <w:color w:val="FFFFFF"/>
        </w:rPr>
        <w:t>2013 Base European Organic Adjacent Acquistion 2018 Strategic Market Growth Market Revenue Plan Recovery Growth Completed four acquisitions including Autocam</w:t>
      </w:r>
    </w:p>
    <w:p>
      <w:pPr>
        <w:spacing w:after="0" w:line="183" w:lineRule="auto"/>
        <w:rPr>
          <w:sz w:val="20"/>
          <w:szCs w:val="20"/>
          <w:color w:val="auto"/>
        </w:rPr>
      </w:pPr>
      <w:r>
        <w:rPr>
          <w:rFonts w:ascii="Arial" w:cs="Arial" w:eastAsia="Arial" w:hAnsi="Arial"/>
          <w:sz w:val="9"/>
          <w:szCs w:val="9"/>
          <w:color w:val="FFFFFF"/>
        </w:rPr>
        <w:t>Grew the legacy business ~8%</w:t>
      </w:r>
    </w:p>
    <w:p>
      <w:pPr>
        <w:spacing w:after="0" w:line="205" w:lineRule="auto"/>
        <w:rPr>
          <w:sz w:val="20"/>
          <w:szCs w:val="20"/>
          <w:color w:val="auto"/>
        </w:rPr>
      </w:pPr>
      <w:r>
        <w:rPr>
          <w:rFonts w:ascii="Arial" w:cs="Arial" w:eastAsia="Arial" w:hAnsi="Arial"/>
          <w:sz w:val="4"/>
          <w:szCs w:val="4"/>
          <w:color w:val="FFFFFF"/>
        </w:rPr>
        <w:t>www.nninc.comAheadofplanentering 2015</w:t>
      </w:r>
    </w:p>
    <w:p>
      <w:pPr>
        <w:spacing w:after="0"/>
        <w:rPr>
          <w:sz w:val="20"/>
          <w:szCs w:val="20"/>
          <w:color w:val="auto"/>
        </w:rPr>
      </w:pPr>
      <w:r>
        <w:rPr>
          <w:rFonts w:ascii="Arial" w:cs="Arial" w:eastAsia="Arial" w:hAnsi="Arial"/>
          <w:sz w:val="13"/>
          <w:szCs w:val="13"/>
          <w:color w:val="FFFFFF"/>
        </w:rPr>
        <w:t>56</w:t>
      </w:r>
    </w:p>
    <w:p>
      <w:pPr>
        <w:sectPr>
          <w:pgSz w:w="11900" w:h="16838" w:orient="portrait"/>
          <w:cols w:equalWidth="0" w:num="1">
            <w:col w:w="10219"/>
          </w:cols>
          <w:pgMar w:left="240" w:top="1440"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InRoadMillionsto$1 Billion</w:t>
      </w:r>
    </w:p>
    <w:p>
      <w:pPr>
        <w:ind w:left="80"/>
        <w:spacing w:after="0" w:line="204" w:lineRule="auto"/>
        <w:rPr>
          <w:sz w:val="20"/>
          <w:szCs w:val="20"/>
          <w:color w:val="auto"/>
        </w:rPr>
      </w:pPr>
      <w:r>
        <w:rPr>
          <w:rFonts w:ascii="Arial" w:cs="Arial" w:eastAsia="Arial" w:hAnsi="Arial"/>
          <w:sz w:val="4"/>
          <w:szCs w:val="4"/>
          <w:color w:val="FFFFFF"/>
          <w:vertAlign w:val="superscript"/>
        </w:rPr>
        <w:t>1</w:t>
      </w:r>
    </w:p>
    <w:p>
      <w:pPr>
        <w:ind w:left="80"/>
        <w:spacing w:after="0" w:line="182" w:lineRule="auto"/>
        <w:rPr>
          <w:sz w:val="20"/>
          <w:szCs w:val="20"/>
          <w:color w:val="auto"/>
        </w:rPr>
      </w:pPr>
      <w:r>
        <w:rPr>
          <w:rFonts w:ascii="Arial" w:cs="Arial" w:eastAsia="Arial" w:hAnsi="Arial"/>
          <w:sz w:val="9"/>
          <w:szCs w:val="9"/>
          <w:color w:val="FFFFFF"/>
          <w:vertAlign w:val="subscript"/>
        </w:rPr>
        <w:t>666</w:t>
      </w:r>
      <w:r>
        <w:rPr>
          <w:rFonts w:ascii="Arial" w:cs="Arial" w:eastAsia="Arial" w:hAnsi="Arial"/>
          <w:sz w:val="7"/>
          <w:szCs w:val="7"/>
          <w:color w:val="FFFFFF"/>
        </w:rPr>
        <w:t>10,200$1,000$1,000$890$800 $600 $400 $200 $0</w:t>
      </w:r>
    </w:p>
    <w:p>
      <w:pPr>
        <w:spacing w:after="0" w:line="189" w:lineRule="auto"/>
        <w:rPr>
          <w:sz w:val="20"/>
          <w:szCs w:val="20"/>
          <w:color w:val="auto"/>
        </w:rPr>
      </w:pPr>
      <w:r>
        <w:rPr>
          <w:rFonts w:ascii="Arial" w:cs="Arial" w:eastAsia="Arial" w:hAnsi="Arial"/>
          <w:sz w:val="13"/>
          <w:szCs w:val="13"/>
          <w:color w:val="FFFFFF"/>
        </w:rPr>
        <w:t>$488373</w:t>
      </w:r>
    </w:p>
    <w:p>
      <w:pPr>
        <w:spacing w:after="0" w:line="207" w:lineRule="auto"/>
        <w:rPr>
          <w:sz w:val="20"/>
          <w:szCs w:val="20"/>
          <w:color w:val="auto"/>
        </w:rPr>
      </w:pPr>
      <w:r>
        <w:rPr>
          <w:rFonts w:ascii="Arial" w:cs="Arial" w:eastAsia="Arial" w:hAnsi="Arial"/>
          <w:sz w:val="4"/>
          <w:szCs w:val="4"/>
          <w:color w:val="FFFFFF"/>
        </w:rPr>
        <w:t>Focused2013Baseorganic2014 2015growth2016thatOrganicoutpaces2018ourStrategicendmarketsRevenue Revenue Guidance* Growth Plan</w:t>
      </w:r>
    </w:p>
    <w:p>
      <w:pPr>
        <w:spacing w:after="0" w:line="182" w:lineRule="auto"/>
        <w:rPr>
          <w:sz w:val="20"/>
          <w:szCs w:val="20"/>
          <w:color w:val="auto"/>
        </w:rPr>
      </w:pPr>
      <w:r>
        <w:rPr>
          <w:rFonts w:ascii="Arial" w:cs="Arial" w:eastAsia="Arial" w:hAnsi="Arial"/>
          <w:sz w:val="9"/>
          <w:szCs w:val="9"/>
          <w:color w:val="FFFFFF"/>
        </w:rPr>
        <w:t>Electrical, Medical and Aerospace segments positioned for higher growth</w:t>
      </w:r>
    </w:p>
    <w:p>
      <w:pPr>
        <w:spacing w:after="0" w:line="205" w:lineRule="auto"/>
        <w:rPr>
          <w:sz w:val="20"/>
          <w:szCs w:val="20"/>
          <w:color w:val="auto"/>
        </w:rPr>
      </w:pPr>
      <w:r>
        <w:rPr>
          <w:rFonts w:ascii="Arial" w:cs="Arial" w:eastAsia="Arial" w:hAnsi="Arial"/>
          <w:sz w:val="4"/>
          <w:szCs w:val="4"/>
          <w:color w:val="FFFFFF"/>
        </w:rPr>
        <w:t>www.nninc.comAcquisitionswill be focused on tuck-ins &amp; product extensions</w:t>
      </w:r>
    </w:p>
    <w:p>
      <w:pPr>
        <w:spacing w:after="0"/>
        <w:rPr>
          <w:sz w:val="20"/>
          <w:szCs w:val="20"/>
          <w:color w:val="auto"/>
        </w:rPr>
      </w:pPr>
      <w:r>
        <w:rPr>
          <w:rFonts w:ascii="Arial" w:cs="Arial" w:eastAsia="Arial" w:hAnsi="Arial"/>
          <w:sz w:val="13"/>
          <w:szCs w:val="13"/>
          <w:color w:val="FFFFFF"/>
        </w:rPr>
        <w:t>57 *Based on mid-point of 2016 guidance</w:t>
      </w:r>
    </w:p>
    <w:p>
      <w:pPr>
        <w:sectPr>
          <w:pgSz w:w="11900" w:h="16838" w:orient="portrait"/>
          <w:cols w:equalWidth="0" w:num="1">
            <w:col w:w="10219"/>
          </w:cols>
          <w:pgMar w:left="240" w:top="1440" w:right="1440"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2013—2018 Strategic Targets</w:t>
      </w:r>
    </w:p>
    <w:p>
      <w:pPr>
        <w:spacing w:after="0" w:line="182" w:lineRule="auto"/>
        <w:rPr>
          <w:sz w:val="20"/>
          <w:szCs w:val="20"/>
          <w:color w:val="auto"/>
        </w:rPr>
      </w:pPr>
      <w:r>
        <w:rPr>
          <w:rFonts w:ascii="Arial" w:cs="Arial" w:eastAsia="Arial" w:hAnsi="Arial"/>
          <w:sz w:val="9"/>
          <w:szCs w:val="9"/>
          <w:color w:val="FFFFFF"/>
        </w:rPr>
        <w:t>EPS CAGR</w:t>
      </w:r>
    </w:p>
    <w:p>
      <w:pPr>
        <w:spacing w:after="0" w:line="205" w:lineRule="auto"/>
        <w:rPr>
          <w:sz w:val="20"/>
          <w:szCs w:val="20"/>
          <w:color w:val="auto"/>
        </w:rPr>
      </w:pPr>
      <w:r>
        <w:rPr>
          <w:rFonts w:ascii="Arial" w:cs="Arial" w:eastAsia="Arial" w:hAnsi="Arial"/>
          <w:sz w:val="4"/>
          <w:szCs w:val="4"/>
          <w:color w:val="FFFFFF"/>
        </w:rPr>
        <w:t>ROICSalesCAGR</w:t>
      </w:r>
    </w:p>
    <w:p>
      <w:pPr>
        <w:spacing w:after="0" w:line="205" w:lineRule="auto"/>
        <w:rPr>
          <w:sz w:val="20"/>
          <w:szCs w:val="20"/>
          <w:color w:val="auto"/>
        </w:rPr>
      </w:pPr>
      <w:r>
        <w:rPr>
          <w:rFonts w:ascii="Arial" w:cs="Arial" w:eastAsia="Arial" w:hAnsi="Arial"/>
          <w:sz w:val="4"/>
          <w:szCs w:val="4"/>
          <w:color w:val="FFFFFF"/>
          <w:vertAlign w:val="superscript"/>
        </w:rPr>
        <w:t>22%</w:t>
      </w:r>
      <w:r>
        <w:rPr>
          <w:rFonts w:ascii="Arial" w:cs="Arial" w:eastAsia="Arial" w:hAnsi="Arial"/>
          <w:sz w:val="2"/>
          <w:szCs w:val="2"/>
          <w:color w:val="FFFFFF"/>
        </w:rPr>
        <w:t>3 Gross Margin</w:t>
      </w:r>
    </w:p>
    <w:p>
      <w:pPr>
        <w:spacing w:after="0" w:line="205" w:lineRule="auto"/>
        <w:rPr>
          <w:sz w:val="20"/>
          <w:szCs w:val="20"/>
          <w:color w:val="auto"/>
        </w:rPr>
      </w:pPr>
      <w:r>
        <w:rPr>
          <w:rFonts w:ascii="Arial" w:cs="Arial" w:eastAsia="Arial" w:hAnsi="Arial"/>
          <w:sz w:val="4"/>
          <w:szCs w:val="4"/>
          <w:color w:val="FFFFFF"/>
          <w:vertAlign w:val="superscript"/>
        </w:rPr>
        <w:t>18%</w:t>
      </w:r>
      <w:r>
        <w:rPr>
          <w:rFonts w:ascii="Arial" w:cs="Arial" w:eastAsia="Arial" w:hAnsi="Arial"/>
          <w:sz w:val="2"/>
          <w:szCs w:val="2"/>
          <w:color w:val="FFFFFF"/>
        </w:rPr>
        <w:t xml:space="preserve"> EBITDA Margin</w:t>
      </w:r>
    </w:p>
    <w:p>
      <w:pPr>
        <w:ind w:left="80"/>
        <w:spacing w:after="0" w:line="205" w:lineRule="auto"/>
        <w:rPr>
          <w:sz w:val="20"/>
          <w:szCs w:val="20"/>
          <w:color w:val="auto"/>
        </w:rPr>
      </w:pPr>
      <w:r>
        <w:rPr>
          <w:rFonts w:ascii="Arial" w:cs="Arial" w:eastAsia="Arial" w:hAnsi="Arial"/>
          <w:sz w:val="4"/>
          <w:szCs w:val="4"/>
          <w:color w:val="FFFFFF"/>
          <w:vertAlign w:val="superscript"/>
        </w:rPr>
        <w:t>6%</w:t>
      </w:r>
      <w:r>
        <w:rPr>
          <w:rFonts w:ascii="Arial" w:cs="Arial" w:eastAsia="Arial" w:hAnsi="Arial"/>
          <w:sz w:val="2"/>
          <w:szCs w:val="2"/>
          <w:color w:val="FFFFFF"/>
        </w:rPr>
        <w:t xml:space="preserve"> Operating Margin*</w:t>
      </w:r>
    </w:p>
    <w:p>
      <w:pPr>
        <w:spacing w:after="0" w:line="205" w:lineRule="auto"/>
        <w:rPr>
          <w:sz w:val="20"/>
          <w:szCs w:val="20"/>
          <w:color w:val="auto"/>
        </w:rPr>
      </w:pPr>
      <w:r>
        <w:rPr>
          <w:rFonts w:ascii="Arial" w:cs="Arial" w:eastAsia="Arial" w:hAnsi="Arial"/>
          <w:sz w:val="4"/>
          <w:szCs w:val="4"/>
          <w:color w:val="FFFFFF"/>
        </w:rPr>
        <w:t>20%</w:t>
      </w:r>
    </w:p>
    <w:p>
      <w:pPr>
        <w:spacing w:after="0" w:line="182" w:lineRule="auto"/>
        <w:rPr>
          <w:sz w:val="20"/>
          <w:szCs w:val="20"/>
          <w:color w:val="auto"/>
        </w:rPr>
      </w:pPr>
      <w:r>
        <w:rPr>
          <w:rFonts w:ascii="Arial" w:cs="Arial" w:eastAsia="Arial" w:hAnsi="Arial"/>
          <w:sz w:val="9"/>
          <w:szCs w:val="9"/>
          <w:color w:val="FFFFFF"/>
        </w:rPr>
        <w:t>13%</w:t>
      </w:r>
    </w:p>
    <w:p>
      <w:pPr>
        <w:spacing w:after="0" w:line="205" w:lineRule="auto"/>
        <w:rPr>
          <w:sz w:val="20"/>
          <w:szCs w:val="20"/>
          <w:color w:val="auto"/>
        </w:rPr>
      </w:pPr>
      <w:r>
        <w:rPr>
          <w:rFonts w:ascii="Arial" w:cs="Arial" w:eastAsia="Arial" w:hAnsi="Arial"/>
          <w:sz w:val="4"/>
          <w:szCs w:val="4"/>
          <w:color w:val="FFFFFF"/>
        </w:rPr>
        <w:t>www.nninc.com-16%</w:t>
      </w:r>
    </w:p>
    <w:p>
      <w:pPr>
        <w:spacing w:after="0"/>
        <w:rPr>
          <w:sz w:val="20"/>
          <w:szCs w:val="20"/>
          <w:color w:val="auto"/>
        </w:rPr>
      </w:pPr>
      <w:r>
        <w:rPr>
          <w:rFonts w:ascii="Arial" w:cs="Arial" w:eastAsia="Arial" w:hAnsi="Arial"/>
          <w:sz w:val="12"/>
          <w:szCs w:val="12"/>
          <w:color w:val="FFFFFF"/>
        </w:rPr>
        <w:t>58 *Top to bottom of economic cycle range</w:t>
      </w:r>
    </w:p>
    <w:p>
      <w:pPr>
        <w:sectPr>
          <w:pgSz w:w="11900" w:h="16838" w:orient="portrait"/>
          <w:cols w:equalWidth="0" w:num="1">
            <w:col w:w="10219"/>
          </w:cols>
          <w:pgMar w:left="2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Sales Growth</w:t>
      </w:r>
    </w:p>
    <w:p>
      <w:pPr>
        <w:ind w:left="80"/>
        <w:spacing w:after="0" w:line="189" w:lineRule="auto"/>
        <w:rPr>
          <w:sz w:val="20"/>
          <w:szCs w:val="20"/>
          <w:color w:val="auto"/>
        </w:rPr>
      </w:pPr>
      <w:r>
        <w:rPr>
          <w:rFonts w:ascii="Arial" w:cs="Arial" w:eastAsia="Arial" w:hAnsi="Arial"/>
          <w:sz w:val="13"/>
          <w:szCs w:val="13"/>
          <w:color w:val="FFFFFF"/>
          <w:vertAlign w:val="subscript"/>
        </w:rPr>
        <w:t>1,000</w:t>
      </w:r>
      <w:r>
        <w:rPr>
          <w:rFonts w:ascii="Arial" w:cs="Arial" w:eastAsia="Arial" w:hAnsi="Arial"/>
          <w:sz w:val="8"/>
          <w:szCs w:val="8"/>
          <w:color w:val="FFFFFF"/>
        </w:rPr>
        <w:t>8902 $1,000 $800 $600 $400 $200 $0</w:t>
      </w:r>
    </w:p>
    <w:p>
      <w:pPr>
        <w:spacing w:after="0" w:line="182" w:lineRule="auto"/>
        <w:rPr>
          <w:sz w:val="20"/>
          <w:szCs w:val="20"/>
          <w:color w:val="auto"/>
        </w:rPr>
      </w:pPr>
      <w:r>
        <w:rPr>
          <w:rFonts w:ascii="Arial" w:cs="Arial" w:eastAsia="Arial" w:hAnsi="Arial"/>
          <w:sz w:val="9"/>
          <w:szCs w:val="9"/>
          <w:color w:val="FFFFFF"/>
        </w:rPr>
        <w:t>$667488</w:t>
      </w:r>
    </w:p>
    <w:p>
      <w:pPr>
        <w:spacing w:after="0" w:line="206" w:lineRule="auto"/>
        <w:rPr>
          <w:sz w:val="20"/>
          <w:szCs w:val="20"/>
          <w:color w:val="auto"/>
        </w:rPr>
      </w:pPr>
      <w:r>
        <w:rPr>
          <w:rFonts w:ascii="Arial" w:cs="Arial" w:eastAsia="Arial" w:hAnsi="Arial"/>
          <w:sz w:val="4"/>
          <w:szCs w:val="4"/>
          <w:color w:val="FFFFFF"/>
        </w:rPr>
        <w:t>2014 2015 2016* 2018 Target</w:t>
      </w:r>
    </w:p>
    <w:p>
      <w:pPr>
        <w:ind w:right="199"/>
        <w:spacing w:after="0" w:line="189" w:lineRule="auto"/>
        <w:rPr>
          <w:sz w:val="20"/>
          <w:szCs w:val="20"/>
          <w:color w:val="auto"/>
        </w:rPr>
      </w:pPr>
      <w:r>
        <w:rPr>
          <w:rFonts w:ascii="Arial" w:cs="Arial" w:eastAsia="Arial" w:hAnsi="Arial"/>
          <w:sz w:val="8"/>
          <w:szCs w:val="8"/>
          <w:color w:val="FFFFFF"/>
        </w:rPr>
        <w:t>PRECISION BEARING COMPONENTS AUTOCAM Precision Components Group PRECISION ENGINEERED PRODUCTS • Entered high growth medical and electrical markets in 2015 Continued growth in CAFE technologies drives gr</w:t>
      </w:r>
      <w:r>
        <w:rPr>
          <w:rFonts w:ascii="Arial" w:cs="Arial" w:eastAsia="Arial" w:hAnsi="Arial"/>
          <w:sz w:val="13"/>
          <w:szCs w:val="13"/>
          <w:color w:val="FFFFFF"/>
          <w:vertAlign w:val="subscript"/>
        </w:rPr>
        <w:t>outsourcing</w:t>
      </w:r>
      <w:r>
        <w:rPr>
          <w:rFonts w:ascii="Arial" w:cs="Arial" w:eastAsia="Arial" w:hAnsi="Arial"/>
          <w:sz w:val="8"/>
          <w:szCs w:val="8"/>
          <w:color w:val="FFFFFF"/>
        </w:rPr>
        <w:t>wthinto2018 and beyond</w:t>
      </w:r>
    </w:p>
    <w:p>
      <w:pPr>
        <w:spacing w:after="0" w:line="205" w:lineRule="auto"/>
        <w:rPr>
          <w:sz w:val="20"/>
          <w:szCs w:val="20"/>
          <w:color w:val="auto"/>
        </w:rPr>
      </w:pPr>
      <w:r>
        <w:rPr>
          <w:rFonts w:ascii="Arial" w:cs="Arial" w:eastAsia="Arial" w:hAnsi="Arial"/>
          <w:sz w:val="4"/>
          <w:szCs w:val="4"/>
          <w:color w:val="FFFFFF"/>
        </w:rPr>
        <w:t>www.nninc.comSteadygrowthin core business markets driven by</w:t>
      </w:r>
    </w:p>
    <w:p>
      <w:pPr>
        <w:spacing w:after="0"/>
        <w:rPr>
          <w:sz w:val="20"/>
          <w:szCs w:val="20"/>
          <w:color w:val="auto"/>
        </w:rPr>
      </w:pPr>
      <w:r>
        <w:rPr>
          <w:rFonts w:ascii="Arial" w:cs="Arial" w:eastAsia="Arial" w:hAnsi="Arial"/>
          <w:sz w:val="13"/>
          <w:szCs w:val="13"/>
          <w:color w:val="FFFFFF"/>
        </w:rPr>
        <w:t>59 *Based on mid-point of 2016 guidance</w:t>
      </w:r>
    </w:p>
    <w:p>
      <w:pPr>
        <w:sectPr>
          <w:pgSz w:w="11900" w:h="16838" w:orient="portrait"/>
          <w:cols w:equalWidth="0" w:num="1">
            <w:col w:w="10219"/>
          </w:cols>
          <w:pgMar w:left="240" w:top="1440" w:right="1440"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Adjusted Operating Margin</w:t>
      </w:r>
    </w:p>
    <w:p>
      <w:pPr>
        <w:ind w:left="80"/>
        <w:spacing w:after="0" w:line="204" w:lineRule="auto"/>
        <w:rPr>
          <w:sz w:val="20"/>
          <w:szCs w:val="20"/>
          <w:color w:val="auto"/>
        </w:rPr>
      </w:pPr>
      <w:r>
        <w:rPr>
          <w:rFonts w:ascii="Arial" w:cs="Arial" w:eastAsia="Arial" w:hAnsi="Arial"/>
          <w:sz w:val="4"/>
          <w:szCs w:val="4"/>
          <w:color w:val="FFFFFF"/>
          <w:vertAlign w:val="superscript"/>
        </w:rPr>
        <w:t>4</w:t>
      </w:r>
      <w:r>
        <w:rPr>
          <w:rFonts w:ascii="Arial" w:cs="Arial" w:eastAsia="Arial" w:hAnsi="Arial"/>
          <w:sz w:val="2"/>
          <w:szCs w:val="2"/>
          <w:color w:val="FFFFFF"/>
        </w:rPr>
        <w:t xml:space="preserve">6 </w:t>
      </w:r>
      <w:r>
        <w:rPr>
          <w:rFonts w:ascii="Arial" w:cs="Arial" w:eastAsia="Arial" w:hAnsi="Arial"/>
          <w:sz w:val="4"/>
          <w:szCs w:val="4"/>
          <w:color w:val="FFFFFF"/>
          <w:vertAlign w:val="superscript"/>
        </w:rPr>
        <w:t>0%</w:t>
      </w:r>
      <w:r>
        <w:rPr>
          <w:rFonts w:ascii="Arial" w:cs="Arial" w:eastAsia="Arial" w:hAnsi="Arial"/>
          <w:sz w:val="2"/>
          <w:szCs w:val="2"/>
          <w:color w:val="FFFFFF"/>
        </w:rPr>
        <w:t xml:space="preserve"> 14.0% 12.0% 10.0% 8.0% 6.0% 4.0% 2.0% 0.0%</w:t>
      </w:r>
    </w:p>
    <w:p>
      <w:pPr>
        <w:spacing w:after="0" w:line="182" w:lineRule="auto"/>
        <w:rPr>
          <w:sz w:val="20"/>
          <w:szCs w:val="20"/>
          <w:color w:val="auto"/>
        </w:rPr>
      </w:pPr>
      <w:r>
        <w:rPr>
          <w:rFonts w:ascii="Arial" w:cs="Arial" w:eastAsia="Arial" w:hAnsi="Arial"/>
          <w:sz w:val="9"/>
          <w:szCs w:val="9"/>
          <w:color w:val="FFFFFF"/>
        </w:rPr>
        <w:t>12.9%</w:t>
      </w:r>
    </w:p>
    <w:p>
      <w:pPr>
        <w:spacing w:after="0" w:line="206" w:lineRule="auto"/>
        <w:rPr>
          <w:sz w:val="20"/>
          <w:szCs w:val="20"/>
          <w:color w:val="auto"/>
        </w:rPr>
      </w:pPr>
      <w:r>
        <w:rPr>
          <w:rFonts w:ascii="Arial" w:cs="Arial" w:eastAsia="Arial" w:hAnsi="Arial"/>
          <w:sz w:val="2"/>
          <w:szCs w:val="2"/>
          <w:color w:val="FFFFFF"/>
        </w:rPr>
        <w:t>9</w:t>
      </w:r>
      <w:r>
        <w:rPr>
          <w:rFonts w:ascii="Arial" w:cs="Arial" w:eastAsia="Arial" w:hAnsi="Arial"/>
          <w:sz w:val="4"/>
          <w:szCs w:val="4"/>
          <w:color w:val="FFFFFF"/>
          <w:vertAlign w:val="subscript"/>
        </w:rPr>
        <w:t>.4%</w:t>
      </w:r>
      <w:r>
        <w:rPr>
          <w:rFonts w:ascii="Arial" w:cs="Arial" w:eastAsia="Arial" w:hAnsi="Arial"/>
          <w:sz w:val="2"/>
          <w:szCs w:val="2"/>
          <w:color w:val="FFFFFF"/>
        </w:rPr>
        <w:t>8%</w:t>
      </w:r>
    </w:p>
    <w:p>
      <w:pPr>
        <w:spacing w:after="0" w:line="205" w:lineRule="auto"/>
        <w:rPr>
          <w:sz w:val="20"/>
          <w:szCs w:val="20"/>
          <w:color w:val="auto"/>
        </w:rPr>
      </w:pPr>
      <w:r>
        <w:rPr>
          <w:rFonts w:ascii="Arial" w:cs="Arial" w:eastAsia="Arial" w:hAnsi="Arial"/>
          <w:sz w:val="4"/>
          <w:szCs w:val="4"/>
          <w:color w:val="FFFFFF"/>
        </w:rPr>
        <w:t>8</w:t>
      </w:r>
    </w:p>
    <w:p>
      <w:pPr>
        <w:ind w:right="3319"/>
        <w:spacing w:after="0"/>
        <w:rPr>
          <w:sz w:val="20"/>
          <w:szCs w:val="20"/>
          <w:color w:val="auto"/>
        </w:rPr>
      </w:pPr>
      <w:r>
        <w:rPr>
          <w:rFonts w:ascii="Arial" w:cs="Arial" w:eastAsia="Arial" w:hAnsi="Arial"/>
          <w:sz w:val="9"/>
          <w:szCs w:val="9"/>
          <w:color w:val="FFFFFF"/>
        </w:rPr>
        <w:t>2014 2015 2016* 2018 Target Base Continous Improvement / Synergies Manufacturing Rationalization End Market Diversification End market diversification</w:t>
      </w:r>
    </w:p>
    <w:p>
      <w:pPr>
        <w:spacing w:after="0" w:line="223" w:lineRule="auto"/>
        <w:rPr>
          <w:sz w:val="20"/>
          <w:szCs w:val="20"/>
          <w:color w:val="auto"/>
        </w:rPr>
      </w:pPr>
      <w:r>
        <w:rPr>
          <w:rFonts w:ascii="Arial" w:cs="Arial" w:eastAsia="Arial" w:hAnsi="Arial"/>
          <w:sz w:val="5"/>
          <w:szCs w:val="5"/>
          <w:color w:val="FFFFFF"/>
        </w:rPr>
        <w:t>SynergiesOperational efficiency driven by the NN Operating System</w:t>
      </w:r>
    </w:p>
    <w:p>
      <w:pPr>
        <w:spacing w:after="0" w:line="206"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60 *Based on mid-point of 2016 guidance</w:t>
      </w:r>
    </w:p>
    <w:p>
      <w:pPr>
        <w:sectPr>
          <w:pgSz w:w="11900" w:h="16838" w:orient="portrait"/>
          <w:cols w:equalWidth="0" w:num="1">
            <w:col w:w="10219"/>
          </w:cols>
          <w:pgMar w:left="24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gridSpan w:val="4"/>
          </w:tcPr>
          <w:p>
            <w:pPr>
              <w:spacing w:after="0"/>
              <w:rPr>
                <w:sz w:val="20"/>
                <w:szCs w:val="20"/>
                <w:color w:val="auto"/>
              </w:rPr>
            </w:pPr>
            <w:r>
              <w:rPr>
                <w:rFonts w:ascii="Arial" w:cs="Arial" w:eastAsia="Arial" w:hAnsi="Arial"/>
                <w:sz w:val="13"/>
                <w:szCs w:val="13"/>
                <w:color w:val="FFFFFF"/>
              </w:rPr>
              <w:t>Adjusted EBITDA Margin</w:t>
            </w:r>
          </w:p>
        </w:tc>
        <w:tc>
          <w:tcPr>
            <w:tcW w:w="0" w:type="dxa"/>
            <w:vAlign w:val="bottom"/>
          </w:tcPr>
          <w:p>
            <w:pPr>
              <w:spacing w:after="0"/>
              <w:rPr>
                <w:sz w:val="1"/>
                <w:szCs w:val="1"/>
                <w:color w:val="auto"/>
              </w:rPr>
            </w:pPr>
          </w:p>
        </w:tc>
      </w:tr>
      <w:tr>
        <w:trPr>
          <w:trHeight w:val="39"/>
        </w:trPr>
        <w:tc>
          <w:tcPr>
            <w:tcW w:w="16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20</w:t>
            </w:r>
          </w:p>
        </w:tc>
        <w:tc>
          <w:tcPr>
            <w:tcW w:w="2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0%</w:t>
            </w:r>
          </w:p>
        </w:tc>
        <w:tc>
          <w:tcPr>
            <w:tcW w:w="380" w:type="dxa"/>
            <w:vAlign w:val="bottom"/>
          </w:tcPr>
          <w:p>
            <w:pPr>
              <w:ind w:left="20"/>
              <w:spacing w:after="0" w:line="40" w:lineRule="exact"/>
              <w:rPr>
                <w:sz w:val="20"/>
                <w:szCs w:val="20"/>
                <w:color w:val="auto"/>
              </w:rPr>
            </w:pPr>
            <w:r>
              <w:rPr>
                <w:rFonts w:ascii="Arial" w:cs="Arial" w:eastAsia="Arial" w:hAnsi="Arial"/>
                <w:sz w:val="4"/>
                <w:szCs w:val="4"/>
                <w:color w:val="FFFFFF"/>
              </w:rPr>
              <w:t>20</w:t>
            </w:r>
          </w:p>
        </w:tc>
        <w:tc>
          <w:tcPr>
            <w:tcW w:w="6160" w:type="dxa"/>
            <w:vAlign w:val="bottom"/>
          </w:tcPr>
          <w:p>
            <w:pPr>
              <w:jc w:val="right"/>
              <w:ind w:right="3398"/>
              <w:spacing w:after="0" w:line="40" w:lineRule="exact"/>
              <w:rPr>
                <w:sz w:val="20"/>
                <w:szCs w:val="20"/>
                <w:color w:val="auto"/>
              </w:rPr>
            </w:pPr>
            <w:r>
              <w:rPr>
                <w:rFonts w:ascii="Arial" w:cs="Arial" w:eastAsia="Arial" w:hAnsi="Arial"/>
                <w:sz w:val="4"/>
                <w:szCs w:val="4"/>
                <w:color w:val="FFFFFF"/>
              </w:rPr>
              <w:t>18.0% 16.0% 14.0% 12.0% 10.0% 8.0% 6.0% 4.0%</w:t>
            </w:r>
          </w:p>
        </w:tc>
        <w:tc>
          <w:tcPr>
            <w:tcW w:w="0" w:type="dxa"/>
            <w:vAlign w:val="bottom"/>
          </w:tcPr>
          <w:p>
            <w:pPr>
              <w:spacing w:after="0" w:line="20" w:lineRule="exact"/>
              <w:rPr>
                <w:sz w:val="1"/>
                <w:szCs w:val="1"/>
                <w:color w:val="auto"/>
              </w:rPr>
            </w:pPr>
          </w:p>
        </w:tc>
      </w:tr>
      <w:tr>
        <w:trPr>
          <w:trHeight w:val="39"/>
        </w:trPr>
        <w:tc>
          <w:tcPr>
            <w:tcW w:w="16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80" w:type="dxa"/>
            <w:vAlign w:val="bottom"/>
          </w:tcPr>
          <w:p>
            <w:pPr>
              <w:ind w:left="20"/>
              <w:spacing w:after="0" w:line="40" w:lineRule="exact"/>
              <w:rPr>
                <w:sz w:val="20"/>
                <w:szCs w:val="20"/>
                <w:color w:val="auto"/>
              </w:rPr>
            </w:pPr>
            <w:r>
              <w:rPr>
                <w:rFonts w:ascii="Arial" w:cs="Arial" w:eastAsia="Arial" w:hAnsi="Arial"/>
                <w:sz w:val="4"/>
                <w:szCs w:val="4"/>
                <w:color w:val="FFFFFF"/>
              </w:rPr>
              <w:t>19.0%</w:t>
            </w:r>
          </w:p>
        </w:tc>
        <w:tc>
          <w:tcPr>
            <w:tcW w:w="6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0" w:type="dxa"/>
            <w:vAlign w:val="bottom"/>
          </w:tcPr>
          <w:p>
            <w:pPr>
              <w:jc w:val="right"/>
              <w:spacing w:after="0" w:line="40" w:lineRule="exact"/>
              <w:rPr>
                <w:sz w:val="20"/>
                <w:szCs w:val="20"/>
                <w:color w:val="auto"/>
              </w:rPr>
            </w:pPr>
            <w:r>
              <w:rPr>
                <w:rFonts w:ascii="Arial" w:cs="Arial" w:eastAsia="Arial" w:hAnsi="Arial"/>
                <w:sz w:val="4"/>
                <w:szCs w:val="4"/>
                <w:color w:val="FFFFFF"/>
              </w:rPr>
              <w:t>5</w:t>
            </w:r>
          </w:p>
        </w:tc>
        <w:tc>
          <w:tcPr>
            <w:tcW w:w="200" w:type="dxa"/>
            <w:vAlign w:val="bottom"/>
          </w:tcPr>
          <w:p>
            <w:pPr>
              <w:jc w:val="right"/>
              <w:spacing w:after="0" w:line="40" w:lineRule="exact"/>
              <w:rPr>
                <w:sz w:val="20"/>
                <w:szCs w:val="20"/>
                <w:color w:val="auto"/>
              </w:rPr>
            </w:pPr>
            <w:r>
              <w:rPr>
                <w:rFonts w:ascii="Arial" w:cs="Arial" w:eastAsia="Arial" w:hAnsi="Arial"/>
                <w:sz w:val="4"/>
                <w:szCs w:val="4"/>
                <w:color w:val="FFFFFF"/>
              </w:rPr>
              <w:t>7%</w:t>
            </w:r>
          </w:p>
        </w:tc>
        <w:tc>
          <w:tcPr>
            <w:tcW w:w="3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6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13.3%</w:t>
            </w:r>
          </w:p>
        </w:tc>
        <w:tc>
          <w:tcPr>
            <w:tcW w:w="380" w:type="dxa"/>
            <w:vAlign w:val="bottom"/>
          </w:tcPr>
          <w:p>
            <w:pPr>
              <w:spacing w:after="0"/>
              <w:rPr>
                <w:sz w:val="3"/>
                <w:szCs w:val="3"/>
                <w:color w:val="auto"/>
              </w:rPr>
            </w:pPr>
          </w:p>
        </w:tc>
        <w:tc>
          <w:tcPr>
            <w:tcW w:w="6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900" w:type="dxa"/>
            <w:vAlign w:val="bottom"/>
            <w:gridSpan w:val="4"/>
          </w:tcPr>
          <w:p>
            <w:pPr>
              <w:spacing w:after="0" w:line="40" w:lineRule="exact"/>
              <w:rPr>
                <w:sz w:val="20"/>
                <w:szCs w:val="20"/>
                <w:color w:val="auto"/>
              </w:rPr>
            </w:pPr>
            <w:r>
              <w:rPr>
                <w:rFonts w:ascii="Arial" w:cs="Arial" w:eastAsia="Arial" w:hAnsi="Arial"/>
                <w:sz w:val="4"/>
                <w:szCs w:val="4"/>
                <w:color w:val="FFFFFF"/>
              </w:rPr>
              <w:t>2014 2015 2016* 2018 T  get Base Continous Improvement / Synergies Manufacturing Rationalization End Market Diversification</w:t>
            </w:r>
          </w:p>
        </w:tc>
        <w:tc>
          <w:tcPr>
            <w:tcW w:w="0" w:type="dxa"/>
            <w:vAlign w:val="bottom"/>
          </w:tcPr>
          <w:p>
            <w:pPr>
              <w:spacing w:after="0" w:line="20" w:lineRule="exact"/>
              <w:rPr>
                <w:sz w:val="1"/>
                <w:szCs w:val="1"/>
                <w:color w:val="auto"/>
              </w:rPr>
            </w:pPr>
          </w:p>
        </w:tc>
      </w:tr>
      <w:tr>
        <w:trPr>
          <w:trHeight w:val="39"/>
        </w:trPr>
        <w:tc>
          <w:tcPr>
            <w:tcW w:w="6900" w:type="dxa"/>
            <w:vAlign w:val="bottom"/>
            <w:gridSpan w:val="4"/>
          </w:tcPr>
          <w:p>
            <w:pPr>
              <w:spacing w:after="0" w:line="40" w:lineRule="exact"/>
              <w:rPr>
                <w:sz w:val="20"/>
                <w:szCs w:val="20"/>
                <w:color w:val="auto"/>
              </w:rPr>
            </w:pPr>
            <w:r>
              <w:rPr>
                <w:rFonts w:ascii="Arial" w:cs="Arial" w:eastAsia="Arial" w:hAnsi="Arial"/>
                <w:sz w:val="4"/>
                <w:szCs w:val="4"/>
                <w:color w:val="FFFFFF"/>
              </w:rPr>
              <w:t>Expansion driven primarily by the NN Operating System</w:t>
            </w:r>
          </w:p>
        </w:tc>
        <w:tc>
          <w:tcPr>
            <w:tcW w:w="0" w:type="dxa"/>
            <w:vAlign w:val="bottom"/>
          </w:tcPr>
          <w:p>
            <w:pPr>
              <w:spacing w:after="0" w:line="20" w:lineRule="exact"/>
              <w:rPr>
                <w:sz w:val="1"/>
                <w:szCs w:val="1"/>
                <w:color w:val="auto"/>
              </w:rPr>
            </w:pPr>
          </w:p>
        </w:tc>
      </w:tr>
      <w:tr>
        <w:trPr>
          <w:trHeight w:val="39"/>
        </w:trPr>
        <w:tc>
          <w:tcPr>
            <w:tcW w:w="6900" w:type="dxa"/>
            <w:vAlign w:val="bottom"/>
            <w:gridSpan w:val="4"/>
          </w:tcPr>
          <w:p>
            <w:pPr>
              <w:spacing w:after="0" w:line="40" w:lineRule="exact"/>
              <w:rPr>
                <w:sz w:val="20"/>
                <w:szCs w:val="20"/>
                <w:color w:val="auto"/>
              </w:rPr>
            </w:pPr>
            <w:r>
              <w:rPr>
                <w:rFonts w:ascii="Arial" w:cs="Arial" w:eastAsia="Arial" w:hAnsi="Arial"/>
                <w:sz w:val="4"/>
                <w:szCs w:val="4"/>
                <w:color w:val="FFFFFF"/>
              </w:rPr>
              <w:t>Free Cash Flow+ will exceed $200 million</w:t>
            </w:r>
          </w:p>
        </w:tc>
        <w:tc>
          <w:tcPr>
            <w:tcW w:w="0" w:type="dxa"/>
            <w:vAlign w:val="bottom"/>
          </w:tcPr>
          <w:p>
            <w:pPr>
              <w:spacing w:after="0" w:line="20" w:lineRule="exact"/>
              <w:rPr>
                <w:sz w:val="1"/>
                <w:szCs w:val="1"/>
                <w:color w:val="auto"/>
              </w:rPr>
            </w:pPr>
          </w:p>
        </w:tc>
      </w:tr>
      <w:tr>
        <w:trPr>
          <w:trHeight w:val="39"/>
        </w:trPr>
        <w:tc>
          <w:tcPr>
            <w:tcW w:w="6900" w:type="dxa"/>
            <w:vAlign w:val="bottom"/>
            <w:gridSpan w:val="4"/>
          </w:tcPr>
          <w:p>
            <w:pPr>
              <w:spacing w:after="0" w:line="40" w:lineRule="exact"/>
              <w:rPr>
                <w:sz w:val="20"/>
                <w:szCs w:val="20"/>
                <w:color w:val="auto"/>
              </w:rPr>
            </w:pPr>
            <w:r>
              <w:rPr>
                <w:rFonts w:ascii="Arial" w:cs="Arial" w:eastAsia="Arial" w:hAnsi="Arial"/>
                <w:sz w:val="4"/>
                <w:szCs w:val="4"/>
                <w:color w:val="FFFFFF"/>
              </w:rPr>
              <w:t>Less than 3x levered by end of 2018</w:t>
            </w:r>
          </w:p>
        </w:tc>
        <w:tc>
          <w:tcPr>
            <w:tcW w:w="0" w:type="dxa"/>
            <w:vAlign w:val="bottom"/>
          </w:tcPr>
          <w:p>
            <w:pPr>
              <w:spacing w:after="0" w:line="20" w:lineRule="exact"/>
              <w:rPr>
                <w:sz w:val="1"/>
                <w:szCs w:val="1"/>
                <w:color w:val="auto"/>
              </w:rPr>
            </w:pPr>
          </w:p>
        </w:tc>
      </w:tr>
      <w:tr>
        <w:trPr>
          <w:trHeight w:val="39"/>
        </w:trPr>
        <w:tc>
          <w:tcPr>
            <w:tcW w:w="6900" w:type="dxa"/>
            <w:vAlign w:val="bottom"/>
            <w:gridSpan w:val="4"/>
          </w:tcPr>
          <w:p>
            <w:pPr>
              <w:spacing w:after="0" w:line="40" w:lineRule="exact"/>
              <w:rPr>
                <w:sz w:val="20"/>
                <w:szCs w:val="20"/>
                <w:color w:val="auto"/>
              </w:rPr>
            </w:pPr>
            <w:r>
              <w:rPr>
                <w:rFonts w:ascii="Arial" w:cs="Arial" w:eastAsia="Arial" w:hAnsi="Arial"/>
                <w:sz w:val="4"/>
                <w:szCs w:val="4"/>
                <w:color w:val="FFFFFF"/>
              </w:rPr>
              <w:t>www.nninc.com</w:t>
            </w:r>
          </w:p>
        </w:tc>
        <w:tc>
          <w:tcPr>
            <w:tcW w:w="0" w:type="dxa"/>
            <w:vAlign w:val="bottom"/>
          </w:tcPr>
          <w:p>
            <w:pPr>
              <w:spacing w:after="0" w:line="20" w:lineRule="exact"/>
              <w:rPr>
                <w:sz w:val="1"/>
                <w:szCs w:val="1"/>
                <w:color w:val="auto"/>
              </w:rPr>
            </w:pPr>
          </w:p>
        </w:tc>
      </w:tr>
      <w:tr>
        <w:trPr>
          <w:trHeight w:val="0"/>
        </w:trPr>
        <w:tc>
          <w:tcPr>
            <w:tcW w:w="160" w:type="dxa"/>
            <w:vAlign w:val="bottom"/>
          </w:tcPr>
          <w:p>
            <w:pPr>
              <w:jc w:val="right"/>
              <w:spacing w:after="0" w:line="38" w:lineRule="exact"/>
              <w:rPr>
                <w:sz w:val="20"/>
                <w:szCs w:val="20"/>
                <w:color w:val="auto"/>
              </w:rPr>
            </w:pPr>
            <w:r>
              <w:rPr>
                <w:rFonts w:ascii="Arial" w:cs="Arial" w:eastAsia="Arial" w:hAnsi="Arial"/>
                <w:sz w:val="4"/>
                <w:szCs w:val="4"/>
                <w:color w:val="FFFFFF"/>
              </w:rPr>
              <w:t>61</w:t>
            </w:r>
          </w:p>
        </w:tc>
        <w:tc>
          <w:tcPr>
            <w:tcW w:w="6740" w:type="dxa"/>
            <w:vAlign w:val="bottom"/>
            <w:gridSpan w:val="3"/>
          </w:tcPr>
          <w:p>
            <w:pPr>
              <w:jc w:val="right"/>
              <w:ind w:right="4678"/>
              <w:spacing w:after="0" w:line="38" w:lineRule="exact"/>
              <w:rPr>
                <w:sz w:val="20"/>
                <w:szCs w:val="20"/>
                <w:color w:val="auto"/>
              </w:rPr>
            </w:pPr>
            <w:r>
              <w:rPr>
                <w:rFonts w:ascii="Arial" w:cs="Arial" w:eastAsia="Arial" w:hAnsi="Arial"/>
                <w:sz w:val="4"/>
                <w:szCs w:val="4"/>
                <w:color w:val="FFFFFF"/>
              </w:rPr>
              <w:t>*Based on mid-point of 2016 guidance</w:t>
            </w: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+Free Cash Flow available for debt repayment</w:t>
      </w:r>
    </w:p>
    <w:p>
      <w:pPr>
        <w:sectPr>
          <w:pgSz w:w="11900" w:h="16838" w:orient="portrait"/>
          <w:cols w:equalWidth="0" w:num="1">
            <w:col w:w="10219"/>
          </w:cols>
          <w:pgMar w:left="2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Return on Invested Capital (ROIC)</w:t>
      </w:r>
    </w:p>
    <w:p>
      <w:pPr>
        <w:spacing w:after="0" w:line="204" w:lineRule="auto"/>
        <w:rPr>
          <w:sz w:val="20"/>
          <w:szCs w:val="20"/>
          <w:color w:val="auto"/>
        </w:rPr>
      </w:pPr>
      <w:r>
        <w:rPr>
          <w:rFonts w:ascii="Arial" w:cs="Arial" w:eastAsia="Arial" w:hAnsi="Arial"/>
          <w:sz w:val="2"/>
          <w:szCs w:val="2"/>
          <w:color w:val="FFFFFF"/>
        </w:rPr>
        <w:t xml:space="preserve">20 </w:t>
      </w:r>
      <w:r>
        <w:rPr>
          <w:rFonts w:ascii="Arial" w:cs="Arial" w:eastAsia="Arial" w:hAnsi="Arial"/>
          <w:sz w:val="4"/>
          <w:szCs w:val="4"/>
          <w:color w:val="FFFFFF"/>
          <w:vertAlign w:val="superscript"/>
        </w:rPr>
        <w:t>0%</w:t>
      </w:r>
      <w:r>
        <w:rPr>
          <w:rFonts w:ascii="Arial" w:cs="Arial" w:eastAsia="Arial" w:hAnsi="Arial"/>
          <w:sz w:val="2"/>
          <w:szCs w:val="2"/>
          <w:color w:val="FFFFFF"/>
        </w:rPr>
        <w:t xml:space="preserve"> 18.0% 16.0% 14.0% 12.0% 10.0% 8.0% 6.0% 4.0% 2.0% 0.0%</w:t>
      </w:r>
    </w:p>
    <w:p>
      <w:pPr>
        <w:ind w:left="80"/>
        <w:spacing w:after="0" w:line="205" w:lineRule="auto"/>
        <w:rPr>
          <w:sz w:val="20"/>
          <w:szCs w:val="20"/>
          <w:color w:val="auto"/>
        </w:rPr>
      </w:pPr>
      <w:r>
        <w:rPr>
          <w:rFonts w:ascii="Arial" w:cs="Arial" w:eastAsia="Arial" w:hAnsi="Arial"/>
          <w:sz w:val="2"/>
          <w:szCs w:val="2"/>
          <w:color w:val="FFFFFF"/>
        </w:rPr>
        <w:t>4</w:t>
      </w:r>
      <w:r>
        <w:rPr>
          <w:rFonts w:ascii="Arial" w:cs="Arial" w:eastAsia="Arial" w:hAnsi="Arial"/>
          <w:sz w:val="4"/>
          <w:szCs w:val="4"/>
          <w:color w:val="FFFFFF"/>
          <w:vertAlign w:val="superscript"/>
        </w:rPr>
        <w:t>8</w:t>
      </w:r>
      <w:r>
        <w:rPr>
          <w:rFonts w:ascii="Arial" w:cs="Arial" w:eastAsia="Arial" w:hAnsi="Arial"/>
          <w:sz w:val="2"/>
          <w:szCs w:val="2"/>
          <w:color w:val="FFFFFF"/>
        </w:rPr>
        <w:t xml:space="preserve"> 4%</w:t>
      </w:r>
    </w:p>
    <w:p>
      <w:pPr>
        <w:spacing w:after="0" w:line="182" w:lineRule="auto"/>
        <w:rPr>
          <w:sz w:val="20"/>
          <w:szCs w:val="20"/>
          <w:color w:val="auto"/>
        </w:rPr>
      </w:pPr>
      <w:r>
        <w:rPr>
          <w:rFonts w:ascii="Arial" w:cs="Arial" w:eastAsia="Arial" w:hAnsi="Arial"/>
          <w:sz w:val="9"/>
          <w:szCs w:val="9"/>
          <w:color w:val="FFFFFF"/>
        </w:rPr>
        <w:t>10.5%</w:t>
      </w:r>
    </w:p>
    <w:p>
      <w:pPr>
        <w:spacing w:after="0" w:line="206" w:lineRule="auto"/>
        <w:rPr>
          <w:sz w:val="20"/>
          <w:szCs w:val="20"/>
          <w:color w:val="auto"/>
        </w:rPr>
      </w:pPr>
      <w:r>
        <w:rPr>
          <w:rFonts w:ascii="Arial" w:cs="Arial" w:eastAsia="Arial" w:hAnsi="Arial"/>
          <w:sz w:val="4"/>
          <w:szCs w:val="4"/>
          <w:color w:val="FFFFFF"/>
        </w:rPr>
        <w:t>8.0%</w:t>
      </w:r>
    </w:p>
    <w:p>
      <w:pPr>
        <w:ind w:right="3319"/>
        <w:spacing w:after="0"/>
        <w:rPr>
          <w:sz w:val="20"/>
          <w:szCs w:val="20"/>
          <w:color w:val="auto"/>
        </w:rPr>
      </w:pPr>
      <w:r>
        <w:rPr>
          <w:rFonts w:ascii="Arial" w:cs="Arial" w:eastAsia="Arial" w:hAnsi="Arial"/>
          <w:sz w:val="7"/>
          <w:szCs w:val="7"/>
          <w:color w:val="FFFFFF"/>
        </w:rPr>
        <w:t>2014 2015 2016* 2018 Target Base Continous Improvement / Synergies Manufacturing Rationalization End Market Diversification Growing profits on 2016 base of invested capital increases ROIC from 8% to 18%</w:t>
      </w:r>
    </w:p>
    <w:p>
      <w:pPr>
        <w:spacing w:after="0" w:line="199" w:lineRule="auto"/>
        <w:rPr>
          <w:sz w:val="20"/>
          <w:szCs w:val="20"/>
          <w:color w:val="auto"/>
        </w:rPr>
      </w:pPr>
      <w:r>
        <w:rPr>
          <w:rFonts w:ascii="Arial" w:cs="Arial" w:eastAsia="Arial" w:hAnsi="Arial"/>
          <w:sz w:val="8"/>
          <w:szCs w:val="8"/>
          <w:color w:val="FFFFFF"/>
          <w:vertAlign w:val="subscript"/>
        </w:rPr>
        <w:t>Continuous</w:t>
      </w:r>
      <w:r>
        <w:rPr>
          <w:rFonts w:ascii="Arial" w:cs="Arial" w:eastAsia="Arial" w:hAnsi="Arial"/>
          <w:sz w:val="7"/>
          <w:szCs w:val="7"/>
          <w:color w:val="FFFFFF"/>
        </w:rPr>
        <w:t>apitalintensityimprovementreduced fromandsynergies~8%to~5%add ofto Salesreturns</w:t>
      </w:r>
    </w:p>
    <w:p>
      <w:pPr>
        <w:spacing w:after="0" w:line="206"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62 *Based on mid-point of 2016 guidance</w:t>
      </w:r>
    </w:p>
    <w:p>
      <w:pPr>
        <w:sectPr>
          <w:pgSz w:w="11900" w:h="16838" w:orient="portrait"/>
          <w:cols w:equalWidth="0" w:num="1">
            <w:col w:w="10219"/>
          </w:cols>
          <w:pgMar w:left="2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Adjusted EPS Expansion</w:t>
      </w:r>
    </w:p>
    <w:p>
      <w:pPr>
        <w:ind w:left="80"/>
        <w:spacing w:after="0" w:line="204" w:lineRule="auto"/>
        <w:rPr>
          <w:sz w:val="20"/>
          <w:szCs w:val="20"/>
          <w:color w:val="auto"/>
        </w:rPr>
      </w:pPr>
      <w:r>
        <w:rPr>
          <w:rFonts w:ascii="Arial" w:cs="Arial" w:eastAsia="Arial" w:hAnsi="Arial"/>
          <w:sz w:val="4"/>
          <w:szCs w:val="4"/>
          <w:color w:val="FFFFFF"/>
          <w:vertAlign w:val="superscript"/>
        </w:rPr>
        <w:t>4 00</w:t>
      </w:r>
    </w:p>
    <w:p>
      <w:pPr>
        <w:ind w:left="160"/>
        <w:spacing w:after="0" w:line="189" w:lineRule="auto"/>
        <w:rPr>
          <w:sz w:val="20"/>
          <w:szCs w:val="20"/>
          <w:color w:val="auto"/>
        </w:rPr>
      </w:pPr>
      <w:r>
        <w:rPr>
          <w:rFonts w:ascii="Arial" w:cs="Arial" w:eastAsia="Arial" w:hAnsi="Arial"/>
          <w:sz w:val="13"/>
          <w:szCs w:val="13"/>
          <w:color w:val="FFFFFF"/>
        </w:rPr>
        <w:t>70$3.5 $3.0 $2.5 $2.0 $1.5 $1.0 $0.5 $0.0</w:t>
      </w:r>
    </w:p>
    <w:p>
      <w:pPr>
        <w:jc w:val="right"/>
        <w:ind w:right="9919"/>
        <w:spacing w:after="0" w:line="206" w:lineRule="auto"/>
        <w:rPr>
          <w:sz w:val="20"/>
          <w:szCs w:val="20"/>
          <w:color w:val="auto"/>
        </w:rPr>
      </w:pPr>
      <w:r>
        <w:rPr>
          <w:rFonts w:ascii="Arial" w:cs="Arial" w:eastAsia="Arial" w:hAnsi="Arial"/>
          <w:sz w:val="2"/>
          <w:szCs w:val="2"/>
          <w:color w:val="FFFFFF"/>
        </w:rPr>
        <w:t>$1.37</w:t>
      </w:r>
      <w:r>
        <w:rPr>
          <w:rFonts w:ascii="Arial" w:cs="Arial" w:eastAsia="Arial" w:hAnsi="Arial"/>
          <w:sz w:val="4"/>
          <w:szCs w:val="4"/>
          <w:color w:val="FFFFFF"/>
          <w:vertAlign w:val="superscript"/>
        </w:rPr>
        <w:t>51</w:t>
      </w:r>
    </w:p>
    <w:p>
      <w:pPr>
        <w:ind w:right="1099"/>
        <w:spacing w:after="0" w:line="204" w:lineRule="auto"/>
        <w:rPr>
          <w:sz w:val="20"/>
          <w:szCs w:val="20"/>
          <w:color w:val="auto"/>
        </w:rPr>
      </w:pPr>
      <w:r>
        <w:rPr>
          <w:rFonts w:ascii="Arial" w:cs="Arial" w:eastAsia="Arial" w:hAnsi="Arial"/>
          <w:sz w:val="8"/>
          <w:szCs w:val="8"/>
          <w:color w:val="FFFFFF"/>
        </w:rPr>
        <w:t>2014 2015 2016* 2018 Target Base Continous Improvement / Synergies Manufacturing Rationalization Sales Growth Leverage Interest reduction End Market Diversification Margin Improvement driven by the NN Operating System</w:t>
      </w:r>
    </w:p>
    <w:p>
      <w:pPr>
        <w:spacing w:after="0" w:line="183" w:lineRule="auto"/>
        <w:rPr>
          <w:sz w:val="20"/>
          <w:szCs w:val="20"/>
          <w:color w:val="auto"/>
        </w:rPr>
      </w:pPr>
      <w:r>
        <w:rPr>
          <w:rFonts w:ascii="Arial" w:cs="Arial" w:eastAsia="Arial" w:hAnsi="Arial"/>
          <w:sz w:val="9"/>
          <w:szCs w:val="9"/>
          <w:color w:val="FFFFFF"/>
        </w:rPr>
        <w:t>Reduction in interest expense</w:t>
      </w:r>
    </w:p>
    <w:p>
      <w:pPr>
        <w:spacing w:after="0" w:line="205" w:lineRule="auto"/>
        <w:rPr>
          <w:sz w:val="20"/>
          <w:szCs w:val="20"/>
          <w:color w:val="auto"/>
        </w:rPr>
      </w:pPr>
      <w:r>
        <w:rPr>
          <w:rFonts w:ascii="Arial" w:cs="Arial" w:eastAsia="Arial" w:hAnsi="Arial"/>
          <w:sz w:val="4"/>
          <w:szCs w:val="4"/>
          <w:color w:val="FFFFFF"/>
        </w:rPr>
        <w:t>www.nninc.comFlexProductivity leverages increased Sales</w:t>
      </w:r>
    </w:p>
    <w:p>
      <w:pPr>
        <w:spacing w:after="0"/>
        <w:rPr>
          <w:sz w:val="20"/>
          <w:szCs w:val="20"/>
          <w:color w:val="auto"/>
        </w:rPr>
      </w:pPr>
      <w:r>
        <w:rPr>
          <w:rFonts w:ascii="Arial" w:cs="Arial" w:eastAsia="Arial" w:hAnsi="Arial"/>
          <w:sz w:val="13"/>
          <w:szCs w:val="13"/>
          <w:color w:val="FFFFFF"/>
        </w:rPr>
        <w:t>63 *Based on mid-point of 2016 guidance</w:t>
      </w:r>
    </w:p>
    <w:p>
      <w:pPr>
        <w:sectPr>
          <w:pgSz w:w="11900" w:h="16838" w:orient="portrait"/>
          <w:cols w:equalWidth="0" w:num="1">
            <w:col w:w="10219"/>
          </w:cols>
          <w:pgMar w:left="24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The NN Operating System</w:t>
      </w:r>
    </w:p>
    <w:p>
      <w:pPr>
        <w:sectPr>
          <w:pgSz w:w="11900" w:h="16838" w:orient="portrait"/>
          <w:cols w:equalWidth="0" w:num="1">
            <w:col w:w="10219"/>
          </w:cols>
          <w:pgMar w:left="24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color w:val="FFFFFF"/>
        </w:rPr>
        <w:t>IntegratedPremiseofOperatingtheNNOperatingCompanySystem</w:t>
      </w:r>
    </w:p>
    <w:p>
      <w:pPr>
        <w:spacing w:after="0" w:line="182" w:lineRule="auto"/>
        <w:rPr>
          <w:sz w:val="20"/>
          <w:szCs w:val="20"/>
          <w:color w:val="auto"/>
        </w:rPr>
      </w:pPr>
      <w:r>
        <w:rPr>
          <w:rFonts w:ascii="Arial" w:cs="Arial" w:eastAsia="Arial" w:hAnsi="Arial"/>
          <w:sz w:val="9"/>
          <w:szCs w:val="9"/>
          <w:color w:val="FFFFFF"/>
        </w:rPr>
        <w:t>FlexCommonProductivitymethodologies delivering near &amp; long term value</w:t>
      </w:r>
    </w:p>
    <w:p>
      <w:pPr>
        <w:spacing w:after="0" w:line="182" w:lineRule="auto"/>
        <w:rPr>
          <w:sz w:val="20"/>
          <w:szCs w:val="20"/>
          <w:color w:val="auto"/>
        </w:rPr>
      </w:pPr>
      <w:r>
        <w:rPr>
          <w:rFonts w:ascii="Arial" w:cs="Arial" w:eastAsia="Arial" w:hAnsi="Arial"/>
          <w:sz w:val="9"/>
          <w:szCs w:val="9"/>
          <w:color w:val="FFFFFF"/>
        </w:rPr>
        <w:t>LeverageMaximizingTechnologyperformance no matter the market conditions</w:t>
      </w:r>
    </w:p>
    <w:p>
      <w:pPr>
        <w:spacing w:after="0" w:line="205" w:lineRule="auto"/>
        <w:rPr>
          <w:sz w:val="20"/>
          <w:szCs w:val="20"/>
          <w:color w:val="auto"/>
        </w:rPr>
      </w:pPr>
      <w:r>
        <w:rPr>
          <w:rFonts w:ascii="Arial" w:cs="Arial" w:eastAsia="Arial" w:hAnsi="Arial"/>
          <w:sz w:val="2"/>
          <w:szCs w:val="2"/>
          <w:color w:val="FFFFFF"/>
        </w:rPr>
        <w:t>PrescriptiveOnePlatform,</w:t>
      </w:r>
      <w:r>
        <w:rPr>
          <w:rFonts w:ascii="Arial" w:cs="Arial" w:eastAsia="Arial" w:hAnsi="Arial"/>
          <w:sz w:val="4"/>
          <w:szCs w:val="4"/>
          <w:color w:val="FFFFFF"/>
          <w:vertAlign w:val="subscript"/>
        </w:rPr>
        <w:t>Processes</w:t>
      </w:r>
      <w:r>
        <w:rPr>
          <w:rFonts w:ascii="Arial" w:cs="Arial" w:eastAsia="Arial" w:hAnsi="Arial"/>
          <w:sz w:val="2"/>
          <w:szCs w:val="2"/>
          <w:color w:val="FFFFFF"/>
        </w:rPr>
        <w:t>necompany</w:t>
      </w:r>
    </w:p>
    <w:p>
      <w:pPr>
        <w:spacing w:after="0" w:line="182" w:lineRule="auto"/>
        <w:rPr>
          <w:sz w:val="20"/>
          <w:szCs w:val="20"/>
          <w:color w:val="auto"/>
        </w:rPr>
      </w:pPr>
      <w:r>
        <w:rPr>
          <w:rFonts w:ascii="Arial" w:cs="Arial" w:eastAsia="Arial" w:hAnsi="Arial"/>
          <w:sz w:val="9"/>
          <w:szCs w:val="9"/>
          <w:color w:val="FFFFFF"/>
        </w:rPr>
        <w:t>Disciplined execution of the operating plan</w:t>
      </w:r>
    </w:p>
    <w:p>
      <w:pPr>
        <w:spacing w:after="0" w:line="206" w:lineRule="auto"/>
        <w:rPr>
          <w:sz w:val="20"/>
          <w:szCs w:val="20"/>
          <w:color w:val="auto"/>
        </w:rPr>
      </w:pPr>
      <w:r>
        <w:rPr>
          <w:rFonts w:ascii="Arial" w:cs="Arial" w:eastAsia="Arial" w:hAnsi="Arial"/>
          <w:sz w:val="4"/>
          <w:szCs w:val="4"/>
          <w:color w:val="FFFFFF"/>
        </w:rPr>
        <w:t>www.nninc.comADisciplined&amp; Flexible Operation</w:t>
      </w:r>
    </w:p>
    <w:p>
      <w:pPr>
        <w:spacing w:after="0"/>
        <w:rPr>
          <w:sz w:val="20"/>
          <w:szCs w:val="20"/>
          <w:color w:val="auto"/>
        </w:rPr>
      </w:pPr>
      <w:r>
        <w:rPr>
          <w:rFonts w:ascii="Arial" w:cs="Arial" w:eastAsia="Arial" w:hAnsi="Arial"/>
          <w:sz w:val="13"/>
          <w:szCs w:val="13"/>
          <w:color w:val="FFFFFF"/>
        </w:rPr>
        <w:t>65</w:t>
      </w:r>
    </w:p>
    <w:p>
      <w:pPr>
        <w:sectPr>
          <w:pgSz w:w="11900" w:h="16838" w:orient="portrait"/>
          <w:cols w:equalWidth="0" w:num="1">
            <w:col w:w="10219"/>
          </w:cols>
          <w:pgMar w:left="2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NN Operating System</w:t>
      </w:r>
    </w:p>
    <w:p>
      <w:pPr>
        <w:spacing w:after="0" w:line="204" w:lineRule="auto"/>
        <w:rPr>
          <w:sz w:val="20"/>
          <w:szCs w:val="20"/>
          <w:color w:val="auto"/>
        </w:rPr>
      </w:pPr>
      <w:r>
        <w:rPr>
          <w:rFonts w:ascii="Arial" w:cs="Arial" w:eastAsia="Arial" w:hAnsi="Arial"/>
          <w:sz w:val="4"/>
          <w:szCs w:val="4"/>
          <w:color w:val="FFFFFF"/>
          <w:vertAlign w:val="superscript"/>
        </w:rPr>
        <w:t>Finance</w:t>
      </w:r>
    </w:p>
    <w:p>
      <w:pPr>
        <w:ind w:left="80"/>
        <w:spacing w:after="0" w:line="182" w:lineRule="auto"/>
        <w:rPr>
          <w:sz w:val="20"/>
          <w:szCs w:val="20"/>
          <w:color w:val="auto"/>
        </w:rPr>
      </w:pPr>
      <w:r>
        <w:rPr>
          <w:rFonts w:ascii="Arial" w:cs="Arial" w:eastAsia="Arial" w:hAnsi="Arial"/>
          <w:sz w:val="9"/>
          <w:szCs w:val="9"/>
          <w:color w:val="FFFFFF"/>
        </w:rPr>
        <w:t>UNCTIONAL—Legal—ITEXCELLENCE</w:t>
      </w:r>
    </w:p>
    <w:p>
      <w:pPr>
        <w:spacing w:after="0" w:line="206" w:lineRule="auto"/>
        <w:rPr>
          <w:sz w:val="20"/>
          <w:szCs w:val="20"/>
          <w:color w:val="auto"/>
        </w:rPr>
      </w:pPr>
      <w:r>
        <w:rPr>
          <w:rFonts w:ascii="Arial" w:cs="Arial" w:eastAsia="Arial" w:hAnsi="Arial"/>
          <w:sz w:val="4"/>
          <w:szCs w:val="4"/>
          <w:color w:val="FFFFFF"/>
          <w:vertAlign w:val="subscript"/>
        </w:rPr>
        <w:t>Supply</w:t>
      </w:r>
      <w:r>
        <w:rPr>
          <w:rFonts w:ascii="Arial" w:cs="Arial" w:eastAsia="Arial" w:hAnsi="Arial"/>
          <w:sz w:val="2"/>
          <w:szCs w:val="2"/>
          <w:color w:val="FFFFFF"/>
        </w:rPr>
        <w:t>IR/Treasuryalesandmarketing</w:t>
      </w:r>
    </w:p>
    <w:p>
      <w:pPr>
        <w:ind w:left="400"/>
        <w:spacing w:after="0" w:line="205" w:lineRule="auto"/>
        <w:rPr>
          <w:sz w:val="20"/>
          <w:szCs w:val="20"/>
          <w:color w:val="auto"/>
        </w:rPr>
      </w:pPr>
      <w:r>
        <w:rPr>
          <w:rFonts w:ascii="Arial" w:cs="Arial" w:eastAsia="Arial" w:hAnsi="Arial"/>
          <w:sz w:val="4"/>
          <w:szCs w:val="4"/>
          <w:color w:val="FFFFFF"/>
        </w:rPr>
        <w:t>chain</w:t>
      </w:r>
    </w:p>
    <w:p>
      <w:pPr>
        <w:spacing w:after="0" w:line="182" w:lineRule="auto"/>
        <w:rPr>
          <w:sz w:val="20"/>
          <w:szCs w:val="20"/>
          <w:color w:val="auto"/>
        </w:rPr>
      </w:pPr>
      <w:r>
        <w:rPr>
          <w:rFonts w:ascii="Arial" w:cs="Arial" w:eastAsia="Arial" w:hAnsi="Arial"/>
          <w:sz w:val="9"/>
          <w:szCs w:val="9"/>
          <w:color w:val="FFFFFF"/>
        </w:rPr>
        <w:t>Integration</w:t>
      </w:r>
    </w:p>
    <w:p>
      <w:pPr>
        <w:spacing w:after="0" w:line="182" w:lineRule="auto"/>
        <w:rPr>
          <w:sz w:val="20"/>
          <w:szCs w:val="20"/>
          <w:color w:val="auto"/>
        </w:rPr>
      </w:pPr>
      <w:r>
        <w:rPr>
          <w:rFonts w:ascii="Arial" w:cs="Arial" w:eastAsia="Arial" w:hAnsi="Arial"/>
          <w:sz w:val="9"/>
          <w:szCs w:val="9"/>
          <w:color w:val="FFFFFF"/>
          <w:vertAlign w:val="superscript"/>
        </w:rPr>
        <w:t>Customer</w:t>
      </w:r>
      <w:r>
        <w:rPr>
          <w:rFonts w:ascii="Arial" w:cs="Arial" w:eastAsia="Arial" w:hAnsi="Arial"/>
          <w:sz w:val="7"/>
          <w:szCs w:val="7"/>
          <w:color w:val="FFFFFF"/>
        </w:rPr>
        <w:t>ASSESSMENTorporatecompliance</w:t>
      </w:r>
    </w:p>
    <w:p>
      <w:pPr>
        <w:spacing w:after="0" w:line="206" w:lineRule="auto"/>
        <w:rPr>
          <w:sz w:val="20"/>
          <w:szCs w:val="20"/>
          <w:color w:val="auto"/>
        </w:rPr>
      </w:pPr>
      <w:r>
        <w:rPr>
          <w:rFonts w:ascii="Arial" w:cs="Arial" w:eastAsia="Arial" w:hAnsi="Arial"/>
          <w:sz w:val="4"/>
          <w:szCs w:val="4"/>
          <w:color w:val="FFFFFF"/>
        </w:rPr>
        <w:t>Safety audit/employee surveys</w:t>
      </w:r>
    </w:p>
    <w:p>
      <w:pPr>
        <w:spacing w:after="0" w:line="205" w:lineRule="auto"/>
        <w:rPr>
          <w:sz w:val="20"/>
          <w:szCs w:val="20"/>
          <w:color w:val="auto"/>
        </w:rPr>
      </w:pPr>
      <w:r>
        <w:rPr>
          <w:rFonts w:ascii="Arial" w:cs="Arial" w:eastAsia="Arial" w:hAnsi="Arial"/>
          <w:sz w:val="4"/>
          <w:szCs w:val="4"/>
          <w:color w:val="FFFFFF"/>
        </w:rPr>
        <w:t>Lean maturity</w:t>
      </w:r>
    </w:p>
    <w:p>
      <w:pPr>
        <w:spacing w:after="0" w:line="205" w:lineRule="auto"/>
        <w:rPr>
          <w:sz w:val="20"/>
          <w:szCs w:val="20"/>
          <w:color w:val="auto"/>
        </w:rPr>
      </w:pPr>
      <w:r>
        <w:rPr>
          <w:rFonts w:ascii="Arial" w:cs="Arial" w:eastAsia="Arial" w:hAnsi="Arial"/>
          <w:sz w:val="4"/>
          <w:szCs w:val="4"/>
          <w:color w:val="FFFFFF"/>
        </w:rPr>
        <w:t>OPERATIONAL EXCELLENCE</w:t>
      </w:r>
    </w:p>
    <w:p>
      <w:pPr>
        <w:spacing w:after="0" w:line="205" w:lineRule="auto"/>
        <w:rPr>
          <w:sz w:val="20"/>
          <w:szCs w:val="20"/>
          <w:color w:val="auto"/>
        </w:rPr>
      </w:pPr>
      <w:r>
        <w:rPr>
          <w:rFonts w:ascii="Arial" w:cs="Arial" w:eastAsia="Arial" w:hAnsi="Arial"/>
          <w:sz w:val="4"/>
          <w:szCs w:val="4"/>
          <w:color w:val="FFFFFF"/>
        </w:rPr>
        <w:t>Continuous Improvement</w:t>
      </w:r>
    </w:p>
    <w:p>
      <w:pPr>
        <w:spacing w:after="0" w:line="205" w:lineRule="auto"/>
        <w:rPr>
          <w:sz w:val="20"/>
          <w:szCs w:val="20"/>
          <w:color w:val="auto"/>
        </w:rPr>
      </w:pPr>
      <w:r>
        <w:rPr>
          <w:rFonts w:ascii="Arial" w:cs="Arial" w:eastAsia="Arial" w:hAnsi="Arial"/>
          <w:sz w:val="4"/>
          <w:szCs w:val="4"/>
          <w:color w:val="FFFFFF"/>
        </w:rPr>
        <w:t>Safety / Quality</w:t>
      </w:r>
    </w:p>
    <w:p>
      <w:pPr>
        <w:spacing w:after="0" w:line="205" w:lineRule="auto"/>
        <w:rPr>
          <w:sz w:val="20"/>
          <w:szCs w:val="20"/>
          <w:color w:val="auto"/>
        </w:rPr>
      </w:pPr>
      <w:r>
        <w:rPr>
          <w:rFonts w:ascii="Arial" w:cs="Arial" w:eastAsia="Arial" w:hAnsi="Arial"/>
          <w:sz w:val="4"/>
          <w:szCs w:val="4"/>
          <w:color w:val="FFFFFF"/>
        </w:rPr>
        <w:t>Zero incident culture</w:t>
      </w:r>
    </w:p>
    <w:p>
      <w:pPr>
        <w:spacing w:after="0" w:line="205" w:lineRule="auto"/>
        <w:rPr>
          <w:sz w:val="20"/>
          <w:szCs w:val="20"/>
          <w:color w:val="auto"/>
        </w:rPr>
      </w:pPr>
      <w:r>
        <w:rPr>
          <w:rFonts w:ascii="Arial" w:cs="Arial" w:eastAsia="Arial" w:hAnsi="Arial"/>
          <w:sz w:val="4"/>
          <w:szCs w:val="4"/>
          <w:color w:val="FFFFFF"/>
        </w:rPr>
        <w:t>PLANNING</w:t>
      </w:r>
    </w:p>
    <w:p>
      <w:pPr>
        <w:spacing w:after="0" w:line="182" w:lineRule="auto"/>
        <w:rPr>
          <w:sz w:val="20"/>
          <w:szCs w:val="20"/>
          <w:color w:val="auto"/>
        </w:rPr>
      </w:pPr>
      <w:r>
        <w:rPr>
          <w:rFonts w:ascii="Arial" w:cs="Arial" w:eastAsia="Arial" w:hAnsi="Arial"/>
          <w:sz w:val="9"/>
          <w:szCs w:val="9"/>
          <w:color w:val="FFFFFF"/>
        </w:rPr>
        <w:t>By site operational plans</w:t>
      </w:r>
    </w:p>
    <w:p>
      <w:pPr>
        <w:spacing w:after="0" w:line="182" w:lineRule="auto"/>
        <w:rPr>
          <w:sz w:val="20"/>
          <w:szCs w:val="20"/>
          <w:color w:val="auto"/>
        </w:rPr>
      </w:pPr>
      <w:r>
        <w:rPr>
          <w:rFonts w:ascii="Arial" w:cs="Arial" w:eastAsia="Arial" w:hAnsi="Arial"/>
          <w:sz w:val="9"/>
          <w:szCs w:val="9"/>
          <w:color w:val="FFFFFF"/>
        </w:rPr>
        <w:t>StrategicTransferabledisciplineprocesses</w:t>
      </w:r>
    </w:p>
    <w:p>
      <w:pPr>
        <w:spacing w:after="0" w:line="206" w:lineRule="auto"/>
        <w:rPr>
          <w:sz w:val="20"/>
          <w:szCs w:val="20"/>
          <w:color w:val="auto"/>
        </w:rPr>
      </w:pPr>
      <w:r>
        <w:rPr>
          <w:rFonts w:ascii="Arial" w:cs="Arial" w:eastAsia="Arial" w:hAnsi="Arial"/>
          <w:sz w:val="4"/>
          <w:szCs w:val="4"/>
          <w:color w:val="FFFFFF"/>
          <w:vertAlign w:val="subscript"/>
        </w:rPr>
        <w:t>Outgrowing</w:t>
      </w:r>
      <w:r>
        <w:rPr>
          <w:rFonts w:ascii="Arial" w:cs="Arial" w:eastAsia="Arial" w:hAnsi="Arial"/>
          <w:sz w:val="2"/>
          <w:szCs w:val="2"/>
          <w:color w:val="FFFFFF"/>
        </w:rPr>
        <w:t>GROWTHganicgrowth</w:t>
      </w:r>
    </w:p>
    <w:p>
      <w:pPr>
        <w:ind w:left="680"/>
        <w:spacing w:after="0" w:line="182" w:lineRule="auto"/>
        <w:rPr>
          <w:sz w:val="20"/>
          <w:szCs w:val="20"/>
          <w:color w:val="auto"/>
        </w:rPr>
      </w:pPr>
      <w:r>
        <w:rPr>
          <w:rFonts w:ascii="Arial" w:cs="Arial" w:eastAsia="Arial" w:hAnsi="Arial"/>
          <w:sz w:val="9"/>
          <w:szCs w:val="9"/>
          <w:color w:val="FFFFFF"/>
        </w:rPr>
        <w:t>markets</w:t>
      </w:r>
    </w:p>
    <w:p>
      <w:pPr>
        <w:spacing w:after="0" w:line="205" w:lineRule="auto"/>
        <w:rPr>
          <w:sz w:val="20"/>
          <w:szCs w:val="20"/>
          <w:color w:val="auto"/>
        </w:rPr>
      </w:pPr>
      <w:r>
        <w:rPr>
          <w:rFonts w:ascii="Arial" w:cs="Arial" w:eastAsia="Arial" w:hAnsi="Arial"/>
          <w:sz w:val="4"/>
          <w:szCs w:val="4"/>
          <w:color w:val="FFFFFF"/>
        </w:rPr>
        <w:t>BrandingAcquisitive growth</w:t>
      </w:r>
    </w:p>
    <w:p>
      <w:pPr>
        <w:spacing w:after="0"/>
        <w:rPr>
          <w:sz w:val="20"/>
          <w:szCs w:val="20"/>
          <w:color w:val="auto"/>
        </w:rPr>
      </w:pPr>
      <w:r>
        <w:rPr>
          <w:rFonts w:ascii="Arial" w:cs="Arial" w:eastAsia="Arial" w:hAnsi="Arial"/>
          <w:sz w:val="8"/>
          <w:szCs w:val="8"/>
          <w:color w:val="FFFFFF"/>
        </w:rPr>
        <w:t>CONTINUOUSEducationandtrainingLEARNING</w:t>
      </w:r>
    </w:p>
    <w:p>
      <w:pPr>
        <w:spacing w:after="0" w:line="194" w:lineRule="auto"/>
        <w:rPr>
          <w:sz w:val="20"/>
          <w:szCs w:val="20"/>
          <w:color w:val="auto"/>
        </w:rPr>
      </w:pPr>
      <w:r>
        <w:rPr>
          <w:rFonts w:ascii="Arial" w:cs="Arial" w:eastAsia="Arial" w:hAnsi="Arial"/>
          <w:sz w:val="7"/>
          <w:szCs w:val="7"/>
          <w:color w:val="FFFFFF"/>
        </w:rPr>
        <w:t>www.nninc.comTalentacquisition</w:t>
      </w:r>
    </w:p>
    <w:p>
      <w:pPr>
        <w:spacing w:after="0"/>
        <w:rPr>
          <w:sz w:val="20"/>
          <w:szCs w:val="20"/>
          <w:color w:val="auto"/>
        </w:rPr>
      </w:pPr>
      <w:r>
        <w:rPr>
          <w:rFonts w:ascii="Arial" w:cs="Arial" w:eastAsia="Arial" w:hAnsi="Arial"/>
          <w:sz w:val="13"/>
          <w:szCs w:val="13"/>
          <w:color w:val="FFFFFF"/>
        </w:rPr>
        <w:t>66</w:t>
      </w:r>
    </w:p>
    <w:p>
      <w:pPr>
        <w:sectPr>
          <w:pgSz w:w="11900" w:h="16838" w:orient="portrait"/>
          <w:cols w:equalWidth="0" w:num="1">
            <w:col w:w="10219"/>
          </w:cols>
          <w:pgMar w:left="2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Foundation</w:t>
      </w:r>
      <w:r>
        <w:rPr>
          <w:rFonts w:ascii="Arial" w:cs="Arial" w:eastAsia="Arial" w:hAnsi="Arial"/>
          <w:sz w:val="13"/>
          <w:szCs w:val="13"/>
          <w:color w:val="FFFFFF"/>
        </w:rPr>
        <w:t>lexProductivity</w:t>
      </w:r>
    </w:p>
    <w:p>
      <w:pPr>
        <w:spacing w:after="0" w:line="204" w:lineRule="auto"/>
        <w:rPr>
          <w:sz w:val="20"/>
          <w:szCs w:val="20"/>
          <w:color w:val="auto"/>
        </w:rPr>
      </w:pPr>
      <w:r>
        <w:rPr>
          <w:rFonts w:ascii="Arial" w:cs="Arial" w:eastAsia="Arial" w:hAnsi="Arial"/>
          <w:sz w:val="4"/>
          <w:szCs w:val="4"/>
          <w:color w:val="FFFFFF"/>
        </w:rPr>
        <w:t>Prescriptive ofmechanicstheNNOperating System</w:t>
      </w:r>
    </w:p>
    <w:p>
      <w:pPr>
        <w:spacing w:after="0" w:line="182" w:lineRule="auto"/>
        <w:rPr>
          <w:sz w:val="20"/>
          <w:szCs w:val="20"/>
          <w:color w:val="auto"/>
        </w:rPr>
      </w:pPr>
      <w:r>
        <w:rPr>
          <w:rFonts w:ascii="Arial" w:cs="Arial" w:eastAsia="Arial" w:hAnsi="Arial"/>
          <w:sz w:val="9"/>
          <w:szCs w:val="9"/>
          <w:color w:val="FFFFFF"/>
        </w:rPr>
        <w:t>Integrated system</w:t>
      </w:r>
    </w:p>
    <w:p>
      <w:pPr>
        <w:spacing w:after="0" w:line="206" w:lineRule="auto"/>
        <w:rPr>
          <w:sz w:val="20"/>
          <w:szCs w:val="20"/>
          <w:color w:val="auto"/>
        </w:rPr>
      </w:pPr>
      <w:r>
        <w:rPr>
          <w:rFonts w:ascii="Arial" w:cs="Arial" w:eastAsia="Arial" w:hAnsi="Arial"/>
          <w:sz w:val="4"/>
          <w:szCs w:val="4"/>
          <w:color w:val="FFFFFF"/>
        </w:rPr>
        <w:t>BottomCloseloopLinesystem</w:t>
      </w:r>
    </w:p>
    <w:p>
      <w:pPr>
        <w:ind w:right="3579"/>
        <w:spacing w:after="0" w:line="182" w:lineRule="auto"/>
        <w:rPr>
          <w:sz w:val="20"/>
          <w:szCs w:val="20"/>
          <w:color w:val="auto"/>
        </w:rPr>
      </w:pPr>
      <w:r>
        <w:rPr>
          <w:rFonts w:ascii="Arial" w:cs="Arial" w:eastAsia="Arial" w:hAnsi="Arial"/>
          <w:sz w:val="9"/>
          <w:szCs w:val="9"/>
          <w:color w:val="FFFFFF"/>
        </w:rPr>
        <w:t>Hitting the bottom line isn’t good enough. Our operations must earn the right operating profit for each dollar of increased sales Declining Sales</w:t>
      </w:r>
    </w:p>
    <w:p>
      <w:pPr>
        <w:spacing w:after="0" w:line="182" w:lineRule="auto"/>
        <w:rPr>
          <w:sz w:val="20"/>
          <w:szCs w:val="20"/>
          <w:color w:val="auto"/>
        </w:rPr>
      </w:pPr>
      <w:r>
        <w:rPr>
          <w:rFonts w:ascii="Arial" w:cs="Arial" w:eastAsia="Arial" w:hAnsi="Arial"/>
          <w:sz w:val="9"/>
          <w:szCs w:val="9"/>
          <w:color w:val="FFFFFF"/>
        </w:rPr>
        <w:t>Synchronized variable cost adjustment</w:t>
      </w:r>
    </w:p>
    <w:p>
      <w:pPr>
        <w:spacing w:after="0" w:line="205" w:lineRule="auto"/>
        <w:rPr>
          <w:sz w:val="20"/>
          <w:szCs w:val="20"/>
          <w:color w:val="auto"/>
        </w:rPr>
      </w:pPr>
      <w:r>
        <w:rPr>
          <w:rFonts w:ascii="Arial" w:cs="Arial" w:eastAsia="Arial" w:hAnsi="Arial"/>
          <w:sz w:val="4"/>
          <w:szCs w:val="4"/>
          <w:color w:val="FFFFFF"/>
        </w:rPr>
        <w:t>ExpenseImmediateManagementlaboradjustment</w:t>
      </w:r>
    </w:p>
    <w:p>
      <w:pPr>
        <w:spacing w:after="0" w:line="205" w:lineRule="auto"/>
        <w:rPr>
          <w:sz w:val="20"/>
          <w:szCs w:val="20"/>
          <w:color w:val="auto"/>
        </w:rPr>
      </w:pPr>
      <w:r>
        <w:rPr>
          <w:rFonts w:ascii="Arial" w:cs="Arial" w:eastAsia="Arial" w:hAnsi="Arial"/>
          <w:sz w:val="4"/>
          <w:szCs w:val="4"/>
          <w:color w:val="FFFFFF"/>
        </w:rPr>
        <w:t>Defined Targets</w:t>
      </w:r>
    </w:p>
    <w:p>
      <w:pPr>
        <w:jc w:val="right"/>
        <w:ind w:right="9979"/>
        <w:spacing w:after="0" w:line="205" w:lineRule="auto"/>
        <w:rPr>
          <w:sz w:val="20"/>
          <w:szCs w:val="20"/>
          <w:color w:val="auto"/>
        </w:rPr>
      </w:pPr>
      <w:r>
        <w:rPr>
          <w:rFonts w:ascii="Arial" w:cs="Arial" w:eastAsia="Arial" w:hAnsi="Arial"/>
          <w:sz w:val="4"/>
          <w:szCs w:val="4"/>
          <w:color w:val="FFFFFF"/>
          <w:vertAlign w:val="superscript"/>
        </w:rPr>
        <w:t>25%</w:t>
      </w:r>
    </w:p>
    <w:p>
      <w:pPr>
        <w:jc w:val="both"/>
        <w:spacing w:after="0"/>
        <w:tabs>
          <w:tab w:leader="none" w:pos="260" w:val="left"/>
        </w:tabs>
        <w:rPr>
          <w:sz w:val="20"/>
          <w:szCs w:val="20"/>
          <w:color w:val="auto"/>
        </w:rPr>
      </w:pPr>
      <w:r>
        <w:rPr>
          <w:rFonts w:ascii="Arial" w:cs="Arial" w:eastAsia="Arial" w:hAnsi="Arial"/>
          <w:sz w:val="1"/>
          <w:szCs w:val="1"/>
          <w:color w:val="FFFFFF"/>
        </w:rPr>
        <w:t>3</w:t>
      </w:r>
      <w:r>
        <w:rPr>
          <w:sz w:val="20"/>
          <w:szCs w:val="20"/>
          <w:color w:val="auto"/>
        </w:rPr>
        <w:tab/>
      </w:r>
      <w:r>
        <w:rPr>
          <w:rFonts w:ascii="Arial" w:cs="Arial" w:eastAsia="Arial" w:hAnsi="Arial"/>
          <w:sz w:val="1"/>
          <w:szCs w:val="1"/>
          <w:color w:val="FFFFFF"/>
        </w:rPr>
        <w:t>decrementalincremental averageaverage</w:t>
      </w:r>
    </w:p>
    <w:p>
      <w:pPr>
        <w:spacing w:after="0" w:line="199" w:lineRule="auto"/>
        <w:rPr>
          <w:sz w:val="20"/>
          <w:szCs w:val="20"/>
          <w:color w:val="auto"/>
        </w:rPr>
      </w:pPr>
      <w:r>
        <w:rPr>
          <w:rFonts w:ascii="Arial" w:cs="Arial" w:eastAsia="Arial" w:hAnsi="Arial"/>
          <w:sz w:val="7"/>
          <w:szCs w:val="7"/>
          <w:color w:val="FFFFFF"/>
        </w:rPr>
        <w:t>www.nninc.com</w:t>
      </w:r>
    </w:p>
    <w:p>
      <w:pPr>
        <w:spacing w:after="0"/>
        <w:rPr>
          <w:sz w:val="20"/>
          <w:szCs w:val="20"/>
          <w:color w:val="auto"/>
        </w:rPr>
      </w:pPr>
      <w:r>
        <w:rPr>
          <w:rFonts w:ascii="Arial" w:cs="Arial" w:eastAsia="Arial" w:hAnsi="Arial"/>
          <w:sz w:val="13"/>
          <w:szCs w:val="13"/>
          <w:color w:val="FFFFFF"/>
        </w:rPr>
        <w:t>67</w:t>
      </w:r>
    </w:p>
    <w:p>
      <w:pPr>
        <w:sectPr>
          <w:pgSz w:w="11900" w:h="16838" w:orient="portrait"/>
          <w:cols w:equalWidth="0" w:num="1">
            <w:col w:w="10219"/>
          </w:cols>
          <w:pgMar w:left="2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Summary / Q&amp;A</w:t>
      </w:r>
    </w:p>
    <w:p>
      <w:pPr>
        <w:sectPr>
          <w:pgSz w:w="11900" w:h="16838" w:orient="portrait"/>
          <w:cols w:equalWidth="0" w:num="1">
            <w:col w:w="10219"/>
          </w:cols>
          <w:pgMar w:left="2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2016 – A Year of Transformation</w:t>
      </w:r>
    </w:p>
    <w:p>
      <w:pPr>
        <w:spacing w:after="0" w:line="204" w:lineRule="auto"/>
        <w:rPr>
          <w:sz w:val="20"/>
          <w:szCs w:val="20"/>
          <w:color w:val="auto"/>
        </w:rPr>
      </w:pPr>
      <w:r>
        <w:rPr>
          <w:rFonts w:ascii="Arial" w:cs="Arial" w:eastAsia="Arial" w:hAnsi="Arial"/>
          <w:sz w:val="4"/>
          <w:szCs w:val="4"/>
          <w:color w:val="FFFFFF"/>
        </w:rPr>
        <w:t>IntegrateLeverage PEPtheNNon theOperatingplatformSystem across the entire platform</w:t>
      </w:r>
    </w:p>
    <w:p>
      <w:pPr>
        <w:spacing w:after="0" w:line="182" w:lineRule="auto"/>
        <w:rPr>
          <w:sz w:val="20"/>
          <w:szCs w:val="20"/>
          <w:color w:val="auto"/>
        </w:rPr>
      </w:pPr>
      <w:r>
        <w:rPr>
          <w:rFonts w:ascii="Arial" w:cs="Arial" w:eastAsia="Arial" w:hAnsi="Arial"/>
          <w:sz w:val="9"/>
          <w:szCs w:val="9"/>
          <w:color w:val="FFFFFF"/>
        </w:rPr>
        <w:t>Remain focused on our Strategic Plan objectives</w:t>
      </w:r>
    </w:p>
    <w:p>
      <w:pPr>
        <w:spacing w:after="0" w:line="182" w:lineRule="auto"/>
        <w:rPr>
          <w:sz w:val="20"/>
          <w:szCs w:val="20"/>
          <w:color w:val="auto"/>
        </w:rPr>
      </w:pPr>
      <w:r>
        <w:rPr>
          <w:rFonts w:ascii="Arial" w:cs="Arial" w:eastAsia="Arial" w:hAnsi="Arial"/>
          <w:sz w:val="9"/>
          <w:szCs w:val="9"/>
          <w:color w:val="FFFFFF"/>
        </w:rPr>
        <w:t>DeContinued-Leveragingprogressapriorityonour operating &amp; financial targets</w:t>
      </w:r>
    </w:p>
    <w:p>
      <w:pPr>
        <w:spacing w:after="0" w:line="206" w:lineRule="auto"/>
        <w:rPr>
          <w:sz w:val="20"/>
          <w:szCs w:val="20"/>
          <w:color w:val="auto"/>
        </w:rPr>
      </w:pPr>
      <w:r>
        <w:rPr>
          <w:rFonts w:ascii="Arial" w:cs="Arial" w:eastAsia="Arial" w:hAnsi="Arial"/>
          <w:sz w:val="4"/>
          <w:szCs w:val="4"/>
          <w:color w:val="FFFFFF"/>
        </w:rPr>
        <w:t>TransformOurstrong ourfreeSalescash Platformflowwill lead the charge</w:t>
      </w:r>
    </w:p>
    <w:p>
      <w:pPr>
        <w:spacing w:after="0" w:line="182" w:lineRule="auto"/>
        <w:rPr>
          <w:sz w:val="20"/>
          <w:szCs w:val="20"/>
          <w:color w:val="auto"/>
        </w:rPr>
      </w:pPr>
      <w:r>
        <w:rPr>
          <w:rFonts w:ascii="Arial" w:cs="Arial" w:eastAsia="Arial" w:hAnsi="Arial"/>
          <w:sz w:val="9"/>
          <w:szCs w:val="9"/>
          <w:color w:val="FFFFFF"/>
        </w:rPr>
        <w:t>Deliver engineered solutions across the entire portfolio</w:t>
      </w:r>
    </w:p>
    <w:p>
      <w:pPr>
        <w:spacing w:after="0" w:line="206" w:lineRule="auto"/>
        <w:rPr>
          <w:sz w:val="20"/>
          <w:szCs w:val="20"/>
          <w:color w:val="auto"/>
        </w:rPr>
      </w:pPr>
      <w:r>
        <w:rPr>
          <w:rFonts w:ascii="Arial" w:cs="Arial" w:eastAsia="Arial" w:hAnsi="Arial"/>
          <w:sz w:val="4"/>
          <w:szCs w:val="4"/>
          <w:color w:val="FFFFFF"/>
        </w:rPr>
        <w:t>www.nninc.comFocusedonbecoming a well-oiled machine</w:t>
      </w:r>
    </w:p>
    <w:p>
      <w:pPr>
        <w:spacing w:after="0"/>
        <w:rPr>
          <w:sz w:val="20"/>
          <w:szCs w:val="20"/>
          <w:color w:val="auto"/>
        </w:rPr>
      </w:pPr>
      <w:r>
        <w:rPr>
          <w:rFonts w:ascii="Arial" w:cs="Arial" w:eastAsia="Arial" w:hAnsi="Arial"/>
          <w:sz w:val="13"/>
          <w:szCs w:val="13"/>
          <w:color w:val="FFFFFF"/>
        </w:rPr>
        <w:t>69</w:t>
      </w:r>
    </w:p>
    <w:p>
      <w:pPr>
        <w:sectPr>
          <w:pgSz w:w="11900" w:h="16838" w:orient="portrait"/>
          <w:cols w:equalWidth="0" w:num="1">
            <w:col w:w="10219"/>
          </w:cols>
          <w:pgMar w:left="2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Who</w:t>
      </w:r>
      <w:r>
        <w:rPr>
          <w:rFonts w:ascii="Arial" w:cs="Arial" w:eastAsia="Arial" w:hAnsi="Arial"/>
          <w:sz w:val="13"/>
          <w:szCs w:val="13"/>
          <w:color w:val="FFFFFF"/>
        </w:rPr>
        <w:t>Engineered</w:t>
      </w:r>
      <w:r>
        <w:rPr>
          <w:rFonts w:ascii="Arial" w:cs="Arial" w:eastAsia="Arial" w:hAnsi="Arial"/>
          <w:sz w:val="26"/>
          <w:szCs w:val="26"/>
          <w:color w:val="FFFFFF"/>
          <w:vertAlign w:val="superscript"/>
        </w:rPr>
        <w:t>WAre</w:t>
      </w:r>
      <w:r>
        <w:rPr>
          <w:rFonts w:ascii="Arial" w:cs="Arial" w:eastAsia="Arial" w:hAnsi="Arial"/>
          <w:sz w:val="13"/>
          <w:szCs w:val="13"/>
          <w:color w:val="FFFFFF"/>
        </w:rPr>
        <w:t>Solutions…</w:t>
      </w:r>
    </w:p>
    <w:p>
      <w:pPr>
        <w:spacing w:after="0" w:line="204" w:lineRule="auto"/>
        <w:rPr>
          <w:sz w:val="20"/>
          <w:szCs w:val="20"/>
          <w:color w:val="auto"/>
        </w:rPr>
      </w:pPr>
      <w:r>
        <w:rPr>
          <w:rFonts w:ascii="Arial" w:cs="Arial" w:eastAsia="Arial" w:hAnsi="Arial"/>
          <w:sz w:val="4"/>
          <w:szCs w:val="4"/>
          <w:color w:val="FFFFFF"/>
        </w:rPr>
        <w:t>InspiredAutomotivebyinnovationIndustrial Technology Medical Aerospace Electrical</w:t>
      </w:r>
    </w:p>
    <w:p>
      <w:pPr>
        <w:spacing w:after="0" w:line="205" w:lineRule="auto"/>
        <w:rPr>
          <w:sz w:val="20"/>
          <w:szCs w:val="20"/>
          <w:color w:val="auto"/>
        </w:rPr>
      </w:pPr>
      <w:r>
        <w:rPr>
          <w:rFonts w:ascii="Arial" w:cs="Arial" w:eastAsia="Arial" w:hAnsi="Arial"/>
          <w:sz w:val="4"/>
          <w:szCs w:val="4"/>
          <w:color w:val="FFFFFF"/>
        </w:rPr>
        <w:t>www.nninc.com</w:t>
      </w:r>
    </w:p>
    <w:p>
      <w:pPr>
        <w:spacing w:after="0"/>
        <w:rPr>
          <w:sz w:val="20"/>
          <w:szCs w:val="20"/>
          <w:color w:val="auto"/>
        </w:rPr>
      </w:pPr>
      <w:r>
        <w:rPr>
          <w:rFonts w:ascii="Arial" w:cs="Arial" w:eastAsia="Arial" w:hAnsi="Arial"/>
          <w:sz w:val="13"/>
          <w:szCs w:val="13"/>
          <w:color w:val="FFFFFF"/>
        </w:rPr>
        <w:t>70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2019-12-06T05:09:39Z</dcterms:created>
  <dcterms:modified xsi:type="dcterms:W3CDTF">2019-12-06T05:09:39Z</dcterms:modified>
</cp:coreProperties>
</file>