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136525</wp:posOffset>
            </wp:positionH>
            <wp:positionV relativeFrom="page">
              <wp:posOffset>136525</wp:posOffset>
            </wp:positionV>
            <wp:extent cx="72891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jc w:val="center"/>
        <w:ind w:right="2839"/>
        <w:spacing w:after="0"/>
        <w:rPr>
          <w:sz w:val="20"/>
          <w:szCs w:val="20"/>
          <w:color w:val="auto"/>
        </w:rPr>
      </w:pPr>
      <w:r>
        <w:rPr>
          <w:rFonts w:ascii="Courier New" w:cs="Courier New" w:eastAsia="Courier New" w:hAnsi="Courier New"/>
          <w:sz w:val="15"/>
          <w:szCs w:val="15"/>
          <w:b w:val="1"/>
          <w:bCs w:val="1"/>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Washington, D.C. 20549</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b w:val="1"/>
          <w:bCs w:val="1"/>
          <w:color w:val="auto"/>
        </w:rPr>
        <w:t>______________________</w:t>
      </w:r>
    </w:p>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FORM 10-K</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|X| ANNUAL REPORT PURSUANT TO SECTION 13 OR 15(d) OF THE</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SECURITIES EXCHANGE ACT OF 1934</w:t>
      </w:r>
    </w:p>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For the fiscal year ended December 31, 2001</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OR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|_| TRANSITION REPORT PURSUANT TO SECTION 13 OR 15(d) OF THE</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SECURITIES EXCHANGE ACT OF 1934</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For the transition period from to</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Commission file number 0-23486</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b w:val="1"/>
          <w:bCs w:val="1"/>
          <w:color w:val="auto"/>
        </w:rPr>
        <w:t>______________________</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NN, INC.</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(Exact name of registrant as specified in its charter)</w:t>
      </w:r>
    </w:p>
    <w:p>
      <w:pPr>
        <w:spacing w:after="0" w:line="8" w:lineRule="exact"/>
        <w:rPr>
          <w:sz w:val="24"/>
          <w:szCs w:val="24"/>
          <w:color w:val="auto"/>
        </w:rPr>
      </w:pPr>
    </w:p>
    <w:p>
      <w:pPr>
        <w:ind w:left="540" w:right="3479" w:firstLine="1015"/>
        <w:spacing w:after="0" w:line="256" w:lineRule="auto"/>
        <w:rPr>
          <w:sz w:val="20"/>
          <w:szCs w:val="20"/>
          <w:color w:val="auto"/>
        </w:rPr>
      </w:pPr>
      <w:r>
        <w:rPr>
          <w:rFonts w:ascii="Courier New" w:cs="Courier New" w:eastAsia="Courier New" w:hAnsi="Courier New"/>
          <w:sz w:val="15"/>
          <w:szCs w:val="15"/>
          <w:b w:val="1"/>
          <w:bCs w:val="1"/>
          <w:color w:val="auto"/>
        </w:rPr>
        <w:t xml:space="preserve">Delaware 62-1096725 </w:t>
      </w:r>
      <w:r>
        <w:rPr>
          <w:rFonts w:ascii="Courier New" w:cs="Courier New" w:eastAsia="Courier New" w:hAnsi="Courier New"/>
          <w:sz w:val="15"/>
          <w:szCs w:val="15"/>
          <w:color w:val="auto"/>
        </w:rPr>
        <w:t>(State or other jurisdiction of (I.R.S. Employer incorporation or organization) Identification No.)</w:t>
      </w:r>
    </w:p>
    <w:p>
      <w:pPr>
        <w:sectPr>
          <w:pgSz w:w="11900" w:h="16909" w:orient="portrait"/>
          <w:cols w:equalWidth="0" w:num="1">
            <w:col w:w="10219"/>
          </w:cols>
          <w:pgMar w:left="240" w:top="414" w:right="1440" w:bottom="0" w:gutter="0" w:footer="0" w:header="0"/>
        </w:sectPr>
      </w:pPr>
    </w:p>
    <w:p>
      <w:pPr>
        <w:spacing w:after="0" w:line="347"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2000 Waters Edge Drive</w:t>
      </w:r>
    </w:p>
    <w:p>
      <w:pPr>
        <w:spacing w:after="0" w:line="8"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Johnson City, Tennessee</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37604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sectPr>
          <w:pgSz w:w="11900" w:h="16909" w:orient="portrait"/>
          <w:cols w:equalWidth="0" w:num="2">
            <w:col w:w="4820" w:space="720"/>
            <w:col w:w="4679"/>
          </w:cols>
          <w:pgMar w:left="240" w:top="414" w:right="1440" w:bottom="0" w:gutter="0" w:footer="0" w:header="0"/>
          <w:type w:val="continuous"/>
        </w:sectPr>
      </w:pPr>
    </w:p>
    <w:p>
      <w:pPr>
        <w:jc w:val="center"/>
        <w:ind w:right="2839"/>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w:t>
      </w:r>
    </w:p>
    <w:p>
      <w:pPr>
        <w:spacing w:after="0" w:line="185"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5" w:lineRule="exact"/>
        <w:rPr>
          <w:sz w:val="24"/>
          <w:szCs w:val="24"/>
          <w:color w:val="auto"/>
        </w:rPr>
      </w:pPr>
    </w:p>
    <w:tbl>
      <w:tblPr>
        <w:tblLayout w:type="fixed"/>
        <w:tblInd w:w="1200" w:type="dxa"/>
        <w:tblCellMar>
          <w:top w:w="0" w:type="dxa"/>
          <w:left w:w="0" w:type="dxa"/>
          <w:bottom w:w="0" w:type="dxa"/>
          <w:right w:w="0" w:type="dxa"/>
        </w:tblCellMar>
      </w:tblPr>
      <w:tr>
        <w:trPr>
          <w:trHeight w:val="172"/>
        </w:trPr>
        <w:tc>
          <w:tcPr>
            <w:tcW w:w="2120" w:type="dxa"/>
            <w:vAlign w:val="bottom"/>
          </w:tcPr>
          <w:p>
            <w:pPr>
              <w:jc w:val="center"/>
              <w:ind w:right="1143"/>
              <w:spacing w:after="0"/>
              <w:rPr>
                <w:sz w:val="20"/>
                <w:szCs w:val="20"/>
                <w:color w:val="auto"/>
              </w:rPr>
            </w:pPr>
            <w:r>
              <w:rPr>
                <w:rFonts w:ascii="Courier New" w:cs="Courier New" w:eastAsia="Courier New" w:hAnsi="Courier New"/>
                <w:sz w:val="15"/>
                <w:szCs w:val="15"/>
                <w:color w:val="auto"/>
              </w:rPr>
              <w:t>Title of</w:t>
            </w:r>
          </w:p>
        </w:tc>
        <w:tc>
          <w:tcPr>
            <w:tcW w:w="3220" w:type="dxa"/>
            <w:vAlign w:val="bottom"/>
          </w:tcPr>
          <w:p>
            <w:pPr>
              <w:ind w:left="1200"/>
              <w:spacing w:after="0"/>
              <w:rPr>
                <w:sz w:val="20"/>
                <w:szCs w:val="20"/>
                <w:color w:val="auto"/>
              </w:rPr>
            </w:pPr>
            <w:r>
              <w:rPr>
                <w:rFonts w:ascii="Courier New" w:cs="Courier New" w:eastAsia="Courier New" w:hAnsi="Courier New"/>
                <w:sz w:val="15"/>
                <w:szCs w:val="15"/>
                <w:color w:val="auto"/>
              </w:rPr>
              <w:t>Name of each exchange</w:t>
            </w:r>
          </w:p>
        </w:tc>
      </w:tr>
      <w:tr>
        <w:trPr>
          <w:trHeight w:val="177"/>
        </w:trPr>
        <w:tc>
          <w:tcPr>
            <w:tcW w:w="212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each class</w:t>
            </w:r>
          </w:p>
        </w:tc>
        <w:tc>
          <w:tcPr>
            <w:tcW w:w="3220" w:type="dxa"/>
            <w:vAlign w:val="bottom"/>
          </w:tcPr>
          <w:p>
            <w:pPr>
              <w:ind w:left="1280"/>
              <w:spacing w:after="0"/>
              <w:rPr>
                <w:sz w:val="20"/>
                <w:szCs w:val="20"/>
                <w:color w:val="auto"/>
              </w:rPr>
            </w:pPr>
            <w:r>
              <w:rPr>
                <w:rFonts w:ascii="Courier New" w:cs="Courier New" w:eastAsia="Courier New" w:hAnsi="Courier New"/>
                <w:sz w:val="15"/>
                <w:szCs w:val="15"/>
                <w:color w:val="auto"/>
              </w:rPr>
              <w:t>on which registered</w:t>
            </w:r>
          </w:p>
        </w:tc>
      </w:tr>
      <w:tr>
        <w:trPr>
          <w:trHeight w:val="177"/>
        </w:trPr>
        <w:tc>
          <w:tcPr>
            <w:tcW w:w="212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__________</w:t>
            </w:r>
          </w:p>
        </w:tc>
        <w:tc>
          <w:tcPr>
            <w:tcW w:w="3220" w:type="dxa"/>
            <w:vAlign w:val="bottom"/>
          </w:tcPr>
          <w:p>
            <w:pPr>
              <w:ind w:left="1200"/>
              <w:spacing w:after="0"/>
              <w:rPr>
                <w:sz w:val="20"/>
                <w:szCs w:val="20"/>
                <w:color w:val="auto"/>
              </w:rPr>
            </w:pPr>
            <w:r>
              <w:rPr>
                <w:rFonts w:ascii="Courier New" w:cs="Courier New" w:eastAsia="Courier New" w:hAnsi="Courier New"/>
                <w:sz w:val="15"/>
                <w:szCs w:val="15"/>
                <w:color w:val="auto"/>
              </w:rPr>
              <w:t>______________________</w:t>
            </w:r>
          </w:p>
        </w:tc>
      </w:tr>
      <w:tr>
        <w:trPr>
          <w:trHeight w:val="355"/>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None</w:t>
            </w:r>
          </w:p>
        </w:tc>
        <w:tc>
          <w:tcPr>
            <w:tcW w:w="3220" w:type="dxa"/>
            <w:vAlign w:val="bottom"/>
          </w:tcPr>
          <w:p>
            <w:pPr>
              <w:ind w:left="1840"/>
              <w:spacing w:after="0"/>
              <w:rPr>
                <w:sz w:val="20"/>
                <w:szCs w:val="20"/>
                <w:color w:val="auto"/>
              </w:rPr>
            </w:pPr>
            <w:r>
              <w:rPr>
                <w:rFonts w:ascii="Courier New" w:cs="Courier New" w:eastAsia="Courier New" w:hAnsi="Courier New"/>
                <w:sz w:val="15"/>
                <w:szCs w:val="15"/>
                <w:color w:val="auto"/>
              </w:rPr>
              <w:t>None</w:t>
            </w:r>
          </w:p>
        </w:tc>
      </w:tr>
    </w:tbl>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Common Stock, par value $.01</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(Title of class)</w:t>
      </w:r>
    </w:p>
    <w:p>
      <w:pPr>
        <w:spacing w:after="0" w:line="185" w:lineRule="exact"/>
        <w:rPr>
          <w:sz w:val="24"/>
          <w:szCs w:val="24"/>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620" w:val="left"/>
          <w:tab w:leader="none" w:pos="1540" w:val="left"/>
          <w:tab w:leader="none" w:pos="21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|_|</w:t>
      </w:r>
    </w:p>
    <w:p>
      <w:pPr>
        <w:spacing w:after="0" w:line="362" w:lineRule="exact"/>
        <w:rPr>
          <w:sz w:val="24"/>
          <w:szCs w:val="24"/>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The number of shares of the registrant's common stock outstanding on March 25, 2002 was 15,340,806.</w:t>
      </w:r>
    </w:p>
    <w:p>
      <w:pPr>
        <w:spacing w:after="0" w:line="174" w:lineRule="exact"/>
        <w:rPr>
          <w:sz w:val="24"/>
          <w:szCs w:val="24"/>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25, 2002, based on the closing price on the NASDAQ National Market System on that date was approximately $158,010,302.</w:t>
      </w:r>
    </w:p>
    <w:p>
      <w:pPr>
        <w:spacing w:after="0" w:line="17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b w:val="1"/>
          <w:bCs w:val="1"/>
          <w:color w:val="auto"/>
        </w:rPr>
        <w:t>DOCUMENTS INCORPORATED BY REFERENCE</w:t>
      </w:r>
    </w:p>
    <w:p>
      <w:pPr>
        <w:spacing w:after="0" w:line="185" w:lineRule="exact"/>
        <w:rPr>
          <w:sz w:val="24"/>
          <w:szCs w:val="24"/>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Portions of the Proxy Statement with respect to the 2002 Annual Meeting of Stockholders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81280</wp:posOffset>
            </wp:positionV>
            <wp:extent cx="72891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b w:val="1"/>
          <w:bCs w:val="1"/>
          <w:color w:val="auto"/>
        </w:rPr>
        <w:t>Part 1</w:t>
      </w:r>
    </w:p>
    <w:p>
      <w:pPr>
        <w:spacing w:after="0" w:line="185"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1.</w:t>
        <w:tab/>
        <w:t>Business</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b w:val="1"/>
          <w:bCs w:val="1"/>
          <w:color w:val="auto"/>
        </w:rPr>
        <w:t>Overview</w:t>
      </w:r>
    </w:p>
    <w:p>
      <w:pPr>
        <w:spacing w:after="0" w:line="185" w:lineRule="exact"/>
        <w:rPr>
          <w:sz w:val="24"/>
          <w:szCs w:val="24"/>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NN, Inc. (the "Company") is an independent manufacturer and supplier of high quality, precision components to domestic and international anti-friction bearing manufacturers, other original equipment manufactures, the automotive industry, and other aftermarkets.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 In addition to balls and rollers, the Company provides full-service design and manufacture of plastic injection molded components to the bearing, automotive, electronic, leisure and consumer markets with an</w:t>
      </w:r>
    </w:p>
    <w:p>
      <w:pPr>
        <w:sectPr>
          <w:pgSz w:w="11900" w:h="16909" w:orient="portrait"/>
          <w:cols w:equalWidth="0" w:num="1">
            <w:col w:w="10219"/>
          </w:cols>
          <w:pgMar w:left="240" w:top="414" w:right="1440" w:bottom="0" w:gutter="0" w:footer="0" w:header="0"/>
          <w:type w:val="continuous"/>
        </w:sectPr>
      </w:pPr>
    </w:p>
    <w:bookmarkStart w:id="1" w:name="page2"/>
    <w:bookmarkEnd w:id="1"/>
    <w:p>
      <w:pPr>
        <w:spacing w:after="0" w:line="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emphasis on value-added products that take advantage of its capabilities in product development, tool design and tight tolerance molding processes. With the acquisition of The Delta Rubber Co. ("Delta") on February 16, 2001 the Company now also provides precision bearing seals and other precision molded rubber products to the bearing, automotive, industrial, agricultural, and aerospace markets.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was organized in October 1980 by a group of senior managers of the ball and roller division of Hoover Precision Products, Inc. (formerly Hoover Universal, Inc.), led by Richard Ennen, the Company's former Chairman. The Company was founded in order to meet the bearings industry's need for a dependable source of high quality, precision balls and rollers. During 2001, the Company sold its products to over 500 customers located in over 24 different countries. Its primary customers include AB SKF ("SKF"), FAG Kugelfisher Georg Shafer AG ("FAG"), SNR Roulements, and the Torrington Company.</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formerly known as Industrial Molding Corporation ("IMC"). The Company currently operates the business under the name Industrial Molding Corporation.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 100% ownership interest in NN Arte, a manufacturer of plastic components located in Guadalajara, Mexico.</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On February 16, 2001, the Company acquired of all of the outstanding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 The Delta Rubber Company ("Delta"), a Connecticut corporation,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million in cash. Delta provides high quality engineered bearing seals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precision-molded rubber products to bearing and other original equipment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manufacturers. Delta operates two facilities in Danielson, Connecticut.</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The closing was made as part of the Company's strategy to redistribute its global production in order to better utilize capacity and serve the needs of its worldwide customers. The precision ball production of the Walterboro facility has been fully absorbed by the Company's remaining U.S. ball and roller manufacturing facilities located in Erwin and Mountain City, Tennessee. The Company recorded before tax charges associated with the closing of $1.9 million. This amount includes a $1.1 million before-tax charge for the recording of impairment on the Company's manufacturing facility located in Walterboro, South Carolina and $0.8 million related to employee severance costs. These amounts are reflected as restructuring and impairment costs in the accompanying Consolidated Statements of Income. The building along with certain machinery and equipment are held for sale as of December 31, 2001. These assets have an</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aggregate net book value of $4.3 million. The financial results of this operation have been reflected in the Balls and Rollers Segment. See Note 10 of the Notes to Consolidated Financial Statements for additional financial information.</w:t>
      </w:r>
    </w:p>
    <w:p>
      <w:pPr>
        <w:spacing w:after="0" w:line="176" w:lineRule="exact"/>
        <w:rPr>
          <w:sz w:val="20"/>
          <w:szCs w:val="20"/>
          <w:color w:val="auto"/>
        </w:rPr>
      </w:pPr>
    </w:p>
    <w:p>
      <w:pPr>
        <w:ind w:right="2659" w:firstLine="830"/>
        <w:spacing w:after="0" w:line="251" w:lineRule="auto"/>
        <w:rPr>
          <w:sz w:val="20"/>
          <w:szCs w:val="20"/>
          <w:color w:val="auto"/>
        </w:rPr>
      </w:pPr>
      <w:r>
        <w:rPr>
          <w:rFonts w:ascii="Courier New" w:cs="Courier New" w:eastAsia="Courier New" w:hAnsi="Courier New"/>
          <w:sz w:val="15"/>
          <w:szCs w:val="15"/>
          <w:color w:val="auto"/>
        </w:rPr>
        <w:t>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The notes are due on December 21, 2006 with annual installments of $0.2 million. The notes bear interest at average LIBOR (1.88% at December 31, 2001) plus 1.5%. In 2001, the Company recorded a non-cash after-tax loss on sale of the investment in this joint venture of $144,000.</w:t>
      </w:r>
    </w:p>
    <w:p>
      <w:pPr>
        <w:spacing w:after="0" w:line="35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For managerial and financial analysis purposes, management views the Company's operations in three segments. The domestic ball and roller operations of Erwin, Tennessee and Mountain City, Tennessee ("Domestic Ball and Roller Segment"), the Euroball facilities of Kilkenny, Ireland, Eltmann, Germany and Pinerolo, Italy ("Euroball Segment") and the "Plastics Segment" which consists of IMC, Delta Rubber and NN Arte.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Products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At its ball and roller facilities in Erwin, Tennessee and Mountain City, Tennessee, the Company produces and sells high quality, precision steel balls in sizes ranging in diameter from 3/16 of an inch to 2 1/2 inches and rollers in a limited variety of sizes. At its Euroball facilities, the Company</w:t>
      </w:r>
    </w:p>
    <w:p>
      <w:pPr>
        <w:sectPr>
          <w:pgSz w:w="11900" w:h="16845" w:orient="portrait"/>
          <w:cols w:equalWidth="0" w:num="1">
            <w:col w:w="10219"/>
          </w:cols>
          <w:pgMar w:left="240" w:top="142" w:right="1440" w:bottom="0" w:gutter="0" w:footer="0" w:header="0"/>
        </w:sectPr>
      </w:pPr>
    </w:p>
    <w:bookmarkStart w:id="2" w:name="page3"/>
    <w:bookmarkEnd w:id="2"/>
    <w:p>
      <w:pPr>
        <w:ind w:right="2839"/>
        <w:spacing w:after="0" w:line="250" w:lineRule="auto"/>
        <w:rPr>
          <w:sz w:val="20"/>
          <w:szCs w:val="20"/>
          <w:color w:val="auto"/>
        </w:rPr>
      </w:pPr>
      <w:r>
        <w:rPr>
          <w:rFonts w:ascii="Courier New" w:cs="Courier New" w:eastAsia="Courier New" w:hAnsi="Courier New"/>
          <w:sz w:val="15"/>
          <w:szCs w:val="15"/>
          <w:color w:val="auto"/>
        </w:rPr>
        <w:t>produces and sells high quality steel balls in sizes ranging from 1/8 of an inch to 12 1/2 inches in diameter. The Company produces and sells balls in a variety of grades ranging from grade 3 to grade 1000 and rollers in a variety of grades ranging from grade 50 to grade 1000. The grade number for a ball or a roller indicates the degree of spherical or cylindrical precision of the ball or roller; for example, grade 3 balls are manufactured to within three millionths of an inch of roundness and grade 50 rollers are manufactured to within fifty millionths of an inch of roundness. At its Domestic Ball and Roller Segment, sales of steel balls accounted for approximately 92%, 92% and 89% of the segment's net sales in 1999, 2000 and 2001, respectively. Sales of rollers accounted for the balance of the segment's sales in these years.</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Steel Balls. </w:t>
      </w:r>
      <w:r>
        <w:rPr>
          <w:rFonts w:ascii="Courier New" w:cs="Courier New" w:eastAsia="Courier New" w:hAnsi="Courier New"/>
          <w:sz w:val="15"/>
          <w:szCs w:val="15"/>
          <w:color w:val="auto"/>
        </w:rPr>
        <w:t>The Company manufactures high quality,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balls in three different types of steel: 52100 steel, 440C stainless steel and S2 rock bit steel. Each of the different types of steel has unique characteristics that make it suitable for particular applications.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During 2001, approximately 98% of the balls produced by the Company's domestic ball and roller operations were made from 52100 steel ("52100 Steel"). 100% of the balls produced by the Company's Euroball joint venture were made from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and sells 52100 Steel balls in eleven grades ranging from grade 1000 to grade 3 (highest precision), and in sizes ranging in diameter from 1/8 of an inch to 12 1/2 inches. The primary grades of the 52100 Steel balls are grade 16, grade 10, and grade 5 and grade 3.</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Steel Rollers. </w:t>
      </w:r>
      <w:r>
        <w:rPr>
          <w:rFonts w:ascii="Courier New" w:cs="Courier New" w:eastAsia="Courier New" w:hAnsi="Courier New"/>
          <w:sz w:val="15"/>
          <w:szCs w:val="15"/>
          <w:color w:val="auto"/>
        </w:rPr>
        <w:t>The Company manufactures rollers at its Erwin,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Tennessee facility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plus hydraulic pumps and motors.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Bearing Seals. </w:t>
      </w:r>
      <w:r>
        <w:rPr>
          <w:rFonts w:ascii="Courier New" w:cs="Courier New" w:eastAsia="Courier New" w:hAnsi="Courier New"/>
          <w:sz w:val="15"/>
          <w:szCs w:val="15"/>
          <w:color w:val="auto"/>
        </w:rPr>
        <w:t>Delta manufactures and sells a wide range of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bearing seals. Delta utilizes a variety of compression, transfer and injection molding processes and adhesion technologies to create rubber to metal bonded bearing seals. The seals are used in applications for automotive, industrial, agricultural, mining and aerospace markets. In 2001, 45% of Delta's sales were to the automotive industry.</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Plastic Components. </w:t>
      </w:r>
      <w:r>
        <w:rPr>
          <w:rFonts w:ascii="Courier New" w:cs="Courier New" w:eastAsia="Courier New" w:hAnsi="Courier New"/>
          <w:sz w:val="15"/>
          <w:szCs w:val="15"/>
          <w:color w:val="auto"/>
        </w:rPr>
        <w:t>IMC manufactures and sells a wide range</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of plastic molded products through its two facilities in Lubbock, Texas. IMC's products can be classified into three primary market segments - bearing retainers, automotive under the hood components and other precision components which include automotive components, electronic instrument cases and precision electronic connectors and lenses as well as a variety of other specialized parts.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Bearing Retainers. </w:t>
      </w:r>
      <w:r>
        <w:rPr>
          <w:rFonts w:ascii="Courier New" w:cs="Courier New" w:eastAsia="Courier New" w:hAnsi="Courier New"/>
          <w:sz w:val="15"/>
          <w:szCs w:val="15"/>
          <w:color w:val="auto"/>
        </w:rPr>
        <w:t>IMC manufactures and sells high precision plastic</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retainers for ball and roller bearings used in a wide variety of applications, including industrial automotive products. During 2001, sales of bearing retainers accounted for approximately 38% of IMC's sales.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Automotive Components. </w:t>
      </w:r>
      <w:r>
        <w:rPr>
          <w:rFonts w:ascii="Courier New" w:cs="Courier New" w:eastAsia="Courier New" w:hAnsi="Courier New"/>
          <w:sz w:val="15"/>
          <w:szCs w:val="15"/>
          <w:color w:val="auto"/>
        </w:rPr>
        <w:t>IMC manufacturers and sells high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plastic automotive under the hood parts. These parts utilize high performance engineered polymers that draw upon IMC's ability to mold highly technical dimension parts. These components include hydraulic cylinders, clutch systems, seat belts, gears and transmission components. During 2001, sales of automotive parts accounted for approximately 33% of IMC's sales.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Other. </w:t>
      </w:r>
      <w:r>
        <w:rPr>
          <w:rFonts w:ascii="Courier New" w:cs="Courier New" w:eastAsia="Courier New" w:hAnsi="Courier New"/>
          <w:sz w:val="15"/>
          <w:szCs w:val="15"/>
          <w:color w:val="auto"/>
        </w:rPr>
        <w:t>IMC also manufactures and sells a variety of high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molded parts including plastic instrument cases, precision end connectors and lenses for fiber optics as well as other specialized parts. During 2001, sales for these items accounted for 29% of IMC's sales.</w:t>
      </w:r>
    </w:p>
    <w:p>
      <w:pPr>
        <w:spacing w:after="0" w:line="176" w:lineRule="exact"/>
        <w:rPr>
          <w:sz w:val="20"/>
          <w:szCs w:val="20"/>
          <w:color w:val="auto"/>
        </w:rPr>
      </w:pPr>
    </w:p>
    <w:p>
      <w:pPr>
        <w:ind w:right="3119" w:firstLine="825"/>
        <w:spacing w:after="0" w:line="252" w:lineRule="auto"/>
        <w:tabs>
          <w:tab w:leader="none" w:pos="110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Arté manufactures and sells a variety of precision and molded components including gearing, gearing assemblies and automotive components to office automation manufacturers and the automotive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Sales and Marketing</w:t>
      </w:r>
    </w:p>
    <w:p>
      <w:pPr>
        <w:spacing w:after="0" w:line="18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The Company markets balls and rollers in the United States and abroad primarily through seven salaried sales employees. Additional internal sales employees handle customer orders and provide sales support.</w:t>
      </w:r>
    </w:p>
    <w:p>
      <w:pPr>
        <w:spacing w:after="0" w:line="17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Plastics Segment markets its products through commissioned sales representatives or directly through salaried marketing and sales employees. Additional internal customer service employees handle customer orders and provide sales and design support. Additionally, certain engineers and manufacturing employees provide sales and design support due to the technical nature of the products.</w:t>
      </w:r>
    </w:p>
    <w:p>
      <w:pPr>
        <w:spacing w:after="0" w:line="176"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following table presents a breakdown of the Company's net sales for fiscal years 1999 through 2001:</w:t>
      </w:r>
    </w:p>
    <w:p>
      <w:pPr>
        <w:sectPr>
          <w:pgSz w:w="11900" w:h="16838" w:orient="portrait"/>
          <w:cols w:equalWidth="0" w:num="1">
            <w:col w:w="10219"/>
          </w:cols>
          <w:pgMar w:left="240" w:top="142" w:right="1440" w:bottom="5" w:gutter="0" w:footer="0" w:header="0"/>
        </w:sectPr>
      </w:pPr>
    </w:p>
    <w:bookmarkStart w:id="3" w:name="page4"/>
    <w:bookmarkEnd w:id="3"/>
    <w:tbl>
      <w:tblPr>
        <w:tblLayout w:type="fixed"/>
        <w:tblInd w:w="540" w:type="dxa"/>
        <w:tblCellMar>
          <w:top w:w="0" w:type="dxa"/>
          <w:left w:w="0" w:type="dxa"/>
          <w:bottom w:w="0" w:type="dxa"/>
          <w:right w:w="0" w:type="dxa"/>
        </w:tblCellMar>
      </w:tblPr>
      <w:tr>
        <w:trPr>
          <w:trHeight w:val="172"/>
        </w:trPr>
        <w:tc>
          <w:tcPr>
            <w:tcW w:w="2740" w:type="dxa"/>
            <w:vAlign w:val="bottom"/>
          </w:tcPr>
          <w:p>
            <w:pPr>
              <w:spacing w:after="0"/>
              <w:rPr>
                <w:sz w:val="20"/>
                <w:szCs w:val="20"/>
                <w:color w:val="auto"/>
              </w:rPr>
            </w:pPr>
            <w:r>
              <w:rPr>
                <w:rFonts w:ascii="Courier New" w:cs="Courier New" w:eastAsia="Courier New" w:hAnsi="Courier New"/>
                <w:sz w:val="15"/>
                <w:szCs w:val="15"/>
                <w:b w:val="1"/>
                <w:bCs w:val="1"/>
                <w:color w:val="auto"/>
              </w:rPr>
              <w:t>(In Thousands)</w:t>
            </w:r>
          </w:p>
        </w:tc>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7"/>
        </w:trPr>
        <w:tc>
          <w:tcPr>
            <w:tcW w:w="2740" w:type="dxa"/>
            <w:vAlign w:val="bottom"/>
          </w:tcPr>
          <w:p>
            <w:pPr>
              <w:spacing w:after="0"/>
              <w:rPr>
                <w:sz w:val="15"/>
                <w:szCs w:val="15"/>
                <w:color w:val="auto"/>
              </w:rPr>
            </w:pPr>
          </w:p>
        </w:tc>
        <w:tc>
          <w:tcPr>
            <w:tcW w:w="17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2001</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2000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2740" w:type="dxa"/>
            <w:vAlign w:val="bottom"/>
          </w:tcPr>
          <w:p>
            <w:pPr>
              <w:spacing w:after="0"/>
              <w:rPr>
                <w:sz w:val="20"/>
                <w:szCs w:val="20"/>
                <w:color w:val="auto"/>
              </w:rPr>
            </w:pPr>
            <w:r>
              <w:rPr>
                <w:rFonts w:ascii="Courier New" w:cs="Courier New" w:eastAsia="Courier New" w:hAnsi="Courier New"/>
                <w:sz w:val="15"/>
                <w:szCs w:val="15"/>
                <w:color w:val="auto"/>
              </w:rPr>
              <w:t>Domestic Ball and Roller</w:t>
            </w:r>
          </w:p>
        </w:tc>
        <w:tc>
          <w:tcPr>
            <w:tcW w:w="1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740" w:type="dxa"/>
            <w:vAlign w:val="bottom"/>
          </w:tcPr>
          <w:p>
            <w:pPr>
              <w:ind w:left="460"/>
              <w:spacing w:after="0"/>
              <w:rPr>
                <w:sz w:val="20"/>
                <w:szCs w:val="20"/>
                <w:color w:val="auto"/>
              </w:rPr>
            </w:pPr>
            <w:r>
              <w:rPr>
                <w:rFonts w:ascii="Courier New" w:cs="Courier New" w:eastAsia="Courier New" w:hAnsi="Courier New"/>
                <w:sz w:val="15"/>
                <w:szCs w:val="15"/>
                <w:color w:val="auto"/>
              </w:rPr>
              <w:t>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$52,692</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$67,637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$67,736</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29.3%</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79.4%</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Euroball 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86,719</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33,988</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48.1%</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Plastics 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40,740</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30,504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17,558</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22.6%</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20.6%</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$ 180,151</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$ 132,129</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$85,294</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marketing strategy relative to the Domestic Ball and Roller Segment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and/or roller manufacturing capabilities. The Company's sales staff traditionally emphasizes the potential quality advantages and cost savings associated with the outsourcing of such bearing manufacturers' needs by purchasing precision components from the Company instead of manufacturing such components internally.</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Plastics Segment's marketing strategy is to increase its share of the market by offering custom manufactured, high quality, precision parts in a cost-effective manner. This strategy focuses on relationships with key customers that require technically difficult parts, which enable the Plastics Segment to take advantage of its strengths in product development, tool design and tight tolerance molding processes. The Plastics Segment has historically focused on the North American market. However, management believes certain synergies exist between its various segments that will allow the Company to further penetrate the North American market as well as broaden its European and Asian presence by working with the Company's global customer base.</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90 to 120 days following the date of shipment in order to allow for additional freight time and customs clearance. For customers that participate in the Company's inventory management program, sales are recorded when the customer uses the product, and payments typically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are due 30 days thereafter. See "Business -- Customers" and "Management's Discussion and Analysis of Financial Condition and Results of Operations -- 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Customers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Company's ten largest customers accounted for approximately 73% of its consolidated net sales. Sales to various U.S. and foreign divisions of SKF, which is one of the largest bearing manufacturers in the world, accounted for approximately 35% of net sales in 2001 and sales to FAG accounted for approximately 19% of net sales in 2001. None of the Company's other customers accounted for more than 5% of its net sales in 2001.</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Domestic Ball and Roller Segment sold its products to more than 500 customers located in more than 20 different countries. Approximately 50% of ball and roller net sales in 2001 were to customers outside the United States. Sales to the Domestic Ball &amp; Roller Segment's top ten customers accounted for approximately 74% of the segments' net sales in 2001. Sales to SKF and FAG accounted for approximately 35% and 14% of the segment's net sales in 2001 respectively. Sales to SKF and FAG are made pursuant to the terms of the sales agreements which expire in 2006.</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2001, the Euroball Segment sold its products to more than 40 customers located in 28 different countries. Approximately 87% of its net sales in 2001 were to customers within Europe. Sales to the segment's top ten customers accounted for approximately 94% of the segment's net sales in 2001. Sales to SKF and FAG accounted for approximately 49% and 27% of the segment's net sales in 2001, respectively. Sales to SKF and FAG are made pursuant to the terms of sales agreements which expire in 2006.</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Plastics Segment sold its products to more than 100 customers located in more than 10 different countries. Approximately 8% of plastic net sales were to customers outside the United States. Sales to the segment's top ten customers accounted for approximately 74% of the segments' net sales in 2001. See Note 4 of the Notes to Consolidated Financial statements for additional financial information.</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See Note 10 of the Notes to Financial Statements and "Management's</w:t>
      </w:r>
    </w:p>
    <w:p>
      <w:pPr>
        <w:sectPr>
          <w:pgSz w:w="11900" w:h="16838" w:orient="portrait"/>
          <w:cols w:equalWidth="0" w:num="1">
            <w:col w:w="10219"/>
          </w:cols>
          <w:pgMar w:left="240" w:top="142" w:right="1440" w:bottom="0" w:gutter="0" w:footer="0" w:header="0"/>
        </w:sectPr>
      </w:pPr>
    </w:p>
    <w:bookmarkStart w:id="4" w:name="page5"/>
    <w:bookmarkEnd w:id="4"/>
    <w:p>
      <w:pPr>
        <w:ind w:right="2839"/>
        <w:spacing w:after="0" w:line="251" w:lineRule="auto"/>
        <w:rPr>
          <w:sz w:val="20"/>
          <w:szCs w:val="20"/>
          <w:color w:val="auto"/>
        </w:rPr>
      </w:pPr>
      <w:r>
        <w:rPr>
          <w:rFonts w:ascii="Courier New" w:cs="Courier New" w:eastAsia="Courier New" w:hAnsi="Courier New"/>
          <w:sz w:val="15"/>
          <w:szCs w:val="15"/>
          <w:color w:val="auto"/>
        </w:rPr>
        <w:t>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ordinarily ships its products directly to customers within 60 days, and in some cases, during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 are not obligated to purchase any specific amounts. While firm orders generally are received only monthly, the Company normally is aware of reasonably anticipated future orders well in advance of the placement of a firm order. Certain agreements are in effect with some of the Company's largest customers, which provide for targeted, annual cost adjustments that may be offset by material cost fluctuations. The Company has installed a computerized, bar coded inventory management system with most of its major ball and roller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Employees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As of December 31, 2001, the Company had 1,316 full-time employees of whom 1,173 were engaged in production/maintenance. Of these 1,316 employees, 235 were employed at the Domestic Ball and Roller Segment facilities, 677 at the Euroball Segment, 399 at the Plastics Segment and 5 are considered Corporate. The Company believes that relations with its employees are good.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Competition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markets for IMC's and NN Arte's products are intensely competitive. Since the industry is currently very fragmented, IMC and NN Arte must compete with numerous companies in each of their marketing segments. Many of these companies have substantially greater financial resources than the Company and many currently offer competing products nationally and internationally. IMC's primary competitor in the bearing retainer segment is Nakanishi Manufacturing Corporation. Domestically, Nypro, Inc. and Key Plastics are the main competitors in the automotive segment. NN Arte primarily competes with various suppliers in Mexico.</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markets for Delta's products are also intensely competitive. The bearing seal market is comprised of approximately six major competitors that range from small privately held companies to Fortune 500 global enterprises. Bearing seal manufacturers compete on the design, service, quality and price. Delta's primary competitors in the United States bearing seal market are Freindenburg-NOK, Chicago Rawhide Industries and Trostel, LTD.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Raw Materials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primary raw material used by the Company in its Domestic Ball and Roller Segment and Euroball Segment is 52100 Steel. During 2001, approximately 98% and 100% of the steel used by these two segments, respectively, was 52100 Steel. The Company's other steel requirements include type 440C stainless steel and type S2 rock bit steel. The Domestic Ball and Roller Segment purchases substantially all of its 52100 Steel requirements from foreign mills because of the lack of domestic producers of such steel at the quality level required by the Company. The Euroball Segment purchases all of its 52100 Steel requirements from European mills. The other steel requirements of the Company also are purchased principally from foreign steel manufacturers.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allocates its steel purchases among suppliers on the basis</w:t>
      </w:r>
    </w:p>
    <w:p>
      <w:pPr>
        <w:sectPr>
          <w:pgSz w:w="11900" w:h="16838" w:orient="portrait"/>
          <w:cols w:equalWidth="0" w:num="1">
            <w:col w:w="10219"/>
          </w:cols>
          <w:pgMar w:left="240" w:top="142" w:right="1440" w:bottom="0" w:gutter="0" w:footer="0" w:header="0"/>
        </w:sectPr>
      </w:pPr>
    </w:p>
    <w:bookmarkStart w:id="5" w:name="page6"/>
    <w:bookmarkEnd w:id="5"/>
    <w:p>
      <w:pPr>
        <w:ind w:right="3019"/>
        <w:spacing w:after="0" w:line="251" w:lineRule="auto"/>
        <w:rPr>
          <w:sz w:val="20"/>
          <w:szCs w:val="20"/>
          <w:color w:val="auto"/>
        </w:rPr>
      </w:pPr>
      <w:r>
        <w:rPr>
          <w:rFonts w:ascii="Courier New" w:cs="Courier New" w:eastAsia="Courier New" w:hAnsi="Courier New"/>
          <w:sz w:val="15"/>
          <w:szCs w:val="15"/>
          <w:color w:val="auto"/>
        </w:rPr>
        <w:t>of price and quality. Generally, the Domestic Ball &amp; Roller Segment does not enter into written supply agreements among its suppliers or commit itself to maintain minimum monthly purchases of steel, except for the consignment arrangements among Ascometal and Euroball (see Note 14). The Company's pricing arrangements with its suppliers typically are subject to adjustment once every six months.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or if the United States dollar decreases in value relative to foreign currencies. On March 6, 2002, the U.S. government adopted legislation that imposed certain tariffs on the import of certain foreign produced steel into the United States. The Company continues to evaluate the impacts of this legislation, but believes at this time, any impact to the Company's operations or financial conditions will be immaterial.</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primary raw materials used by IMC and NN Arte are engineered resins. Injection grade nylon is utilized in bearing retainers, gears, automotive and other industrial products. The Company purchases substantially all of its resin requirements from domestic manufacturers and suppliers. The majority of these suppliers are international companies with resin manufacturing facilities located throughout the world.</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Delta uses certified vendors to provide a customer mix of proprietary rubber compounds. Delta also procures metal stampings from several domestic suppliers.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Patents, Trademarks and Licenses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 Nature of Business</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Historically, due to a substantial portion of sales to foreign customers, seasonality has been a factor for the Company in that some foreign customers typically cease their production activities during the month of August.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Environmental Compliance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operations and products are subject to extensive federal, state and local regulatory requirements both domestically and abroad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In the past, 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Executive Officers of the Registrant</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The executive officers of the Company consist of the following persons:</w:t>
      </w:r>
    </w:p>
    <w:p>
      <w:pPr>
        <w:sectPr>
          <w:pgSz w:w="11900" w:h="16838" w:orient="portrait"/>
          <w:cols w:equalWidth="0" w:num="1">
            <w:col w:w="10219"/>
          </w:cols>
          <w:pgMar w:left="240" w:top="142" w:right="1440" w:bottom="0" w:gutter="0" w:footer="0" w:header="0"/>
        </w:sectPr>
      </w:pP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2500" w:space="720"/>
            <w:col w:w="1320" w:space="720"/>
            <w:col w:w="4959"/>
          </w:cols>
          <w:pgMar w:left="240" w:top="142" w:right="1440" w:bottom="0" w:gutter="0" w:footer="0" w:header="0"/>
          <w:type w:val="continuous"/>
        </w:sectPr>
      </w:pPr>
    </w:p>
    <w:p>
      <w:pPr>
        <w:jc w:val="center"/>
        <w:ind w:left="620"/>
        <w:spacing w:after="0"/>
        <w:rPr>
          <w:sz w:val="20"/>
          <w:szCs w:val="20"/>
          <w:color w:val="auto"/>
        </w:rPr>
      </w:pPr>
      <w:r>
        <w:rPr>
          <w:rFonts w:ascii="Courier New" w:cs="Courier New" w:eastAsia="Courier New" w:hAnsi="Courier New"/>
          <w:sz w:val="15"/>
          <w:szCs w:val="15"/>
          <w:color w:val="auto"/>
        </w:rPr>
        <w:t>Roderick R. Baty</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Chairman of the Board, Chief Executive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Officer, President and Director</w:t>
      </w:r>
    </w:p>
    <w:p>
      <w:pPr>
        <w:sectPr>
          <w:pgSz w:w="11900" w:h="16838" w:orient="portrait"/>
          <w:cols w:equalWidth="0" w:num="2">
            <w:col w:w="2500" w:space="720"/>
            <w:col w:w="6999"/>
          </w:cols>
          <w:pgMar w:left="240" w:top="142"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Frank T. Gentry, III</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Manufacturing</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Robert R. Sams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Market Services</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David L. Dyckman</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Corporate Development</w:t>
            </w:r>
          </w:p>
        </w:tc>
      </w:tr>
      <w:tr>
        <w:trPr>
          <w:trHeight w:val="177"/>
        </w:trPr>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and Chief Financial Officer</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William C. Kelly, Jr.</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Treasurer, Secretary and Chief Accounting</w:t>
            </w:r>
          </w:p>
        </w:tc>
      </w:tr>
      <w:tr>
        <w:trPr>
          <w:trHeight w:val="177"/>
        </w:trPr>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Officer</w:t>
            </w:r>
          </w:p>
        </w:tc>
      </w:tr>
      <w:tr>
        <w:trPr>
          <w:trHeight w:val="710"/>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r>
      <w:tr>
        <w:trPr>
          <w:trHeight w:val="161"/>
        </w:trPr>
        <w:tc>
          <w:tcPr>
            <w:tcW w:w="3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9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4060"/>
        <w:spacing w:after="0" w:line="253" w:lineRule="auto"/>
        <w:rPr>
          <w:sz w:val="20"/>
          <w:szCs w:val="20"/>
          <w:color w:val="auto"/>
        </w:rPr>
      </w:pPr>
      <w:r>
        <w:rPr>
          <w:rFonts w:ascii="Courier New" w:cs="Courier New" w:eastAsia="Courier New" w:hAnsi="Courier New"/>
          <w:sz w:val="15"/>
          <w:szCs w:val="15"/>
          <w:i w:val="1"/>
          <w:iCs w:val="1"/>
          <w:color w:val="auto"/>
        </w:rPr>
        <w:t xml:space="preserve">Biographical Information. </w:t>
      </w:r>
      <w:r>
        <w:rPr>
          <w:rFonts w:ascii="Courier New" w:cs="Courier New" w:eastAsia="Courier New" w:hAnsi="Courier New"/>
          <w:sz w:val="15"/>
          <w:szCs w:val="15"/>
          <w:color w:val="auto"/>
        </w:rPr>
        <w:t>Set forth below is certain additional information with</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respect to each executive officer of the Company.</w:t>
      </w:r>
    </w:p>
    <w:p>
      <w:pPr>
        <w:spacing w:after="0" w:line="174"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Roderick R. Baty was elected Chairman of the Board in September 2001 and continues to serve as Chief Executive Officer and President. He has served as President and Chief Executive Officer since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75" w:lineRule="exact"/>
        <w:rPr>
          <w:sz w:val="20"/>
          <w:szCs w:val="20"/>
          <w:color w:val="auto"/>
        </w:rPr>
      </w:pPr>
    </w:p>
    <w:p>
      <w:pPr>
        <w:ind w:right="4160" w:firstLine="830"/>
        <w:spacing w:after="0" w:line="251" w:lineRule="auto"/>
        <w:rPr>
          <w:sz w:val="20"/>
          <w:szCs w:val="20"/>
          <w:color w:val="auto"/>
        </w:rPr>
      </w:pPr>
      <w:r>
        <w:rPr>
          <w:rFonts w:ascii="Courier New" w:cs="Courier New" w:eastAsia="Courier New" w:hAnsi="Courier New"/>
          <w:sz w:val="15"/>
          <w:szCs w:val="15"/>
          <w:color w:val="auto"/>
        </w:rPr>
        <w:t>Frank T. Gentry, III, was originally appointed Vice President - Manufacturing in August 1995. Mr. Gentry is responsible for the global operations of the Ball and Roller and Euroball Segments. Mr. Gentry's responsibilities include purchasing, inventory control and transportation. Mr. Gentry joined the Company in 1981 and held various production control positions within the Company from 1981 to August 1995.</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David L. Dyckman was appointed Vice President of Corporate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PricewaterhouseCoopers LLP.</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2.</w:t>
        <w:tab/>
        <w:t>Properties</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Company has two operating domestic ball manufacturing facilities located in Erwin, Tennessee and Mountain City, Tennessee. Rollers are only produced at the Erwin, Tennessee facility. Production began in early 1996 at the Mountain City facility. During December 2001, the Company ceased production and closed its facility in Walterboro, South Carolina. The Walterboro, South Carolina facility is classified as held for sale at December 31, 2001.</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Erwin and Mountain City plants currently have approximately 125,000 and 58,000 square feet of manufacturing space, respectively. The Erwin plant is located on a 12 acre tract of land owned by the Company and the Mountain City plant is located on an 8 acre tract of land owned by the Company.</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Through Euroball the Company manufactures high precision steel balls in three manufacturing facilities located in Kilkenny, Ireland, Eltmann, Germany and Pinerolo, Italy. The facilities currently have approximately 125,000, 175,000 and 330,000 square feet of manufacturing space, respectively. The Kilkenny facility is located on a two acre tract owned by Euroball, the Eltmann facility is leased from FAG and the Pinerolo facility is located on a 9 acre tract owned by Euroball.</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IMC manufactures a wide range of plastic molded products through two facilities located in Lubbock, Texas. The Slaton facility, located on a 6.5 acre tract of land owned by the Company, contains approximately 193,000 square feet of manufacturing, warehouse and office space. The Cedar facility is situated on a 2.5 acre tract of land which is also owned by the Company and contains approximately 35,000 square feet of manufacturing and warehouse space.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NN Arté leases a single 18,000 square foot facility in Guadalajara,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Delta's operations are located in two facilities on a 12-acre site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Danielson, Connecticut, owned by the Company. The two facilities encompass over</w:t>
      </w:r>
    </w:p>
    <w:p>
      <w:pPr>
        <w:sectPr>
          <w:pgSz w:w="11900" w:h="16838" w:orient="portrait"/>
          <w:cols w:equalWidth="0" w:num="1">
            <w:col w:w="11440"/>
          </w:cols>
          <w:pgMar w:left="240" w:top="142" w:right="21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50,000 square feet of rubber seal manufacturing and administrative functions.</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During 2001, the Company added new machinery and equipment at all of its facilities. See "Management's Discussion and Analysis of Financial Condition and Results of Operations -- Liquidity and Capital Resources."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3.</w:t>
        <w:tab/>
        <w:t>Legal Proceedings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4.</w:t>
        <w:tab/>
        <w:t>Submission of Matters to a Vote of Security Holders</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2001.</w:t>
      </w:r>
    </w:p>
    <w:p>
      <w:pPr>
        <w:spacing w:after="0" w:line="17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5.</w:t>
        <w:tab/>
        <w:t>Market for the Registrant's Common Equity and Related Stockholder Matters</w:t>
      </w:r>
    </w:p>
    <w:p>
      <w:pPr>
        <w:spacing w:after="0" w:line="185" w:lineRule="exact"/>
        <w:rPr>
          <w:sz w:val="20"/>
          <w:szCs w:val="20"/>
          <w:color w:val="auto"/>
        </w:rPr>
      </w:pPr>
    </w:p>
    <w:p>
      <w:pPr>
        <w:jc w:val="both"/>
        <w:ind w:right="3019" w:firstLine="830"/>
        <w:spacing w:after="0" w:line="251" w:lineRule="auto"/>
        <w:rPr>
          <w:sz w:val="20"/>
          <w:szCs w:val="20"/>
          <w:color w:val="auto"/>
        </w:rPr>
      </w:pPr>
      <w:r>
        <w:rPr>
          <w:rFonts w:ascii="Courier New" w:cs="Courier New" w:eastAsia="Courier New" w:hAnsi="Courier New"/>
          <w:sz w:val="15"/>
          <w:szCs w:val="15"/>
          <w:color w:val="auto"/>
        </w:rPr>
        <w:t>Since the Company's initial public offering in 1994, the Common Stock has been traded on the Nasdaq National Market under the trading symbol "NNBR." Prior to such time there was no established market for the Common Stock. As of March 25, 2002, there were approximately 1,750 holders of record of the Common Stock.</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table sets forth the high and low sales prices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as reported by Nasdaq, and the dividends paid per share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during each calendar quarter of 2000 and 2001.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20" w:type="dxa"/>
            <w:vAlign w:val="bottom"/>
          </w:tcPr>
          <w:p>
            <w:pPr>
              <w:jc w:val="right"/>
              <w:ind w:right="1183"/>
              <w:spacing w:after="0"/>
              <w:rPr>
                <w:sz w:val="20"/>
                <w:szCs w:val="20"/>
                <w:color w:val="auto"/>
              </w:rPr>
            </w:pPr>
            <w:r>
              <w:rPr>
                <w:rFonts w:ascii="Courier New" w:cs="Courier New" w:eastAsia="Courier New" w:hAnsi="Courier New"/>
                <w:sz w:val="15"/>
                <w:szCs w:val="15"/>
                <w:b w:val="1"/>
                <w:bCs w:val="1"/>
                <w:color w:val="auto"/>
              </w:rPr>
              <w:t>Price</w:t>
            </w:r>
          </w:p>
        </w:tc>
        <w:tc>
          <w:tcPr>
            <w:tcW w:w="1340" w:type="dxa"/>
            <w:vAlign w:val="bottom"/>
          </w:tcPr>
          <w:p>
            <w:pPr>
              <w:spacing w:after="0"/>
              <w:rPr>
                <w:sz w:val="14"/>
                <w:szCs w:val="14"/>
                <w:color w:val="auto"/>
              </w:rPr>
            </w:pPr>
          </w:p>
        </w:tc>
      </w:tr>
      <w:tr>
        <w:trPr>
          <w:trHeight w:val="177"/>
        </w:trPr>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20" w:type="dxa"/>
            <w:vAlign w:val="bottom"/>
          </w:tcPr>
          <w:p>
            <w:pPr>
              <w:jc w:val="right"/>
              <w:ind w:right="90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tcPr>
          <w:p>
            <w:pPr>
              <w:spacing w:after="0"/>
              <w:rPr>
                <w:sz w:val="15"/>
                <w:szCs w:val="15"/>
                <w:color w:val="auto"/>
              </w:rPr>
            </w:pPr>
          </w:p>
        </w:tc>
      </w:tr>
      <w:tr>
        <w:trPr>
          <w:trHeight w:val="355"/>
        </w:trPr>
        <w:tc>
          <w:tcPr>
            <w:tcW w:w="2020" w:type="dxa"/>
            <w:vAlign w:val="bottom"/>
          </w:tcPr>
          <w:p>
            <w:pPr>
              <w:spacing w:after="0"/>
              <w:rPr>
                <w:sz w:val="24"/>
                <w:szCs w:val="24"/>
                <w:color w:val="auto"/>
              </w:rPr>
            </w:pPr>
          </w:p>
        </w:tc>
        <w:tc>
          <w:tcPr>
            <w:tcW w:w="172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High</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b w:val="1"/>
                <w:bCs w:val="1"/>
                <w:color w:val="auto"/>
              </w:rPr>
              <w:t>Low</w:t>
            </w:r>
          </w:p>
        </w:tc>
        <w:tc>
          <w:tcPr>
            <w:tcW w:w="1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Dividend</w:t>
            </w:r>
          </w:p>
        </w:tc>
      </w:tr>
      <w:tr>
        <w:trPr>
          <w:trHeight w:val="177"/>
        </w:trPr>
        <w:tc>
          <w:tcPr>
            <w:tcW w:w="2020" w:type="dxa"/>
            <w:vAlign w:val="bottom"/>
          </w:tcPr>
          <w:p>
            <w:pPr>
              <w:spacing w:after="0"/>
              <w:rPr>
                <w:sz w:val="15"/>
                <w:szCs w:val="15"/>
                <w:color w:val="auto"/>
              </w:rPr>
            </w:pPr>
          </w:p>
        </w:tc>
        <w:tc>
          <w:tcPr>
            <w:tcW w:w="172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2000</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 ----</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$10.88</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$6.75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11.38</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8.03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10.50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9.50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7.13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355"/>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2001</w:t>
            </w:r>
          </w:p>
        </w:tc>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$9.17</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$6.53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10.81</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10.84</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7.75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bl>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 - Liquidity and Capital Resources" herein.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6.</w:t>
        <w:tab/>
        <w:t>Selected Financial Data</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following selected financial data of the Company are qualified by reference to and should be read in conjunction with the Consolidated Financial Statements and the Notes thereto included as Item 8. The data set forth below as of December 31, 2001 and for the periods ended December 31, 2001 and December 31, 2000 have been derived from the Consolidated Financial Statements of the Company which have been audited by KPMG LLP, independent accountants, whose report thereon is included as part of Item 8. The data below as of December 31, 1999 and for the periods ended December 31, 1999, 1998 and 1997 have been derived from the Consolidated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w:t>
      </w:r>
    </w:p>
    <w:p>
      <w:pPr>
        <w:spacing w:after="0" w:line="8"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5"/>
          <w:szCs w:val="15"/>
          <w:b w:val="1"/>
          <w:bCs w:val="1"/>
          <w:color w:val="auto"/>
        </w:rPr>
        <w:t>1999</w:t>
      </w:r>
      <w:r>
        <w:rPr>
          <w:sz w:val="20"/>
          <w:szCs w:val="20"/>
          <w:color w:val="auto"/>
        </w:rPr>
        <w:tab/>
      </w:r>
      <w:r>
        <w:rPr>
          <w:rFonts w:ascii="Courier New" w:cs="Courier New" w:eastAsia="Courier New" w:hAnsi="Courier New"/>
          <w:sz w:val="15"/>
          <w:szCs w:val="15"/>
          <w:b w:val="1"/>
          <w:bCs w:val="1"/>
          <w:color w:val="auto"/>
        </w:rPr>
        <w:t>1998</w:t>
      </w:r>
    </w:p>
    <w:p>
      <w:pPr>
        <w:spacing w:after="0" w:line="8"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5"/>
          <w:szCs w:val="15"/>
          <w:b w:val="1"/>
          <w:bCs w:val="1"/>
          <w:color w:val="auto"/>
        </w:rPr>
        <w:t>----</w:t>
      </w:r>
      <w:r>
        <w:rPr>
          <w:sz w:val="20"/>
          <w:szCs w:val="20"/>
          <w:color w:val="auto"/>
        </w:rPr>
        <w:tab/>
      </w:r>
      <w:r>
        <w:rPr>
          <w:rFonts w:ascii="Courier New" w:cs="Courier New" w:eastAsia="Courier New" w:hAnsi="Courier New"/>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ectPr>
          <w:pgSz w:w="11900" w:h="16838" w:orient="portrait"/>
          <w:cols w:equalWidth="0" w:num="5">
            <w:col w:w="4260" w:space="720"/>
            <w:col w:w="480" w:space="720"/>
            <w:col w:w="360" w:space="560"/>
            <w:col w:w="2120" w:space="280"/>
            <w:col w:w="719"/>
          </w:cols>
          <w:pgMar w:left="240" w:top="142"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3140" w:type="dxa"/>
            <w:vAlign w:val="bottom"/>
            <w:gridSpan w:val="2"/>
          </w:tcPr>
          <w:p>
            <w:pPr>
              <w:spacing w:after="0"/>
              <w:rPr>
                <w:sz w:val="20"/>
                <w:szCs w:val="20"/>
                <w:color w:val="auto"/>
              </w:rPr>
            </w:pPr>
            <w:r>
              <w:rPr>
                <w:rFonts w:ascii="Courier New" w:cs="Courier New" w:eastAsia="Courier New" w:hAnsi="Courier New"/>
                <w:sz w:val="15"/>
                <w:szCs w:val="15"/>
                <w:b w:val="1"/>
                <w:bCs w:val="1"/>
                <w:color w:val="auto"/>
              </w:rPr>
              <w:t>Statement of Income Data:</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$180,151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$132,129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$85,294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$73,006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$75,252</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137,591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93,926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59,967</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50,353</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51,707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42,560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38,203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25,327</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22,653</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23,545</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16,382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6,854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5,896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5,518</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13,340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9,165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6,131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4,557</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4,106</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10,526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17,467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12,342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12,200</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13,921</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4,006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1,773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523</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29</w:t>
            </w:r>
          </w:p>
        </w:tc>
      </w:tr>
      <w:tr>
        <w:trPr>
          <w:trHeight w:val="177"/>
        </w:trPr>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Equity in earnings of unconsolidated affiliate</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(728)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10,607</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16,606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11,819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12,136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13,892</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4,094</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5,959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4,060</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4,480</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5,382</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Minority interest in income of consolidated</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subsidiary</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1,753</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9,987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7,656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8,510</w:t>
            </w:r>
          </w:p>
        </w:tc>
      </w:tr>
      <w:tr>
        <w:trPr>
          <w:trHeight w:val="355"/>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49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principle, net of income tax benefit of $112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49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and related minority interest impact of $84</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$4,662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$9,987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$7,656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$8,510</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Diluted income per share:</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per share</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$0.82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$0.82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$0.94</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$0.32</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outstanding - Basic</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15,259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15,247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15,021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14,804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14,804</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 Diluted</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15,540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15,531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15,038</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14,804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14,809</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1"/>
        </w:trPr>
        <w:tc>
          <w:tcPr>
            <w:tcW w:w="4100" w:type="dxa"/>
            <w:vAlign w:val="bottom"/>
            <w:tcBorders>
              <w:bottom w:val="single" w:sz="8" w:color="9A9A9A"/>
            </w:tcBorders>
            <w:gridSpan w:val="3"/>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80" w:type="dxa"/>
            <w:vAlign w:val="bottom"/>
            <w:tcBorders>
              <w:bottom w:val="single" w:sz="8" w:color="9A9A9A"/>
            </w:tcBorders>
          </w:tcPr>
          <w:p>
            <w:pPr>
              <w:spacing w:after="0"/>
              <w:rPr>
                <w:sz w:val="13"/>
                <w:szCs w:val="13"/>
                <w:color w:val="auto"/>
              </w:rPr>
            </w:pPr>
          </w:p>
        </w:tc>
      </w:tr>
      <w:tr>
        <w:trPr>
          <w:trHeight w:val="683"/>
        </w:trPr>
        <w:tc>
          <w:tcPr>
            <w:tcW w:w="4100" w:type="dxa"/>
            <w:vAlign w:val="bottom"/>
            <w:gridSpan w:val="3"/>
          </w:tcPr>
          <w:p>
            <w:pPr>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5"/>
        </w:trPr>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gridSpan w:val="3"/>
          </w:tcPr>
          <w:p>
            <w:pPr>
              <w:jc w:val="right"/>
              <w:ind w:right="423"/>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5"/>
        </w:trPr>
        <w:tc>
          <w:tcPr>
            <w:tcW w:w="2120" w:type="dxa"/>
            <w:vAlign w:val="bottom"/>
          </w:tcPr>
          <w:p>
            <w:pPr>
              <w:spacing w:after="0"/>
              <w:rPr>
                <w:sz w:val="24"/>
                <w:szCs w:val="24"/>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2000</w:t>
            </w:r>
          </w:p>
        </w:tc>
        <w:tc>
          <w:tcPr>
            <w:tcW w:w="8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1999</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1998</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1997</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212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w:t>
            </w:r>
          </w:p>
        </w:tc>
        <w:tc>
          <w:tcPr>
            <w:tcW w:w="8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b w:val="1"/>
                <w:bCs w:val="1"/>
                <w:color w:val="auto"/>
              </w:rPr>
              <w:t>Balance Sheet Data:</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$ 55,617</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$ 63,866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$ 34,397</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$ 28,571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$ 26,185</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37,736</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33,840</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10,478</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7,638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7,471</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188,135</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187,808</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91,363</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66,860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63,273</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47,661</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50,515</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17,151</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62,039</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65,246</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60,128</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56,242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52,971</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-1699895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-1699895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7. Management's Discussion and Analysis of Financial Condition and Results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b w:val="1"/>
          <w:bCs w:val="1"/>
          <w:color w:val="auto"/>
        </w:rPr>
        <w:t>of Operations</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Overview</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Company's core business is the manufacture and sale of high quality, precision steel balls and rollers. In 2001, sales of balls and rollers accounted for approximately 77% of the Company's total net sales with 74% and 3% of sales from balls and rollers, respectively. Sales of precision molded plastic</w:t>
      </w:r>
    </w:p>
    <w:p>
      <w:pPr>
        <w:sectPr>
          <w:pgSz w:w="11900" w:h="16838" w:orient="portrait"/>
          <w:cols w:equalWidth="0" w:num="1">
            <w:col w:w="11440"/>
          </w:cols>
          <w:pgMar w:left="240" w:top="142" w:right="219" w:bottom="0" w:gutter="0" w:footer="0" w:header="0"/>
        </w:sectPr>
      </w:pPr>
    </w:p>
    <w:bookmarkStart w:id="9" w:name="page10"/>
    <w:bookmarkEnd w:id="9"/>
    <w:p>
      <w:pPr>
        <w:ind w:right="3119"/>
        <w:spacing w:after="0" w:line="253" w:lineRule="auto"/>
        <w:rPr>
          <w:sz w:val="20"/>
          <w:szCs w:val="20"/>
          <w:color w:val="auto"/>
        </w:rPr>
      </w:pPr>
      <w:r>
        <w:rPr>
          <w:rFonts w:ascii="Courier New" w:cs="Courier New" w:eastAsia="Courier New" w:hAnsi="Courier New"/>
          <w:sz w:val="15"/>
          <w:szCs w:val="15"/>
          <w:color w:val="auto"/>
        </w:rPr>
        <w:t>and rubber parts accounted for the remaining 23%. See Note 10 of the Notes to Consolidated Financial Statements.</w:t>
      </w:r>
    </w:p>
    <w:p>
      <w:pPr>
        <w:spacing w:after="0" w:line="17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Since the Company was formed in 1980 it has grown primarily through the displacement of captive ball manufacturing operations of domestic and international bearing manufacturers resulting in increased sales of high precision balls for quiet bearing applications. As a result, sales of high precision balls produced by the Company for use in quiet bearing applications has grown to approximately 85% of total net ball sales. Management believes that the Company's core business sales growth since its formation has been due to its ability to capitalize on opportunities in global markets and provide precision products at competitive prices, as well as its emphasis on product quality and customer service.</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1997, the Company recognized changing dynamics in the marketplace, and as a result, developed and implemented an extensive long-term growth strategy involving its core business and complementary opportunities that are built upon the Company's strengths and culture enabling the Company to better serve its global customer base. As part of this strategy, the Company sought to augment its intrinsic growth with complementary acquisitions that fit specific criteria.</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2001, IMC sold its products to more than 60 customers in 12 different countries.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of Euroball. As part of the transaction, Euroball acquired the ball factories located in Pinerolo,</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majority ownership and has accounted for the acquisitions of the Pinerolo, Italy and Eltmann, Germany ball factories using the purchase method of accounting. Goodwill arising from this acquisition is being amortized since formation on a straight-line basis over 20 years. Under the terms of the Shareholder Agreement among the Company, SKF, and FAG both SKF and FAG have the right, beginning January 2003, to exercise their respective put option regarding their interest in Euroball to the Company on a formula buy-out.</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The Company is required to consolidate NN Mexico due to its majority ownership and has accounted for this acquisition using the purchase method of accounting.</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The Company's credit facility with AmSouth Bank was renegotiated to provide financing for the transaction. The Company has accounted for this acquisition using the purchase method of accounting.</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The closing was made as part of the Company's strategy to redistribute its global production in order to better utilize capacity and serve the needs of its worldwide customers. The precision ball production of the Walterboro facility has been fully absorbed by the Company's remaining U.S. ball &amp; roller manufacturing facilities located in Erwin and Mountain City, Tennessee. The Company recorded before tax charges associated with the closing of $1.9 million. This amount includes a $1.1 million before-tax charge for the recording of impairment on the Company's manufacturing facility located in Walterboro, South Carolina and $0.8 million related to employee severance costs. These amounts are reflected as restructuring and impairment costs in the accompanying Consolidated Statements of Income. The building along with certain machinery and equipment are held for sale as of December 31, 2001. These assets have an aggregate carrying value of $4.3 million. The financial results of this operation have been reflected in the Domestic Ball and Roller Segment. See Note 10 of the Notes to Consolidated Financial Statements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Effective December 21, 2001, the Company sold its minority interest in Jiangsu General Ball &amp; Roller Company, LTD, a Chinese ball and roller manufacturer located in Rugao City, Jiangsu Province, China. To effect the</w:t>
      </w:r>
    </w:p>
    <w:p>
      <w:pPr>
        <w:sectPr>
          <w:pgSz w:w="11900" w:h="16838" w:orient="portrait"/>
          <w:cols w:equalWidth="0" w:num="1">
            <w:col w:w="10219"/>
          </w:cols>
          <w:pgMar w:left="240" w:top="142" w:right="1440" w:bottom="0" w:gutter="0" w:footer="0" w:header="0"/>
        </w:sectPr>
      </w:pPr>
    </w:p>
    <w:bookmarkStart w:id="10" w:name="page11"/>
    <w:bookmarkEnd w:id="10"/>
    <w:p>
      <w:pPr>
        <w:ind w:right="2559"/>
        <w:spacing w:after="0" w:line="252" w:lineRule="auto"/>
        <w:rPr>
          <w:sz w:val="20"/>
          <w:szCs w:val="20"/>
          <w:color w:val="auto"/>
        </w:rPr>
      </w:pPr>
      <w:r>
        <w:rPr>
          <w:rFonts w:ascii="Courier New" w:cs="Courier New" w:eastAsia="Courier New" w:hAnsi="Courier New"/>
          <w:sz w:val="15"/>
          <w:szCs w:val="15"/>
          <w:color w:val="auto"/>
        </w:rPr>
        <w:t>transaction, the Company sold its 50% ownership in NN General, LLC, which owns a 60% interest in the Jiangsu joint venture to its partner, General Bearing Corporation for cash of $0.6 million and notes of $3.3 million. In 2001, the Company recorded a non-cash after-tax loss on sale of the investments in this joint venture of $0.2 million.</w:t>
      </w:r>
    </w:p>
    <w:p>
      <w:pPr>
        <w:spacing w:after="0" w:line="351"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Critical Accounting Policies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NN, Inc.'s (the "Company") critical accounting policies, including the assumptions and judgment underlying them, are disclosed in the Notes to the Consolidated Financial Statements. These policies have been consistently applied in all material respects and address such matters as revenue recognition, useful lives of depreciable assets,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Accounts Receivable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Substantially all of the Company's accounts receivable are due primarily from the core served markets: bearing manufacturers, automotive industry, electronics, industrial agricultural and aerospace. Due to the Chapter 7 voluntary bankruptcy of one IMC customer and other write-offs, the Company experienced $1,668 of bad debt expense during 2001 versus $0 during 2000.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w:t>
      </w:r>
    </w:p>
    <w:p>
      <w:pPr>
        <w:spacing w:after="0" w:line="200" w:lineRule="exact"/>
        <w:rPr>
          <w:sz w:val="20"/>
          <w:szCs w:val="20"/>
          <w:color w:val="auto"/>
        </w:rPr>
      </w:pPr>
    </w:p>
    <w:p>
      <w:pPr>
        <w:spacing w:after="0" w:line="33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579"/>
        <w:spacing w:after="0" w:line="252" w:lineRule="auto"/>
        <w:rPr>
          <w:sz w:val="20"/>
          <w:szCs w:val="20"/>
          <w:color w:val="auto"/>
        </w:rPr>
      </w:pPr>
      <w:r>
        <w:rPr>
          <w:rFonts w:ascii="Courier New" w:cs="Courier New" w:eastAsia="Courier New" w:hAnsi="Courier New"/>
          <w:sz w:val="15"/>
          <w:szCs w:val="15"/>
          <w:color w:val="auto"/>
        </w:rPr>
        <w:t>adequate allowances for doubtful accounts have been provided in the Consolidated Financial Statements, it is possible that the Company could experience additional unexpected credit losses.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Inventories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Acquisitions and Acquired Intangibles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Company's business acquisitions typically result in goodwill which may effect the amount of future period amortization expense and possible impairment expense that we may incur. The determination of the value of such intangible assets and goodwill as well as the determination of their useful lives require that management make estimates that effect our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Impairment of Long-Lived Assets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long-lived assets include property, plant and equipment and goodwill. The recoverability of the long-term investments is dependent on the performance of the companies which the Company has acquired, as well as volatility inherent in the external markets for these acquisitions. In assessing potential impairment for these investments the Company will consider these factors as well as forecasted financial performance. Future adverse changes in market conditions or adverse operating results of the underlying investments could result in the Company having to record additional impairment charges not previously recognized.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Pension and Postretirement Obligations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 utilizes significant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utilizes a qualified actuary to calculate the periodic pension and postretirement expense and obligations based upon these assumptions and actual employee census data.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Useful Lives of Depreciable Assets</w:t>
      </w:r>
    </w:p>
    <w:p>
      <w:pPr>
        <w:spacing w:after="0" w:line="18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Company utilizes judgment in determining the estimated useful lives of its depreciable long-lived assets which are included in the consolidated</w:t>
      </w:r>
    </w:p>
    <w:p>
      <w:pPr>
        <w:sectPr>
          <w:pgSz w:w="11900" w:h="16838" w:orient="portrait"/>
          <w:cols w:equalWidth="0" w:num="1">
            <w:col w:w="10219"/>
          </w:cols>
          <w:pgMar w:left="240" w:top="142" w:right="1440" w:bottom="0" w:gutter="0" w:footer="0" w:header="0"/>
        </w:sectPr>
      </w:pPr>
    </w:p>
    <w:bookmarkStart w:id="11" w:name="page12"/>
    <w:bookmarkEnd w:id="11"/>
    <w:p>
      <w:pPr>
        <w:ind w:right="2939"/>
        <w:spacing w:after="0" w:line="251" w:lineRule="auto"/>
        <w:rPr>
          <w:sz w:val="20"/>
          <w:szCs w:val="20"/>
          <w:color w:val="auto"/>
        </w:rPr>
      </w:pPr>
      <w:r>
        <w:rPr>
          <w:rFonts w:ascii="Courier New" w:cs="Courier New" w:eastAsia="Courier New" w:hAnsi="Courier New"/>
          <w:sz w:val="15"/>
          <w:szCs w:val="15"/>
          <w:color w:val="auto"/>
        </w:rPr>
        <w:t>financial statements. The estimate of useful lives is determined by the Company's historical experience with the type of asset purchased which is impacted by the Company's preventative maintenance programs. The Company begins depreciation on its long-lived assets when they are substantially put into service.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Results of Operations</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3780" w:type="dxa"/>
            <w:vAlign w:val="bottom"/>
            <w:gridSpan w:val="3"/>
          </w:tcPr>
          <w:p>
            <w:pPr>
              <w:jc w:val="right"/>
              <w:ind w:right="463"/>
              <w:spacing w:after="0"/>
              <w:rPr>
                <w:sz w:val="20"/>
                <w:szCs w:val="20"/>
                <w:color w:val="auto"/>
              </w:rPr>
            </w:pPr>
            <w:r>
              <w:rPr>
                <w:rFonts w:ascii="Courier New" w:cs="Courier New" w:eastAsia="Courier New" w:hAnsi="Courier New"/>
                <w:sz w:val="15"/>
                <w:szCs w:val="15"/>
                <w:b w:val="1"/>
                <w:bCs w:val="1"/>
                <w:color w:val="auto"/>
              </w:rPr>
              <w:t>As a percentage of Net Sales</w:t>
            </w:r>
          </w:p>
        </w:tc>
      </w:tr>
      <w:tr>
        <w:trPr>
          <w:trHeight w:val="177"/>
        </w:trPr>
        <w:tc>
          <w:tcPr>
            <w:tcW w:w="5340" w:type="dxa"/>
            <w:vAlign w:val="bottom"/>
          </w:tcPr>
          <w:p>
            <w:pPr>
              <w:spacing w:after="0"/>
              <w:rPr>
                <w:sz w:val="15"/>
                <w:szCs w:val="15"/>
                <w:color w:val="auto"/>
              </w:rPr>
            </w:pPr>
          </w:p>
        </w:tc>
        <w:tc>
          <w:tcPr>
            <w:tcW w:w="3780" w:type="dxa"/>
            <w:vAlign w:val="bottom"/>
            <w:gridSpan w:val="3"/>
          </w:tcPr>
          <w:p>
            <w:pPr>
              <w:jc w:val="right"/>
              <w:ind w:right="743"/>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1999</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Cost of product sold</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71.1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70.3</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29.7</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13.9</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Minority interest in income of consolidated subsidiary</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 accounting</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w:t>
            </w: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principle</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of income tax benefit of $112 and related minority</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interest impact of $84</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 2001 Compared to the Year Ended December 31, 2000</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The Company's net sales increased $48.0 million or 36.3%,</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from $132.1 million in 2000 to $180.2 million in 2001. The inclusion of a full year of Euroball sales contributed $46.1 million of the increase, excluding the performance of the Ireland facility, which was consolidated into the results of the Company prior to the formation of Euroball. Additionally, the inclusion of 10.5 months of Delta's net sales in 2001 contributed $14.0 million. Offsetting this increase were decreased sales in the Domestic Ball and Roller and Plastics Segments in the last half of the year due to slowing demand related to the overall economic environment in the United States. Decreased sales during the year for the Plastics Segment were also due to decreased sales to one customer.</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Gross Profit. </w:t>
      </w:r>
      <w:r>
        <w:rPr>
          <w:rFonts w:ascii="Courier New" w:cs="Courier New" w:eastAsia="Courier New" w:hAnsi="Courier New"/>
          <w:sz w:val="15"/>
          <w:szCs w:val="15"/>
          <w:color w:val="auto"/>
        </w:rPr>
        <w:t>Gross profit increased by $4.4 million, or 11.4%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 million in 2000 to $42.6 million in 2001. Adjusting for the performance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Ireland facility, the Euroball joint venture contributed an additional $10.1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gross profit. The inclusion of 10.5 months of Delta's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contributed an additional $3.3 million in gross profit, while the sales volume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deterioration in the Domestic Ball and Roller and Plastics Segments decreased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 $9.0 million. Gross profit decreased from 28.9% of net sales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to 23.6% of net sales in 2001.</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Restructuring and Impairment Costs. </w:t>
      </w:r>
      <w:r>
        <w:rPr>
          <w:rFonts w:ascii="Courier New" w:cs="Courier New" w:eastAsia="Courier New" w:hAnsi="Courier New"/>
          <w:sz w:val="15"/>
          <w:szCs w:val="15"/>
          <w:color w:val="auto"/>
        </w:rPr>
        <w:t>Restructuring and impairment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by $2.3 million from $0.0 million in 2000 to $2.3 million in 2001. The increase includes a $1.1 million charge for the recording of impairment on the Company's manufacturing facility located in Walterboro, South Carolina, a $0.8 million charge related to employee severance costs related to the closing of the Walterboro, South Carolina facility and a $0.4 million charge related to Euroball. Restructuring and impairment costs were 1.3% of net sales during 2001.</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Selling, General and Administrative Expenses. </w:t>
      </w:r>
      <w:r>
        <w:rPr>
          <w:rFonts w:ascii="Courier New" w:cs="Courier New" w:eastAsia="Courier New" w:hAnsi="Courier New"/>
          <w:sz w:val="15"/>
          <w:szCs w:val="15"/>
          <w:color w:val="auto"/>
        </w:rPr>
        <w:t>Selling, general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administrative expenses increased by $4.8 million, or 41.6% from $11.6 million in 2000 to $16.4 million in 2001. The inclusion of a full year of Euroball results, adjusting for the Ireland facility, accounted for $3.5 million of the increase. The inclusion of 10.5 months of Delta's results accounted for $1.2 million of the increase. Additionally, bad debt expense primarily related to the bankruptcy filing of a major Plastics Segment customer contributed $0.8 million. Offsetting these increases were decreased spending related to cost reduction and cost containment efforts throughout the Company. As a percentage of net sales, selling, general and administrative expenses increased from 8.8% in 2000 to 9.1% in 2001.</w:t>
      </w:r>
    </w:p>
    <w:p>
      <w:pPr>
        <w:sectPr>
          <w:pgSz w:w="11900" w:h="16838" w:orient="portrait"/>
          <w:cols w:equalWidth="0" w:num="1">
            <w:col w:w="10219"/>
          </w:cols>
          <w:pgMar w:left="240" w:top="142" w:right="1440" w:bottom="0" w:gutter="0" w:footer="0" w:header="0"/>
        </w:sectPr>
      </w:pPr>
    </w:p>
    <w:bookmarkStart w:id="12" w:name="page13"/>
    <w:bookmarkEnd w:id="12"/>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Depreciation and Amortization. </w:t>
      </w:r>
      <w:r>
        <w:rPr>
          <w:rFonts w:ascii="Courier New" w:cs="Courier New" w:eastAsia="Courier New" w:hAnsi="Courier New"/>
          <w:sz w:val="15"/>
          <w:szCs w:val="15"/>
          <w:color w:val="auto"/>
        </w:rPr>
        <w:t>Depreciation and amortization expenses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$4.2 million, or 45.6% from $9.2 million in 2000 to $13.3 million in 2001. The inclusion of a full year of Euroball results, adjusting for the Ireland facility, accounted for $2.8 million of the increase. The inclusion of 10.5 months of Delta's results accounted for $1.1 million of the increase. As a percentage of net sales, depreciation and amortization increased from 6.9% in 2000 to 7.4% in 2001.</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Interest Expense. </w:t>
      </w:r>
      <w:r>
        <w:rPr>
          <w:rFonts w:ascii="Courier New" w:cs="Courier New" w:eastAsia="Courier New" w:hAnsi="Courier New"/>
          <w:sz w:val="15"/>
          <w:szCs w:val="15"/>
          <w:color w:val="auto"/>
        </w:rPr>
        <w:t>Interest expense increased by $2.2 million from $1.8</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2000 to $4.0 million in 2001. Interest expense related to the purchase of Delta accounted for $1.0 million of the increase. Additionally, the inclusion of a full year of interest expense related to the debt incurred by Euroball accounted for approximately $1.0 million of the increase. As a percentage of net sales, interest expense increased from 1.3% in 2000 to 2.2% in 2001. See "Management's Discussion and Analysis of Financial Condition - Liquidity and Capital Resources."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Equity in Earnings of Unconsolidated Affiliates. </w:t>
      </w:r>
      <w:r>
        <w:rPr>
          <w:rFonts w:ascii="Courier New" w:cs="Courier New" w:eastAsia="Courier New" w:hAnsi="Courier New"/>
          <w:sz w:val="15"/>
          <w:szCs w:val="15"/>
          <w:color w:val="auto"/>
        </w:rPr>
        <w:t>Equity in earnings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unconsolidated affiliates decreased $48,000 from $48,000 in 2000 to $0.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is due to the Company's share of earnings from the NN General joint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with General Bearing Corporation. Effective December 21, 2001,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sold its minority interest in Jiangsu General Ball &amp; Roller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a Chinese ball and roller manufacturer located in Rugao City, Jiangsu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Province, China. To effect the transaction, the Company sold its 50% ownership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NN General, LLC, which owns a 60% interest in the Jiangsu joint venture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partner, General Bearing Corporation for cash of $622,000 and notes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$3,305,000. In 2001, the Company recorded a non-cash after-tax loss on the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investment in this joint venture of $144,000. See Note 3 of the Notes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for additional financial information.</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Gain on Involuntary Conversion. </w:t>
      </w:r>
      <w:r>
        <w:rPr>
          <w:rFonts w:ascii="Courier New" w:cs="Courier New" w:eastAsia="Courier New" w:hAnsi="Courier New"/>
          <w:sz w:val="15"/>
          <w:szCs w:val="15"/>
          <w:color w:val="auto"/>
        </w:rPr>
        <w:t>The Company had a net gain 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involuntary conversion of $3.9 million in 2001 related to insurance proceeds as a result of the March 12, 2000 fire at the Erwin facility.</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Minority Interest in Consolidated Subsidiary. </w:t>
      </w:r>
      <w:r>
        <w:rPr>
          <w:rFonts w:ascii="Courier New" w:cs="Courier New" w:eastAsia="Courier New" w:hAnsi="Courier New"/>
          <w:sz w:val="15"/>
          <w:szCs w:val="15"/>
          <w:color w:val="auto"/>
        </w:rPr>
        <w:t>Minority interest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consolidated subsidiary increased $1.1 million from $0.7 million in 2000 to $1.8 million in 2001. This increase is due entirely to the Euroball joint venture which has been consolidated since its formation, August 1, 2000. The Company is required to consolidate Euroball in its Consolidated Financial Statements due to its majority ownership. The Company owns 54% of the shares of the joint venture with the minority partners owning the remaining 46%. Minority interest in consolidated subsidiary represents the combined 46% interest in Euroball's earnings of the minority partners and the 49% interest in NN Arte's earnings of the minority partners.</w:t>
      </w:r>
    </w:p>
    <w:p>
      <w:pPr>
        <w:spacing w:after="0" w:line="182"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decreased $5.2 million, or 52.3%, from $10.0</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2000 to $4.7 million in 2001. As a percentage of net sales, net income decreased from 7.6% in 2000 to 2.6% in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 2000 Compared to the Year Ended December 31, 1999</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The Company's net sales increased $46.8 million or 54.9%,</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from $85.3 million in 1999 to $132.1 million in 2000. The formation of Euroball in August of 2000 contributed $30.4 million of the increase, adjusting for the third and fourth quarter sales of the Ireland facility, which were consolidated into the results of the Company prior to the formation of Euroball. Additionally the inclusion of a full year of IMC's net sales contributed $12.9 million. The Company acquired IMC on July 4, 1999, thus six months of IMC's results were included in the Company's 1999 results. The remainder of the increase is due to increased ball and roller sales in the first half of the year, offset by slowing domestic demand for balls and rollers in the second half of the year. The Company experienced decreased sales in the second half of the year for the Plastics Segment due primarily to decreased sales to one customer.</w:t>
      </w: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Gross Profit. </w:t>
      </w:r>
      <w:r>
        <w:rPr>
          <w:rFonts w:ascii="Courier New" w:cs="Courier New" w:eastAsia="Courier New" w:hAnsi="Courier New"/>
          <w:sz w:val="15"/>
          <w:szCs w:val="15"/>
          <w:color w:val="auto"/>
        </w:rPr>
        <w:t>Gross profit increased by $12.9 million, or 50.8%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$25.3 million in 1999 to $38.2 million in 2000. Adjusting for the Ireland facility's third and fourth quarter gross profit, the Euroball joint venture accounted for $7.5 million of the increase. The inclusion of a full year of IMC's gross profit contributed an additional $4.0 million in gross profit. The remainder of the increase is primarily attributed to increased sales at the Domestic Ball and Roller Segment. To a lesser degree, decreased costs as a percentage of sales at the Domestic Ball and Roller Segment contributed to the increase in gross profit. This was due mainly to inventory builds during the fourth quarter of 2000. As a percentage of net sales, gross profit decreased from 29.7% in 1999 to 28.9% in 2000.</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Selling, General and Administrative Expenses. </w:t>
      </w:r>
      <w:r>
        <w:rPr>
          <w:rFonts w:ascii="Courier New" w:cs="Courier New" w:eastAsia="Courier New" w:hAnsi="Courier New"/>
          <w:sz w:val="15"/>
          <w:szCs w:val="15"/>
          <w:color w:val="auto"/>
        </w:rPr>
        <w:t>Selling, general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administrative expenses increased by $4.7 million, or 68.8% from $6.9 million in 1999 to $11.6 million in 2000. The Euroball Segment, adjusting for the Ireland facility, accounted for $2.4 million of the increase. The inclusion of a full year of IMC's results accounted for $1.6 million of the increase. The remainder of the increase is primarily attributed to increased administrative expenses associated with the Company's business development activity during the year. As a percentage of net sales, selling, general and administrative expenses increased from 8.0% in 1999 to 8.8% in 2000.</w:t>
      </w:r>
    </w:p>
    <w:p>
      <w:pPr>
        <w:sectPr>
          <w:pgSz w:w="11900" w:h="16838" w:orient="portrait"/>
          <w:cols w:equalWidth="0" w:num="1">
            <w:col w:w="10219"/>
          </w:cols>
          <w:pgMar w:left="240" w:top="319" w:right="1440" w:bottom="0" w:gutter="0" w:footer="0" w:header="0"/>
        </w:sectPr>
      </w:pPr>
    </w:p>
    <w:bookmarkStart w:id="13" w:name="page14"/>
    <w:bookmarkEnd w:id="13"/>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Depreciation and Amortization. </w:t>
      </w:r>
      <w:r>
        <w:rPr>
          <w:rFonts w:ascii="Courier New" w:cs="Courier New" w:eastAsia="Courier New" w:hAnsi="Courier New"/>
          <w:sz w:val="15"/>
          <w:szCs w:val="15"/>
          <w:color w:val="auto"/>
        </w:rPr>
        <w:t>Depreciation and amortization expenses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$3.0 million, or 49.5% from $6.1 million in 1999 to $9.2 million in 2000. The addition of Euroball, adjusting for the Ireland facility, accounted for $2.4 million of the increase. The inclusion of a full year of IMC's results accounted for the remainder of the increase. As a percentage of net sales, depreciation and amortization decreased from 7.2% in 1999 to 6.9% in 2000.</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Interest Expense. </w:t>
      </w:r>
      <w:r>
        <w:rPr>
          <w:rFonts w:ascii="Courier New" w:cs="Courier New" w:eastAsia="Courier New" w:hAnsi="Courier New"/>
          <w:sz w:val="15"/>
          <w:szCs w:val="15"/>
          <w:color w:val="auto"/>
        </w:rPr>
        <w:t>Interest expense increased by $1.3 million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$523,000 in 1999 to $1.8 million in 2000. Interest expense related to the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by Euroball to finance the joint venture transaction accounted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$622,000 of the increase. Additionally, the inclusion of a full year of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related to the purchase of the IMC business accounted for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of the increase. The remainder of the increase is due to increased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associated with the Company's business development activity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Additionally, the timing of expenditures associated with the March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fire and the reimbursement of insurance proceeds caused an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levels outstanding under the Company's domestic line of credit. As a 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interest expense increased from 0.6% in 1999 to 1.3% in 2000. 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 - Liquidity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Equity in Earnings of Unconsolidated Affiliates. </w:t>
      </w:r>
      <w:r>
        <w:rPr>
          <w:rFonts w:ascii="Courier New" w:cs="Courier New" w:eastAsia="Courier New" w:hAnsi="Courier New"/>
          <w:sz w:val="15"/>
          <w:szCs w:val="15"/>
          <w:color w:val="auto"/>
        </w:rPr>
        <w:t>Equity in earnings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unconsolidated affiliates increased $48,000 from $0 in 1999 to $48,000. The increase is due to the Company's share of earnings from the NN General joint venture with General Bearing Corporation. Earnings from this venture were offset by losses incurred from the start-up of the marketing arm of this venture and losses sustained from start-up expenses from the investment in NN Mexico LLC.</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Net Gain on Involuntary Conversion. </w:t>
      </w:r>
      <w:r>
        <w:rPr>
          <w:rFonts w:ascii="Courier New" w:cs="Courier New" w:eastAsia="Courier New" w:hAnsi="Courier New"/>
          <w:sz w:val="15"/>
          <w:szCs w:val="15"/>
          <w:color w:val="auto"/>
        </w:rPr>
        <w:t>The Company had a gain 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involuntary conversion of $728,000 in 2000 related to the excess of insurance proceeds over the net book value of assets destroyed and direct costs incurred as a result of the March 12, 2000 fire at the Erwin facility.</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Minority Interest in Consolidated Subsidiary. </w:t>
      </w:r>
      <w:r>
        <w:rPr>
          <w:rFonts w:ascii="Courier New" w:cs="Courier New" w:eastAsia="Courier New" w:hAnsi="Courier New"/>
          <w:sz w:val="15"/>
          <w:szCs w:val="15"/>
          <w:color w:val="auto"/>
        </w:rPr>
        <w:t>Minority interest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consolidated subsidiary increased $660,000 from $0 in 1999 to $660,000 in 2000. This increase is due entirely to the Euroball joint venture. The Company is required to consolidate Euroball due to its ability to exercise control over the operations. The Company owns 54% of the shares of the joint venture with the minority partners owning the remaining 46%. Minority interest in consolidated subsidiary represents the combined 46% interest in Euroball earnings of the minority partners.</w:t>
      </w:r>
    </w:p>
    <w:p>
      <w:pPr>
        <w:spacing w:after="0" w:line="175" w:lineRule="exact"/>
        <w:rPr>
          <w:sz w:val="20"/>
          <w:szCs w:val="20"/>
          <w:color w:val="auto"/>
        </w:rPr>
      </w:pPr>
    </w:p>
    <w:p>
      <w:pPr>
        <w:jc w:val="both"/>
        <w:ind w:right="329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increased $2.2 million, or 28.7%, from $7.8</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1999 to $10.0 million in 2000. As a percentage of net sales, net income decreased from 9.1% in 1999 to 7.6% in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Liquidity and Capital Resources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(3.30% at December 31, 2001) plus an applicable margin of between 1.175% to 2.25% based upon calculated financial ratios. The loan agreement contains various restrictive financial and non financial covenants. Restrictive covenants which specify, among other things, restrictions on the incurrence of indebtedness and the maintenance of certain financial ratios. These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facilities also include certain negative pledges. Euroball, as of December 31, 2001, was in compliance with all such covenants. At December 31, 2001, Euro 34,953,000 was available to Euroball under these facilities.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December 31,2001) plus an applicable margin of 0.75% to 2.00% based upon calculated financial ratio. The loan agreement contains customary financial and non-financial covenants. Restrictive covenants specify, among other things, restrictions on the incurrence of indebtedness , payment of dividends, capital expenditures, and the maintenance of certain financial ratios. The Company, as of December 31, 2001 was in compliance with all such covenants. At December 31, 2001, $15.2 million was available to the Company under these facilities.</w:t>
      </w:r>
    </w:p>
    <w:p>
      <w:pPr>
        <w:spacing w:after="0" w:line="18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w:t>
      </w:r>
    </w:p>
    <w:p>
      <w:pPr>
        <w:sectPr>
          <w:pgSz w:w="11900" w:h="16838" w:orient="portrait"/>
          <w:cols w:equalWidth="0" w:num="1">
            <w:col w:w="10219"/>
          </w:cols>
          <w:pgMar w:left="240" w:top="142" w:right="1440" w:bottom="0" w:gutter="0" w:footer="0" w:header="0"/>
        </w:sectPr>
      </w:pPr>
    </w:p>
    <w:bookmarkStart w:id="14" w:name="page15"/>
    <w:bookmarkEnd w:id="14"/>
    <w:p>
      <w:pPr>
        <w:ind w:right="2839"/>
        <w:spacing w:after="0" w:line="251" w:lineRule="auto"/>
        <w:rPr>
          <w:sz w:val="20"/>
          <w:szCs w:val="20"/>
          <w:color w:val="auto"/>
        </w:rPr>
      </w:pPr>
      <w:r>
        <w:rPr>
          <w:rFonts w:ascii="Courier New" w:cs="Courier New" w:eastAsia="Courier New" w:hAnsi="Courier New"/>
          <w:sz w:val="15"/>
          <w:szCs w:val="15"/>
          <w:color w:val="auto"/>
        </w:rPr>
        <w:t>Company) generally provide that payments are due within 90 or 120 days following the date of shipment. Under the Company's inventory management program, payments typically are due within 30 days after the product is used by the customer.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2001 and 2000, see Note 14 of the Notes to Consolidated Financial Statements.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risk has increased. Various strategies to manage this risk are available to management including producing and selling in local currencies and hedging programs. As of December 31, 2001 no currency hedges were in place. In addition, a strengthening of the U.S. dollar against foreign currencies could impair the ability of the Company to compete with international competitors for foreign as well as domestic sales.</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$17.9 million at December 31, 2001 as compared to $30.0 million at December 31, 2000. The ratio of current assets to current liabilities decreased from 1.89:1 at December 31, 2000 to 1.47:1 at December 31, 2001. Cash flow from operations decreased to $24.6 million during 2001 from $26.9 million during 2000.</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2002, the Company plans to spend approximately $6.8 million on capital expenditures related primarily to equipment and process upgrades and replacements. The Company intends to finance these activities with cash generated from operations and funds available under the credit facilities described above. The Company believes that funds generated from operations and borrowings from the credit facility will be sufficient to finance the Company's working capital needs and projected capital expenditure requirements through December 2002.</w:t>
      </w:r>
    </w:p>
    <w:p>
      <w:pPr>
        <w:spacing w:after="0" w:line="175" w:lineRule="exact"/>
        <w:rPr>
          <w:sz w:val="20"/>
          <w:szCs w:val="20"/>
          <w:color w:val="auto"/>
        </w:rPr>
      </w:pPr>
    </w:p>
    <w:p>
      <w:pPr>
        <w:ind w:right="2659" w:firstLine="830"/>
        <w:spacing w:after="0" w:line="250" w:lineRule="auto"/>
        <w:rPr>
          <w:sz w:val="20"/>
          <w:szCs w:val="20"/>
          <w:color w:val="auto"/>
        </w:rPr>
      </w:pPr>
      <w:r>
        <w:rPr>
          <w:rFonts w:ascii="Courier New" w:cs="Courier New" w:eastAsia="Courier New" w:hAnsi="Courier New"/>
          <w:sz w:val="15"/>
          <w:szCs w:val="15"/>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w:t>
      </w:r>
    </w:p>
    <w:p>
      <w:pPr>
        <w:spacing w:after="0" w:line="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using Euroball's historical cash flow, the exact amount of the put cannot be determined until the put right is exercised.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The Euro</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continued to circulate but were in sub-units of the Euro. At the end of the transitional period, Euro bank notes and coins were issued, and the national currencies of the member states will be legal tender no later than June 30, 2002.</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currently has operations in Ireland, Germany and Italy, which are Euro participating countries, and each facility sells product to customers in many of the participating countries. The functional currency of the Company's Euroball operations is the Euro.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Seasonality and Fluctuation in Quarterly Results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net sales historically have been seasonal in nature. Due to a significant portion of the Company's sales being to foreign customers that cease or significantly slow production during the month of August. For information concerning the Company's quarterly results of operations for the years ended December 31, 2001 and 2000, see Note 14 of the Notes to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Inflation and Changes in Prices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engineered resins and other raw materials purchased by the Company are materially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Domestically, the Company's pricing arrangements with its suppliers are subject to adjustment once every six months. The Company's Euroball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Certain sales agreements are in effect with SKF and FAG, which provide for minimum purchase quantities and specified, annual sales price</w:t>
      </w:r>
    </w:p>
    <w:p>
      <w:pPr>
        <w:sectPr>
          <w:pgSz w:w="11900" w:h="16838" w:orient="portrait"/>
          <w:cols w:equalWidth="0" w:num="1">
            <w:col w:w="10219"/>
          </w:cols>
          <w:pgMar w:left="240" w:top="142" w:right="1440" w:bottom="0" w:gutter="0" w:footer="0" w:header="0"/>
        </w:sectPr>
      </w:pPr>
    </w:p>
    <w:bookmarkStart w:id="15" w:name="page16"/>
    <w:bookmarkEnd w:id="15"/>
    <w:p>
      <w:pPr>
        <w:ind w:left="5" w:right="2939"/>
        <w:spacing w:after="0" w:line="251" w:lineRule="auto"/>
        <w:rPr>
          <w:sz w:val="20"/>
          <w:szCs w:val="20"/>
          <w:color w:val="auto"/>
        </w:rPr>
      </w:pPr>
      <w:r>
        <w:rPr>
          <w:rFonts w:ascii="Courier New" w:cs="Courier New" w:eastAsia="Courier New" w:hAnsi="Courier New"/>
          <w:sz w:val="15"/>
          <w:szCs w:val="15"/>
          <w:color w:val="auto"/>
        </w:rPr>
        <w:t>ajustments that may be modified up or down for changes in material costs. These agreements expire during 2006. The Company has been able to minimize the impact on its operations resulting from the 52100 Steel price fluctuations by taking such measures.</w:t>
      </w:r>
    </w:p>
    <w:p>
      <w:pPr>
        <w:spacing w:after="0" w:line="176" w:lineRule="exact"/>
        <w:rPr>
          <w:sz w:val="20"/>
          <w:szCs w:val="20"/>
          <w:color w:val="auto"/>
        </w:rPr>
      </w:pPr>
    </w:p>
    <w:p>
      <w:pPr>
        <w:ind w:left="5" w:right="3479"/>
        <w:spacing w:after="0" w:line="253" w:lineRule="auto"/>
        <w:rPr>
          <w:sz w:val="20"/>
          <w:szCs w:val="20"/>
          <w:color w:val="auto"/>
        </w:rPr>
      </w:pPr>
      <w:r>
        <w:rPr>
          <w:rFonts w:ascii="Courier New" w:cs="Courier New" w:eastAsia="Courier New" w:hAnsi="Courier New"/>
          <w:sz w:val="15"/>
          <w:szCs w:val="15"/>
          <w:b w:val="1"/>
          <w:bCs w:val="1"/>
          <w:color w:val="auto"/>
        </w:rPr>
        <w:t>Cautionary Statements for Purposes of the "Safe Harbor" Provisions of the Private Securities Litigation Reform Act of 1995</w:t>
      </w:r>
    </w:p>
    <w:p>
      <w:pPr>
        <w:spacing w:after="0" w:line="174"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183"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Industry Risks. </w:t>
      </w:r>
      <w:r>
        <w:rPr>
          <w:rFonts w:ascii="Courier New" w:cs="Courier New" w:eastAsia="Courier New" w:hAnsi="Courier New"/>
          <w:sz w:val="15"/>
          <w:szCs w:val="15"/>
          <w:color w:val="auto"/>
        </w:rPr>
        <w:t>Both the precision ball and roller, bearing seals,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Competition. </w:t>
      </w:r>
      <w:r>
        <w:rPr>
          <w:rFonts w:ascii="Courier New" w:cs="Courier New" w:eastAsia="Courier New" w:hAnsi="Courier New"/>
          <w:sz w:val="15"/>
          <w:szCs w:val="15"/>
          <w:color w:val="auto"/>
        </w:rPr>
        <w:t>The precision ball and roller market, the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bearing seal market, and the precision plastics market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to keep pace with such quality improvements in a cost effective manner.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360" w:lineRule="exact"/>
        <w:rPr>
          <w:sz w:val="20"/>
          <w:szCs w:val="20"/>
          <w:color w:val="auto"/>
        </w:rPr>
      </w:pPr>
    </w:p>
    <w:p>
      <w:pPr>
        <w:ind w:left="5" w:right="31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Rapid Growth. </w:t>
      </w:r>
      <w:r>
        <w:rPr>
          <w:rFonts w:ascii="Courier New" w:cs="Courier New" w:eastAsia="Courier New" w:hAnsi="Courier New"/>
          <w:sz w:val="15"/>
          <w:szCs w:val="15"/>
          <w:color w:val="auto"/>
        </w:rPr>
        <w:t>The Company has significantly expanded its ball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roller production facilities and capacity over the last several years. During 1997, the Company purchased an additional manufacturing plant in Kilkenny, Ireland. The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Company continued this expansion in 2000 through its 54% ownership of Euroball with SKF and FAG. The Company's Ball and Roller Segment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353"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Raw Material Shortages. </w:t>
      </w:r>
      <w:r>
        <w:rPr>
          <w:rFonts w:ascii="Courier New" w:cs="Courier New" w:eastAsia="Courier New" w:hAnsi="Courier New"/>
          <w:sz w:val="15"/>
          <w:szCs w:val="15"/>
          <w:color w:val="auto"/>
        </w:rPr>
        <w:t>Because the balls and rollers manufactured by</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the Company have highly-specialized applications, their production requires the use of very particular types of steel. Due to quality constraints, the Company's domestic Ball and Roller Segment obtains the majority of its steel from overseas suppliers. Steel shortages or transportation problems, particularly with respect to 52100 Steel, could have a detrimental effect on the Company's business.</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Risks Associated with International Trade. </w:t>
      </w:r>
      <w:r>
        <w:rPr>
          <w:rFonts w:ascii="Courier New" w:cs="Courier New" w:eastAsia="Courier New" w:hAnsi="Courier New"/>
          <w:sz w:val="15"/>
          <w:szCs w:val="15"/>
          <w:color w:val="auto"/>
        </w:rPr>
        <w:t>Because the Company (a)</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w:t>
      </w:r>
    </w:p>
    <w:p>
      <w:pPr>
        <w:spacing w:after="0" w:line="2" w:lineRule="exact"/>
        <w:rPr>
          <w:sz w:val="20"/>
          <w:szCs w:val="20"/>
          <w:color w:val="auto"/>
        </w:rPr>
      </w:pPr>
    </w:p>
    <w:p>
      <w:pPr>
        <w:ind w:left="5" w:right="2839" w:hanging="5"/>
        <w:spacing w:after="0" w:line="251" w:lineRule="auto"/>
        <w:tabs>
          <w:tab w:leader="none" w:pos="4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and/or Euro relative to other currencies may adversely affect the ability of the Company to compete with its foreign-based competitors for international as well as domestic sales.</w:t>
      </w:r>
    </w:p>
    <w:p>
      <w:pPr>
        <w:spacing w:after="0" w:line="175" w:lineRule="exact"/>
        <w:rPr>
          <w:sz w:val="20"/>
          <w:szCs w:val="20"/>
          <w:color w:val="auto"/>
        </w:rPr>
      </w:pPr>
    </w:p>
    <w:p>
      <w:pPr>
        <w:jc w:val="both"/>
        <w:ind w:left="5" w:right="293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Dependence on Major Customers. </w:t>
      </w:r>
      <w:r>
        <w:rPr>
          <w:rFonts w:ascii="Courier New" w:cs="Courier New" w:eastAsia="Courier New" w:hAnsi="Courier New"/>
          <w:sz w:val="15"/>
          <w:szCs w:val="15"/>
          <w:color w:val="auto"/>
        </w:rPr>
        <w:t>During 2001, the Company's ten largest</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customers accounted for approximately 73% of its net sales. Sales to various US and foreign divisions of SKF, which is one of the largest bearing manufacturers</w:t>
      </w:r>
    </w:p>
    <w:p>
      <w:pPr>
        <w:sectPr>
          <w:pgSz w:w="11900" w:h="16838" w:orient="portrait"/>
          <w:cols w:equalWidth="0" w:num="1">
            <w:col w:w="10225"/>
          </w:cols>
          <w:pgMar w:left="235" w:top="142" w:right="1440" w:bottom="0" w:gutter="0" w:footer="0" w:header="0"/>
        </w:sectPr>
      </w:pPr>
    </w:p>
    <w:bookmarkStart w:id="16" w:name="page17"/>
    <w:bookmarkEnd w:id="16"/>
    <w:p>
      <w:pPr>
        <w:ind w:right="2839"/>
        <w:spacing w:after="0" w:line="251" w:lineRule="auto"/>
        <w:rPr>
          <w:sz w:val="20"/>
          <w:szCs w:val="20"/>
          <w:color w:val="auto"/>
        </w:rPr>
      </w:pPr>
      <w:r>
        <w:rPr>
          <w:rFonts w:ascii="Courier New" w:cs="Courier New" w:eastAsia="Courier New" w:hAnsi="Courier New"/>
          <w:sz w:val="15"/>
          <w:szCs w:val="15"/>
          <w:color w:val="auto"/>
        </w:rPr>
        <w:t>in the world, accounted for approximately 35% of net sales in 2001, and sales to FAG accounted for approximately 19% of net sales. None of the Company's other customers accounted for more than 5% of its net sales in 2001. The loss of all or a substantial portion of sales to these customers would have a material adverse effect on the Company's business.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Acquisitions. </w:t>
      </w:r>
      <w:r>
        <w:rPr>
          <w:rFonts w:ascii="Courier New" w:cs="Courier New" w:eastAsia="Courier New" w:hAnsi="Courier New"/>
          <w:sz w:val="15"/>
          <w:szCs w:val="15"/>
          <w:color w:val="auto"/>
        </w:rPr>
        <w:t>The Company's growth strategy includes growth through</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acquisitions. In 1999, the Company acquired the IMC businesses as part of that strategy. In 2000, the Company formed Euroball with SKF and FAG and began operating two new ball manufacturing facilities. Additionally, in 2000, the Company formed the NN Arte joint venture and began operations in Mexico during 2001. In 2001, the Company acquired Delta as a continuation of that strategy.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Recently Issued Accounting Standards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July 2001, the FASB issued Statement of Financial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Standards No. 141, "Business Combinations" (Statement No. 141), and Statement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Accounting Standards No. 142, "Goodwill and Other Intangible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 Statement No. 141 requires that the purchase method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be used for all business combinations initiated after June 30,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141 also specifies criteria for intangible assets acquired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method business combination must meet to be recognized and reported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apart from goodwill. Statement No. 142 will require that goodwill and intangible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with indefinite useful lives no longer be amortized, but instead tested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impairment. The effective date of Statement No. 142 is January 1, 2002.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of adoption, the Company expects to have unamortized goodwill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$39.8 million, which will be subject to the provisions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 Amortization expense related to goodwill was $1.8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 million, and $0.4 million for the years ended December 31, 2001,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respectively. The Company is currently evaluating the impact of adoption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7A. Quantitative and Qualitative Disclosures About Market Risk</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risks.The Company is exposed to changes in interest rates primarily as a result of its borrowing activities. Domestically, these borrowings which include a $31.5 million floating rate, unsecured term loan and a $25 million floating rate revolving credit facility which are used to maintain liquidity and fund its business operations domestically. In Europe, Euroball has a 5 million euro floating rate credit facility, and a 36.0 million euro floating rate secured term loan. At December 31, 2001, the Company had $41.3 million outstanding under the domestic revolving credit facility and Euroball had $13.4 million outstanding under the Euroball credit facility. A one-percent increase in the interest rate charged on the Company's outstanding borrowings under both credit facilities would result in interest expense increasing by approximately $547,000 during 2001 and $564,000 during 2000. 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w:t>
      </w:r>
    </w:p>
    <w:p>
      <w:pPr>
        <w:sectPr>
          <w:pgSz w:w="11900" w:h="16838" w:orient="portrait"/>
          <w:cols w:equalWidth="0" w:num="1">
            <w:col w:w="10219"/>
          </w:cols>
          <w:pgMar w:left="240" w:top="142" w:right="1440" w:bottom="0" w:gutter="0" w:footer="0" w:header="0"/>
        </w:sectPr>
      </w:pPr>
    </w:p>
    <w:bookmarkStart w:id="17" w:name="page18"/>
    <w:bookmarkEnd w:id="17"/>
    <w:p>
      <w:pPr>
        <w:ind w:right="4160"/>
        <w:spacing w:after="0" w:line="251" w:lineRule="auto"/>
        <w:rPr>
          <w:sz w:val="20"/>
          <w:szCs w:val="20"/>
          <w:color w:val="auto"/>
        </w:rPr>
      </w:pPr>
      <w:r>
        <w:rPr>
          <w:rFonts w:ascii="Courier New" w:cs="Courier New" w:eastAsia="Courier New" w:hAnsi="Courier New"/>
          <w:sz w:val="15"/>
          <w:szCs w:val="15"/>
          <w:color w:val="auto"/>
        </w:rPr>
        <w:t>Euribor interest payments and pay 5.51% fixed interest. The interest rate swap agreement expires in July 2006 and the notional amount amortizes in relation to principal payments on the underlying debt over the life of the swap. The nature and amount of the Company's borrowings may vary as a result of future business requirements, market conditions and other factors.</w:t>
      </w:r>
    </w:p>
    <w:p>
      <w:pPr>
        <w:spacing w:after="0" w:line="176" w:lineRule="exact"/>
        <w:rPr>
          <w:sz w:val="20"/>
          <w:szCs w:val="20"/>
          <w:color w:val="auto"/>
        </w:rPr>
      </w:pPr>
    </w:p>
    <w:p>
      <w:pPr>
        <w:ind w:right="4160" w:firstLine="830"/>
        <w:spacing w:after="0" w:line="250" w:lineRule="auto"/>
        <w:rPr>
          <w:sz w:val="20"/>
          <w:szCs w:val="20"/>
          <w:color w:val="auto"/>
        </w:rPr>
      </w:pPr>
      <w:r>
        <w:rPr>
          <w:rFonts w:ascii="Courier New" w:cs="Courier New" w:eastAsia="Courier New" w:hAnsi="Courier New"/>
          <w:sz w:val="15"/>
          <w:szCs w:val="15"/>
          <w:color w:val="auto"/>
        </w:rPr>
        <w:t>The Company's operating cash flows denominated in foreign currencies are exposed to changes in foreign exchange rates. The Company, mainly at its Euroball Segment, bills and receives payment from some of its foreign customers in their own currency. To date, the Company has not been materially adversely affected by currency fluctuations of foreign exchange restrictions. However, to help reduce exposure to foreign currency of fluctuation, management has implemented a foreign currency hedging program. This program allows management to hedge currency exposures when these exposures meet certain discretionary levels. The Company did not hold a position in any foreign currency hedging instruments as of December 31,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8. Financial Statements and Supplementary Data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860" w:type="dxa"/>
            <w:vAlign w:val="bottom"/>
          </w:tcPr>
          <w:p>
            <w:pPr>
              <w:spacing w:after="0"/>
              <w:rPr>
                <w:sz w:val="14"/>
                <w:szCs w:val="14"/>
                <w:color w:val="auto"/>
              </w:rPr>
            </w:pP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w w:val="94"/>
              </w:rPr>
              <w:t>Page</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Report of Independent Auditors for the years ended December 31, 2001</w:t>
            </w:r>
          </w:p>
        </w:tc>
        <w:tc>
          <w:tcPr>
            <w:tcW w:w="3600" w:type="dxa"/>
            <w:vAlign w:val="bottom"/>
          </w:tcPr>
          <w:p>
            <w:pPr>
              <w:spacing w:after="0"/>
              <w:rPr>
                <w:sz w:val="24"/>
                <w:szCs w:val="24"/>
                <w:color w:val="auto"/>
              </w:rPr>
            </w:pPr>
          </w:p>
        </w:tc>
      </w:tr>
      <w:tr>
        <w:trPr>
          <w:trHeight w:val="177"/>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and December</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31, 2000.........................................................</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20</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Report of Independent Auditors for the year ended December 31, 1999...........</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21</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Balance Sheets at December 31, 2001 and 2000.....................</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22</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and Comprehensive Income for the</w:t>
            </w:r>
          </w:p>
        </w:tc>
        <w:tc>
          <w:tcPr>
            <w:tcW w:w="3600" w:type="dxa"/>
            <w:vAlign w:val="bottom"/>
          </w:tcPr>
          <w:p>
            <w:pPr>
              <w:spacing w:after="0"/>
              <w:rPr>
                <w:sz w:val="24"/>
                <w:szCs w:val="24"/>
                <w:color w:val="auto"/>
              </w:rPr>
            </w:pPr>
          </w:p>
        </w:tc>
      </w:tr>
      <w:tr>
        <w:trPr>
          <w:trHeight w:val="177"/>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three years ended December 31, 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23</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Changes in Stockholders' Equity for the three</w:t>
            </w:r>
          </w:p>
        </w:tc>
        <w:tc>
          <w:tcPr>
            <w:tcW w:w="3600" w:type="dxa"/>
            <w:vAlign w:val="bottom"/>
          </w:tcPr>
          <w:p>
            <w:pPr>
              <w:spacing w:after="0"/>
              <w:rPr>
                <w:sz w:val="24"/>
                <w:szCs w:val="24"/>
                <w:color w:val="auto"/>
              </w:rPr>
            </w:pPr>
          </w:p>
        </w:tc>
      </w:tr>
      <w:tr>
        <w:trPr>
          <w:trHeight w:val="177"/>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years ended December 31, 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24</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three years ended</w:t>
            </w:r>
          </w:p>
        </w:tc>
        <w:tc>
          <w:tcPr>
            <w:tcW w:w="3600" w:type="dxa"/>
            <w:vAlign w:val="bottom"/>
          </w:tcPr>
          <w:p>
            <w:pPr>
              <w:spacing w:after="0"/>
              <w:rPr>
                <w:sz w:val="24"/>
                <w:szCs w:val="24"/>
                <w:color w:val="auto"/>
              </w:rPr>
            </w:pPr>
          </w:p>
        </w:tc>
      </w:tr>
      <w:tr>
        <w:trPr>
          <w:trHeight w:val="177"/>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December 31,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25</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26</w:t>
            </w:r>
          </w:p>
        </w:tc>
      </w:tr>
      <w:tr>
        <w:trPr>
          <w:trHeight w:val="710"/>
        </w:trPr>
        <w:tc>
          <w:tcPr>
            <w:tcW w:w="1980" w:type="dxa"/>
            <w:vAlign w:val="bottom"/>
          </w:tcPr>
          <w:p>
            <w:pPr>
              <w:spacing w:after="0"/>
              <w:rPr>
                <w:sz w:val="24"/>
                <w:szCs w:val="24"/>
                <w:color w:val="auto"/>
              </w:rPr>
            </w:pPr>
          </w:p>
        </w:tc>
        <w:tc>
          <w:tcPr>
            <w:tcW w:w="5860" w:type="dxa"/>
            <w:vAlign w:val="bottom"/>
          </w:tcPr>
          <w:p>
            <w:pPr>
              <w:ind w:left="1620"/>
              <w:spacing w:after="0"/>
              <w:rPr>
                <w:sz w:val="20"/>
                <w:szCs w:val="20"/>
                <w:color w:val="auto"/>
              </w:rPr>
            </w:pPr>
            <w:r>
              <w:rPr>
                <w:rFonts w:ascii="Courier New" w:cs="Courier New" w:eastAsia="Courier New" w:hAnsi="Courier New"/>
                <w:sz w:val="15"/>
                <w:szCs w:val="15"/>
                <w:color w:val="auto"/>
              </w:rPr>
              <w:t>19</w:t>
            </w:r>
          </w:p>
        </w:tc>
        <w:tc>
          <w:tcPr>
            <w:tcW w:w="3600" w:type="dxa"/>
            <w:vAlign w:val="bottom"/>
          </w:tcPr>
          <w:p>
            <w:pPr>
              <w:spacing w:after="0"/>
              <w:rPr>
                <w:sz w:val="24"/>
                <w:szCs w:val="24"/>
                <w:color w:val="auto"/>
              </w:rPr>
            </w:pPr>
          </w:p>
        </w:tc>
      </w:tr>
      <w:tr>
        <w:trPr>
          <w:trHeight w:val="161"/>
        </w:trPr>
        <w:tc>
          <w:tcPr>
            <w:tcW w:w="1980" w:type="dxa"/>
            <w:vAlign w:val="bottom"/>
            <w:tcBorders>
              <w:bottom w:val="single" w:sz="8" w:color="9A9A9A"/>
            </w:tcBorders>
          </w:tcPr>
          <w:p>
            <w:pPr>
              <w:spacing w:after="0"/>
              <w:rPr>
                <w:sz w:val="13"/>
                <w:szCs w:val="13"/>
                <w:color w:val="auto"/>
              </w:rPr>
            </w:pPr>
          </w:p>
        </w:tc>
        <w:tc>
          <w:tcPr>
            <w:tcW w:w="5860" w:type="dxa"/>
            <w:vAlign w:val="bottom"/>
            <w:tcBorders>
              <w:bottom w:val="single" w:sz="8" w:color="9A9A9A"/>
            </w:tcBorders>
          </w:tcPr>
          <w:p>
            <w:pPr>
              <w:spacing w:after="0"/>
              <w:rPr>
                <w:sz w:val="13"/>
                <w:szCs w:val="13"/>
                <w:color w:val="auto"/>
              </w:rPr>
            </w:pPr>
          </w:p>
        </w:tc>
        <w:tc>
          <w:tcPr>
            <w:tcW w:w="36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b w:val="1"/>
          <w:bCs w:val="1"/>
          <w:color w:val="auto"/>
        </w:rPr>
        <w:t>Independent Auditors' Report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sheets of NN, Inc. as of December 31, 2001 and 2000 and the related consolidated statements of income and comprehensive income, consolidated statements of changes in stockholders' equity, and consolidated statements of cash flows of the years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4440"/>
        <w:spacing w:after="0" w:line="252"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derivative instruments and hedging activities in 2001.</w:t>
      </w:r>
    </w:p>
    <w:p>
      <w:pPr>
        <w:spacing w:after="0" w:line="175" w:lineRule="exact"/>
        <w:rPr>
          <w:sz w:val="20"/>
          <w:szCs w:val="20"/>
          <w:color w:val="auto"/>
        </w:rPr>
      </w:pPr>
    </w:p>
    <w:p>
      <w:pPr>
        <w:ind w:right="4160"/>
        <w:spacing w:after="0" w:line="251"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NN, Inc. as of December 31, 2001 and 2000 and the results of their operations and their cash flows for the years then ended in conformity with accounting principles generally accepted in the United States of America.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2002</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b w:val="1"/>
          <w:bCs w:val="1"/>
          <w:color w:val="auto"/>
        </w:rPr>
        <w:t>Report of Independent Accountants</w:t>
      </w:r>
    </w:p>
    <w:p>
      <w:pPr>
        <w:sectPr>
          <w:pgSz w:w="11900" w:h="16838" w:orient="portrait"/>
          <w:cols w:equalWidth="0" w:num="1">
            <w:col w:w="11440"/>
          </w:cols>
          <w:pgMar w:left="240" w:top="142" w:right="219"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To the Board of Directors and Stockholders of NN, Inc.</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NN, Inc. (formerly known as NN Ball &amp; Roller, Inc.) and its subsidiaries at December 31, 1999, and the results of their operations and their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4, 2000</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ind w:left="3320"/>
              <w:spacing w:after="0"/>
              <w:rPr>
                <w:sz w:val="20"/>
                <w:szCs w:val="20"/>
                <w:color w:val="auto"/>
              </w:rPr>
            </w:pPr>
            <w:r>
              <w:rPr>
                <w:rFonts w:ascii="Courier New" w:cs="Courier New" w:eastAsia="Courier New" w:hAnsi="Courier New"/>
                <w:sz w:val="15"/>
                <w:szCs w:val="15"/>
                <w:b w:val="1"/>
                <w:bCs w:val="1"/>
                <w:color w:val="auto"/>
              </w:rPr>
              <w:t>NN, Inc.</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5540" w:type="dxa"/>
            <w:vAlign w:val="bottom"/>
          </w:tcPr>
          <w:p>
            <w:pPr>
              <w:ind w:left="2480"/>
              <w:spacing w:after="0"/>
              <w:rPr>
                <w:sz w:val="20"/>
                <w:szCs w:val="20"/>
                <w:color w:val="auto"/>
              </w:rPr>
            </w:pPr>
            <w:r>
              <w:rPr>
                <w:rFonts w:ascii="Courier New" w:cs="Courier New" w:eastAsia="Courier New" w:hAnsi="Courier New"/>
                <w:sz w:val="15"/>
                <w:szCs w:val="15"/>
                <w:b w:val="1"/>
                <w:bCs w:val="1"/>
                <w:color w:val="auto"/>
              </w:rPr>
              <w:t>Consolidated Balance Sheets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2480"/>
              <w:spacing w:after="0"/>
              <w:rPr>
                <w:sz w:val="20"/>
                <w:szCs w:val="20"/>
                <w:color w:val="auto"/>
              </w:rPr>
            </w:pPr>
            <w:r>
              <w:rPr>
                <w:rFonts w:ascii="Courier New" w:cs="Courier New" w:eastAsia="Courier New" w:hAnsi="Courier New"/>
                <w:sz w:val="15"/>
                <w:szCs w:val="15"/>
                <w:b w:val="1"/>
                <w:bCs w:val="1"/>
                <w:color w:val="auto"/>
              </w:rPr>
              <w:t>December 31, 2001 and 2000</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2020"/>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b w:val="1"/>
                <w:bCs w:val="1"/>
                <w:color w:val="auto"/>
              </w:rPr>
              <w:t>Assets</w:t>
            </w:r>
          </w:p>
        </w:tc>
        <w:tc>
          <w:tcPr>
            <w:tcW w:w="220" w:type="dxa"/>
            <w:vAlign w:val="bottom"/>
          </w:tcPr>
          <w:p>
            <w:pPr>
              <w:spacing w:after="0"/>
              <w:rPr>
                <w:sz w:val="15"/>
                <w:szCs w:val="15"/>
                <w:color w:val="auto"/>
              </w:rPr>
            </w:pP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2001</w:t>
            </w:r>
          </w:p>
        </w:tc>
        <w:tc>
          <w:tcPr>
            <w:tcW w:w="2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8,273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24,832</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Inventories, net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23,418</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23,742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3,034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Current deferred tax asset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1,309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790</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55,617</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63,866</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82,770</w:t>
            </w:r>
          </w:p>
        </w:tc>
        <w:tc>
          <w:tcPr>
            <w:tcW w:w="24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91,693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 held for sale</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4,348</w:t>
            </w:r>
          </w:p>
        </w:tc>
        <w:tc>
          <w:tcPr>
            <w:tcW w:w="240" w:type="dxa"/>
            <w:vAlign w:val="bottom"/>
          </w:tcPr>
          <w:p>
            <w:pPr>
              <w:spacing w:after="0"/>
              <w:rPr>
                <w:sz w:val="15"/>
                <w:szCs w:val="15"/>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$3,009 in 2001 and $1,297 in 2000</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39,805</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27,865</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4,862</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4,212</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733</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172</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$ 188,135</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$ 187,808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15,829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16,883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Bank overdraft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1,141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Accrued salaries, wages and benefits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3,813</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2,248</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2,074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1,341</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Payable to affiliates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1,277</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1,762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Short-term loans</w:t>
            </w:r>
          </w:p>
        </w:tc>
        <w:tc>
          <w:tcPr>
            <w:tcW w:w="220" w:type="dxa"/>
            <w:vAlign w:val="bottom"/>
          </w:tcPr>
          <w:p>
            <w:pPr>
              <w:spacing w:after="0"/>
              <w:rPr>
                <w:sz w:val="15"/>
                <w:szCs w:val="15"/>
                <w:color w:val="auto"/>
              </w:rPr>
            </w:pP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Short term portion of long term debt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7,000</w:t>
            </w:r>
          </w:p>
        </w:tc>
        <w:tc>
          <w:tcPr>
            <w:tcW w:w="240" w:type="dxa"/>
            <w:vAlign w:val="bottom"/>
          </w:tcPr>
          <w:p>
            <w:pPr>
              <w:spacing w:after="0"/>
              <w:rPr>
                <w:sz w:val="15"/>
                <w:szCs w:val="15"/>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6,5522</w:t>
            </w:r>
          </w:p>
        </w:tc>
        <w:tc>
          <w:tcPr>
            <w:tcW w:w="240" w:type="dxa"/>
            <w:vAlign w:val="bottom"/>
          </w:tcPr>
          <w:p>
            <w:pPr>
              <w:spacing w:after="0"/>
              <w:rPr>
                <w:sz w:val="15"/>
                <w:szCs w:val="15"/>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9,038</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Current deferred tax liability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37,736</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33,840</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22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30,932</w:t>
            </w:r>
          </w:p>
        </w:tc>
        <w:tc>
          <w:tcPr>
            <w:tcW w:w="24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30,257</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6,499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5,239</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47,661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Accrued Pension</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2,390</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878</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126,096</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122,562</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Common stock - $0.01 par value, authorized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920"/>
              <w:spacing w:after="0"/>
              <w:rPr>
                <w:sz w:val="20"/>
                <w:szCs w:val="20"/>
                <w:color w:val="auto"/>
              </w:rPr>
            </w:pPr>
            <w:r>
              <w:rPr>
                <w:rFonts w:ascii="Courier New" w:cs="Courier New" w:eastAsia="Courier New" w:hAnsi="Courier New"/>
                <w:sz w:val="15"/>
                <w:szCs w:val="15"/>
                <w:color w:val="auto"/>
              </w:rPr>
              <w:t>45,000 shares, issued and outstanding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920"/>
              <w:spacing w:after="0"/>
              <w:rPr>
                <w:sz w:val="20"/>
                <w:szCs w:val="20"/>
                <w:color w:val="auto"/>
              </w:rPr>
            </w:pPr>
            <w:r>
              <w:rPr>
                <w:rFonts w:ascii="Courier New" w:cs="Courier New" w:eastAsia="Courier New" w:hAnsi="Courier New"/>
                <w:sz w:val="15"/>
                <w:szCs w:val="15"/>
                <w:color w:val="auto"/>
              </w:rPr>
              <w:t>15,317 shares in 2001 and 15,247 shares in 2000</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30,841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30,414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36,139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36,364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Accumulated other comprehensive loss</w:t>
            </w: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(5,095)</w:t>
            </w:r>
          </w:p>
        </w:tc>
        <w:tc>
          <w:tcPr>
            <w:tcW w:w="24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(1,685)</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62,039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65,246</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$ 188,135</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$ 187,808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2" w:right="1440" w:bottom="192" w:gutter="0" w:footer="0" w:header="0"/>
        </w:sectPr>
      </w:pPr>
    </w:p>
    <w:bookmarkStart w:id="19" w:name="page20"/>
    <w:bookmarkEnd w:id="19"/>
    <w:p>
      <w:pPr>
        <w:jc w:val="center"/>
        <w:ind w:right="306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NN, Inc.</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Consolidated Statements of Income and Comprehensive Income</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2"/>
          </w:tcPr>
          <w:p>
            <w:pPr>
              <w:ind w:left="2020"/>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5"/>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2001</w:t>
            </w:r>
          </w:p>
        </w:tc>
        <w:tc>
          <w:tcPr>
            <w:tcW w:w="32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2000</w:t>
            </w:r>
          </w:p>
        </w:tc>
        <w:tc>
          <w:tcPr>
            <w:tcW w:w="320" w:type="dxa"/>
            <w:vAlign w:val="bottom"/>
          </w:tcPr>
          <w:p>
            <w:pPr>
              <w:spacing w:after="0"/>
              <w:rPr>
                <w:sz w:val="24"/>
                <w:szCs w:val="24"/>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$ 180,151</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$ 132,129</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85,294</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137,591</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93,926</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59,967</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42,560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38,203</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25,327</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16,382</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11,571</w:t>
            </w:r>
          </w:p>
        </w:tc>
        <w:tc>
          <w:tcPr>
            <w:tcW w:w="3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6,854</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13,340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9,165</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6,131</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2,312</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10,526</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17,467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12,342</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4,006</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1,773</w:t>
            </w:r>
          </w:p>
        </w:tc>
        <w:tc>
          <w:tcPr>
            <w:tcW w:w="3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523</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(3,901)</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(728)</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(186)</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10,607</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16,606</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11,819</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4,094</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5,959</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4,060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1,753</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660</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4,760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 net of income tax benefit of $112</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and related minority interest impact of $84</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4,662</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Additional minimum pension liability, net of tax</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of $31</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Foreign currency translation</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(3,357)</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Comprehensive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1,252</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9,980</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6,196</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15,259</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15,247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15,021</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15,540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15,531</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15,038</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NN, Inc.</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7"/>
        </w:trPr>
        <w:tc>
          <w:tcPr>
            <w:tcW w:w="3280" w:type="dxa"/>
            <w:vAlign w:val="bottom"/>
          </w:tcPr>
          <w:p>
            <w:pPr>
              <w:spacing w:after="0"/>
              <w:rPr>
                <w:sz w:val="15"/>
                <w:szCs w:val="15"/>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b w:val="1"/>
                <w:bCs w:val="1"/>
                <w:color w:val="auto"/>
              </w:rPr>
              <w:t>Consolidated Statements</w:t>
            </w:r>
          </w:p>
        </w:tc>
        <w:tc>
          <w:tcPr>
            <w:tcW w:w="3220" w:type="dxa"/>
            <w:vAlign w:val="bottom"/>
            <w:gridSpan w:val="3"/>
          </w:tcPr>
          <w:p>
            <w:pPr>
              <w:ind w:left="40"/>
              <w:spacing w:after="0"/>
              <w:rPr>
                <w:sz w:val="20"/>
                <w:szCs w:val="20"/>
                <w:color w:val="auto"/>
              </w:rPr>
            </w:pPr>
            <w:r>
              <w:rPr>
                <w:rFonts w:ascii="Courier New" w:cs="Courier New" w:eastAsia="Courier New" w:hAnsi="Courier New"/>
                <w:sz w:val="15"/>
                <w:szCs w:val="15"/>
                <w:b w:val="1"/>
                <w:bCs w:val="1"/>
                <w:color w:val="auto"/>
              </w:rPr>
              <w:t>of Changes in Stockholders' Equity</w:t>
            </w:r>
          </w:p>
        </w:tc>
        <w:tc>
          <w:tcPr>
            <w:tcW w:w="1160" w:type="dxa"/>
            <w:vAlign w:val="bottom"/>
          </w:tcPr>
          <w:p>
            <w:pPr>
              <w:spacing w:after="0"/>
              <w:rPr>
                <w:sz w:val="15"/>
                <w:szCs w:val="15"/>
                <w:color w:val="auto"/>
              </w:rPr>
            </w:pPr>
          </w:p>
        </w:tc>
      </w:tr>
      <w:tr>
        <w:trPr>
          <w:trHeight w:val="177"/>
        </w:trPr>
        <w:tc>
          <w:tcPr>
            <w:tcW w:w="3280" w:type="dxa"/>
            <w:vAlign w:val="bottom"/>
          </w:tcPr>
          <w:p>
            <w:pPr>
              <w:spacing w:after="0"/>
              <w:rPr>
                <w:sz w:val="15"/>
                <w:szCs w:val="15"/>
                <w:color w:val="auto"/>
              </w:rPr>
            </w:pPr>
          </w:p>
        </w:tc>
        <w:tc>
          <w:tcPr>
            <w:tcW w:w="6080" w:type="dxa"/>
            <w:vAlign w:val="bottom"/>
            <w:gridSpan w:val="6"/>
          </w:tcPr>
          <w:p>
            <w:pPr>
              <w:jc w:val="center"/>
              <w:ind w:left="543"/>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tc>
        <w:tc>
          <w:tcPr>
            <w:tcW w:w="1160" w:type="dxa"/>
            <w:vAlign w:val="bottom"/>
          </w:tcPr>
          <w:p>
            <w:pPr>
              <w:spacing w:after="0"/>
              <w:rPr>
                <w:sz w:val="15"/>
                <w:szCs w:val="15"/>
                <w:color w:val="auto"/>
              </w:rPr>
            </w:pPr>
          </w:p>
        </w:tc>
      </w:tr>
      <w:tr>
        <w:trPr>
          <w:trHeight w:val="177"/>
        </w:trPr>
        <w:tc>
          <w:tcPr>
            <w:tcW w:w="3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3"/>
          </w:tcPr>
          <w:p>
            <w:pPr>
              <w:jc w:val="center"/>
              <w:spacing w:after="0"/>
              <w:rPr>
                <w:sz w:val="20"/>
                <w:szCs w:val="20"/>
                <w:color w:val="auto"/>
              </w:rPr>
            </w:pPr>
            <w:r>
              <w:rPr>
                <w:rFonts w:ascii="Courier New" w:cs="Courier New" w:eastAsia="Courier New" w:hAnsi="Courier New"/>
                <w:sz w:val="15"/>
                <w:szCs w:val="15"/>
                <w:b w:val="1"/>
                <w:bCs w:val="1"/>
                <w:color w:val="auto"/>
              </w:rPr>
              <w:t>(In thousands)</w:t>
            </w: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2"/>
        </w:trPr>
        <w:tc>
          <w:tcPr>
            <w:tcW w:w="3280" w:type="dxa"/>
            <w:vAlign w:val="bottom"/>
          </w:tcPr>
          <w:p>
            <w:pPr>
              <w:spacing w:after="0"/>
              <w:rPr>
                <w:sz w:val="24"/>
                <w:szCs w:val="24"/>
                <w:color w:val="auto"/>
              </w:rPr>
            </w:pPr>
          </w:p>
        </w:tc>
        <w:tc>
          <w:tcPr>
            <w:tcW w:w="2860" w:type="dxa"/>
            <w:vAlign w:val="bottom"/>
            <w:gridSpan w:val="3"/>
          </w:tcPr>
          <w:p>
            <w:pPr>
              <w:jc w:val="right"/>
              <w:ind w:right="163"/>
              <w:spacing w:after="0"/>
              <w:rPr>
                <w:sz w:val="20"/>
                <w:szCs w:val="20"/>
                <w:color w:val="auto"/>
              </w:rPr>
            </w:pPr>
            <w:r>
              <w:rPr>
                <w:rFonts w:ascii="Courier New" w:cs="Courier New" w:eastAsia="Courier New" w:hAnsi="Courier New"/>
                <w:sz w:val="15"/>
                <w:szCs w:val="15"/>
                <w:b w:val="1"/>
                <w:bCs w:val="1"/>
                <w:color w:val="auto"/>
              </w:rPr>
              <w:t>Common Stock</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7"/>
        </w:trPr>
        <w:tc>
          <w:tcPr>
            <w:tcW w:w="3280" w:type="dxa"/>
            <w:vAlign w:val="bottom"/>
          </w:tcPr>
          <w:p>
            <w:pPr>
              <w:spacing w:after="0"/>
              <w:rPr>
                <w:sz w:val="15"/>
                <w:szCs w:val="15"/>
                <w:color w:val="auto"/>
              </w:rPr>
            </w:pPr>
          </w:p>
        </w:tc>
        <w:tc>
          <w:tcPr>
            <w:tcW w:w="3860" w:type="dxa"/>
            <w:vAlign w:val="bottom"/>
            <w:gridSpan w:val="4"/>
          </w:tcPr>
          <w:p>
            <w:pPr>
              <w:ind w:left="960"/>
              <w:spacing w:after="0"/>
              <w:rPr>
                <w:sz w:val="20"/>
                <w:szCs w:val="20"/>
                <w:color w:val="auto"/>
              </w:rPr>
            </w:pPr>
            <w:r>
              <w:rPr>
                <w:rFonts w:ascii="Courier New" w:cs="Courier New" w:eastAsia="Courier New" w:hAnsi="Courier New"/>
                <w:sz w:val="15"/>
                <w:szCs w:val="15"/>
                <w:b w:val="1"/>
                <w:bCs w:val="1"/>
                <w:color w:val="auto"/>
              </w:rPr>
              <w:t>--------------------------</w:t>
            </w:r>
          </w:p>
        </w:tc>
        <w:tc>
          <w:tcPr>
            <w:tcW w:w="88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b w:val="1"/>
                <w:bCs w:val="1"/>
                <w:color w:val="auto"/>
              </w:rPr>
              <w:t>Accumulated</w:t>
            </w:r>
          </w:p>
        </w:tc>
        <w:tc>
          <w:tcPr>
            <w:tcW w:w="1160" w:type="dxa"/>
            <w:vAlign w:val="bottom"/>
          </w:tcPr>
          <w:p>
            <w:pPr>
              <w:spacing w:after="0"/>
              <w:rPr>
                <w:sz w:val="15"/>
                <w:szCs w:val="15"/>
                <w:color w:val="auto"/>
              </w:rPr>
            </w:pPr>
          </w:p>
        </w:tc>
      </w:tr>
      <w:tr>
        <w:trPr>
          <w:trHeight w:val="177"/>
        </w:trPr>
        <w:tc>
          <w:tcPr>
            <w:tcW w:w="3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Additional</w:t>
            </w:r>
          </w:p>
        </w:tc>
        <w:tc>
          <w:tcPr>
            <w:tcW w:w="880" w:type="dxa"/>
            <w:vAlign w:val="bottom"/>
          </w:tcPr>
          <w:p>
            <w:pPr>
              <w:spacing w:after="0"/>
              <w:rPr>
                <w:sz w:val="15"/>
                <w:szCs w:val="15"/>
                <w:color w:val="auto"/>
              </w:rPr>
            </w:pP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b w:val="1"/>
                <w:bCs w:val="1"/>
                <w:color w:val="auto"/>
              </w:rPr>
              <w:t>Other</w:t>
            </w:r>
          </w:p>
        </w:tc>
        <w:tc>
          <w:tcPr>
            <w:tcW w:w="1160" w:type="dxa"/>
            <w:vAlign w:val="bottom"/>
          </w:tcPr>
          <w:p>
            <w:pPr>
              <w:spacing w:after="0"/>
              <w:rPr>
                <w:sz w:val="15"/>
                <w:szCs w:val="15"/>
                <w:color w:val="auto"/>
              </w:rPr>
            </w:pPr>
          </w:p>
        </w:tc>
      </w:tr>
      <w:tr>
        <w:trPr>
          <w:trHeight w:val="177"/>
        </w:trPr>
        <w:tc>
          <w:tcPr>
            <w:tcW w:w="3280" w:type="dxa"/>
            <w:vAlign w:val="bottom"/>
          </w:tcPr>
          <w:p>
            <w:pPr>
              <w:spacing w:after="0"/>
              <w:rPr>
                <w:sz w:val="15"/>
                <w:szCs w:val="15"/>
                <w:color w:val="auto"/>
              </w:rPr>
            </w:pPr>
          </w:p>
        </w:tc>
        <w:tc>
          <w:tcPr>
            <w:tcW w:w="1780" w:type="dxa"/>
            <w:vAlign w:val="bottom"/>
          </w:tcPr>
          <w:p>
            <w:pPr>
              <w:ind w:left="960"/>
              <w:spacing w:after="0"/>
              <w:rPr>
                <w:sz w:val="20"/>
                <w:szCs w:val="20"/>
                <w:color w:val="auto"/>
              </w:rPr>
            </w:pPr>
            <w:r>
              <w:rPr>
                <w:rFonts w:ascii="Courier New" w:cs="Courier New" w:eastAsia="Courier New" w:hAnsi="Courier New"/>
                <w:sz w:val="15"/>
                <w:szCs w:val="15"/>
                <w:b w:val="1"/>
                <w:bCs w:val="1"/>
                <w:color w:val="auto"/>
              </w:rPr>
              <w:t>Number</w:t>
            </w:r>
          </w:p>
        </w:tc>
        <w:tc>
          <w:tcPr>
            <w:tcW w:w="240" w:type="dxa"/>
            <w:vAlign w:val="bottom"/>
          </w:tcPr>
          <w:p>
            <w:pPr>
              <w:spacing w:after="0"/>
              <w:rPr>
                <w:sz w:val="15"/>
                <w:szCs w:val="15"/>
                <w:color w:val="auto"/>
              </w:rPr>
            </w:pPr>
          </w:p>
        </w:tc>
        <w:tc>
          <w:tcPr>
            <w:tcW w:w="84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Par</w:t>
            </w:r>
          </w:p>
        </w:tc>
        <w:tc>
          <w:tcPr>
            <w:tcW w:w="1000" w:type="dxa"/>
            <w:vAlign w:val="bottom"/>
          </w:tcPr>
          <w:p>
            <w:pPr>
              <w:ind w:left="40"/>
              <w:spacing w:after="0"/>
              <w:rPr>
                <w:sz w:val="20"/>
                <w:szCs w:val="20"/>
                <w:color w:val="auto"/>
              </w:rPr>
            </w:pPr>
            <w:r>
              <w:rPr>
                <w:rFonts w:ascii="Courier New" w:cs="Courier New" w:eastAsia="Courier New" w:hAnsi="Courier New"/>
                <w:sz w:val="15"/>
                <w:szCs w:val="15"/>
                <w:b w:val="1"/>
                <w:bCs w:val="1"/>
                <w:color w:val="auto"/>
              </w:rPr>
              <w:t>Paid-In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Retained</w:t>
            </w:r>
          </w:p>
        </w:tc>
        <w:tc>
          <w:tcPr>
            <w:tcW w:w="1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Comprehensive</w:t>
            </w:r>
          </w:p>
        </w:tc>
        <w:tc>
          <w:tcPr>
            <w:tcW w:w="1160" w:type="dxa"/>
            <w:vAlign w:val="bottom"/>
          </w:tcPr>
          <w:p>
            <w:pPr>
              <w:spacing w:after="0"/>
              <w:rPr>
                <w:sz w:val="15"/>
                <w:szCs w:val="15"/>
                <w:color w:val="auto"/>
              </w:rPr>
            </w:pPr>
          </w:p>
        </w:tc>
      </w:tr>
      <w:tr>
        <w:trPr>
          <w:trHeight w:val="177"/>
        </w:trPr>
        <w:tc>
          <w:tcPr>
            <w:tcW w:w="3280" w:type="dxa"/>
            <w:vAlign w:val="bottom"/>
          </w:tcPr>
          <w:p>
            <w:pPr>
              <w:spacing w:after="0"/>
              <w:rPr>
                <w:sz w:val="15"/>
                <w:szCs w:val="15"/>
                <w:color w:val="auto"/>
              </w:rPr>
            </w:pPr>
          </w:p>
        </w:tc>
        <w:tc>
          <w:tcPr>
            <w:tcW w:w="1780" w:type="dxa"/>
            <w:vAlign w:val="bottom"/>
          </w:tcPr>
          <w:p>
            <w:pPr>
              <w:jc w:val="right"/>
              <w:ind w:right="3"/>
              <w:spacing w:after="0"/>
              <w:rPr>
                <w:sz w:val="20"/>
                <w:szCs w:val="20"/>
                <w:color w:val="auto"/>
              </w:rPr>
            </w:pPr>
            <w:r>
              <w:rPr>
                <w:rFonts w:ascii="Courier New" w:cs="Courier New" w:eastAsia="Courier New" w:hAnsi="Courier New"/>
                <w:sz w:val="15"/>
                <w:szCs w:val="15"/>
                <w:b w:val="1"/>
                <w:bCs w:val="1"/>
                <w:color w:val="auto"/>
              </w:rPr>
              <w:t>of shares</w:t>
            </w:r>
          </w:p>
        </w:tc>
        <w:tc>
          <w:tcPr>
            <w:tcW w:w="24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Courier New" w:cs="Courier New" w:eastAsia="Courier New" w:hAnsi="Courier New"/>
                <w:sz w:val="15"/>
                <w:szCs w:val="15"/>
                <w:b w:val="1"/>
                <w:bCs w:val="1"/>
                <w:color w:val="auto"/>
              </w:rPr>
              <w:t>Value</w:t>
            </w:r>
          </w:p>
        </w:tc>
        <w:tc>
          <w:tcPr>
            <w:tcW w:w="1000" w:type="dxa"/>
            <w:vAlign w:val="bottom"/>
          </w:tcPr>
          <w:p>
            <w:pPr>
              <w:ind w:left="40"/>
              <w:spacing w:after="0"/>
              <w:rPr>
                <w:sz w:val="20"/>
                <w:szCs w:val="20"/>
                <w:color w:val="auto"/>
              </w:rPr>
            </w:pPr>
            <w:r>
              <w:rPr>
                <w:rFonts w:ascii="Courier New" w:cs="Courier New" w:eastAsia="Courier New" w:hAnsi="Courier New"/>
                <w:sz w:val="15"/>
                <w:szCs w:val="15"/>
                <w:b w:val="1"/>
                <w:bCs w:val="1"/>
                <w:color w:val="auto"/>
              </w:rPr>
              <w:t>Capital</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Earnings</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b w:val="1"/>
                <w:bCs w:val="1"/>
                <w:color w:val="auto"/>
              </w:rPr>
              <w:t>Loss</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b w:val="1"/>
                <w:bCs w:val="1"/>
                <w:color w:val="auto"/>
              </w:rPr>
              <w:t>Total</w:t>
            </w:r>
          </w:p>
        </w:tc>
      </w:tr>
      <w:tr>
        <w:trPr>
          <w:trHeight w:val="177"/>
        </w:trPr>
        <w:tc>
          <w:tcPr>
            <w:tcW w:w="3280" w:type="dxa"/>
            <w:vAlign w:val="bottom"/>
          </w:tcPr>
          <w:p>
            <w:pPr>
              <w:spacing w:after="0"/>
              <w:rPr>
                <w:sz w:val="15"/>
                <w:szCs w:val="15"/>
                <w:color w:val="auto"/>
              </w:rPr>
            </w:pPr>
          </w:p>
        </w:tc>
        <w:tc>
          <w:tcPr>
            <w:tcW w:w="7240" w:type="dxa"/>
            <w:vAlign w:val="bottom"/>
            <w:gridSpan w:val="7"/>
          </w:tcPr>
          <w:p>
            <w:pPr>
              <w:jc w:val="right"/>
              <w:spacing w:after="0"/>
              <w:rPr>
                <w:sz w:val="20"/>
                <w:szCs w:val="20"/>
                <w:color w:val="auto"/>
              </w:rPr>
            </w:pPr>
            <w:r>
              <w:rPr>
                <w:rFonts w:ascii="Courier New" w:cs="Courier New" w:eastAsia="Courier New" w:hAnsi="Courier New"/>
                <w:sz w:val="15"/>
                <w:szCs w:val="15"/>
                <w:b w:val="1"/>
                <w:bCs w:val="1"/>
                <w:color w:val="auto"/>
              </w:rPr>
              <w:t>------------ -------  ---------  ----------- ------------ ------------</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14,804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149</w:t>
            </w: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$ 27,902</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$ 28,306</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(115)</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$ 56,242</w:t>
            </w:r>
          </w:p>
        </w:tc>
      </w:tr>
      <w:tr>
        <w:trPr>
          <w:trHeight w:val="177"/>
        </w:trPr>
        <w:tc>
          <w:tcPr>
            <w:tcW w:w="328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440</w:t>
            </w:r>
          </w:p>
        </w:tc>
        <w:tc>
          <w:tcPr>
            <w:tcW w:w="24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2,496</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2,500</w:t>
            </w:r>
          </w:p>
        </w:tc>
      </w:tr>
      <w:tr>
        <w:trPr>
          <w:trHeight w:val="177"/>
        </w:trPr>
        <w:tc>
          <w:tcPr>
            <w:tcW w:w="328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7,759</w:t>
            </w:r>
          </w:p>
        </w:tc>
      </w:tr>
    </w:tbl>
    <w:p>
      <w:pPr>
        <w:sectPr>
          <w:pgSz w:w="11900" w:h="16838" w:orient="portrait"/>
          <w:cols w:equalWidth="0" w:num="1">
            <w:col w:w="10520"/>
          </w:cols>
          <w:pgMar w:left="240" w:top="142" w:right="11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(4,810)</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15,244</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$ 30,398</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$ 31,255</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(1,678)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$ 60,128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9,987</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(4,878)</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(4,878)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15,247</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$ 30,414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$ 36,364</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(1,685)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$ 65,246</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70</w:t>
            </w:r>
          </w:p>
        </w:tc>
        <w:tc>
          <w:tcPr>
            <w:tcW w:w="38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427</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4,662</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4,662</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(4,887)</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(4,887)</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Additional minimum pension liability</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(3,357)</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15,317</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$ 30,841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$ 36,139</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(5,095)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$ 62,039</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tcPr>
          <w:p>
            <w:pPr>
              <w:jc w:val="center"/>
              <w:ind w:left="5363"/>
              <w:spacing w:after="0"/>
              <w:rPr>
                <w:sz w:val="20"/>
                <w:szCs w:val="20"/>
                <w:color w:val="auto"/>
              </w:rPr>
            </w:pPr>
            <w:r>
              <w:rPr>
                <w:rFonts w:ascii="Courier New" w:cs="Courier New" w:eastAsia="Courier New" w:hAnsi="Courier New"/>
                <w:sz w:val="15"/>
                <w:szCs w:val="15"/>
                <w:b w:val="1"/>
                <w:bCs w:val="1"/>
                <w:color w:val="auto"/>
              </w:rPr>
              <w:t>NN, Inc.</w:t>
            </w: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8200" w:type="dxa"/>
            <w:vAlign w:val="bottom"/>
            <w:gridSpan w:val="2"/>
          </w:tcPr>
          <w:p>
            <w:pPr>
              <w:jc w:val="right"/>
              <w:ind w:right="383"/>
              <w:spacing w:after="0"/>
              <w:rPr>
                <w:sz w:val="20"/>
                <w:szCs w:val="20"/>
                <w:color w:val="auto"/>
              </w:rPr>
            </w:pPr>
            <w:r>
              <w:rPr>
                <w:rFonts w:ascii="Courier New" w:cs="Courier New" w:eastAsia="Courier New" w:hAnsi="Courier New"/>
                <w:sz w:val="15"/>
                <w:szCs w:val="15"/>
                <w:b w:val="1"/>
                <w:bCs w:val="1"/>
                <w:color w:val="auto"/>
              </w:rPr>
              <w:t>Consolidated Statements of Cash Flows</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8200" w:type="dxa"/>
            <w:vAlign w:val="bottom"/>
            <w:gridSpan w:val="2"/>
          </w:tcPr>
          <w:p>
            <w:pPr>
              <w:jc w:val="center"/>
              <w:ind w:left="3903"/>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jc w:val="center"/>
              <w:ind w:left="5363"/>
              <w:spacing w:after="0"/>
              <w:rPr>
                <w:sz w:val="20"/>
                <w:szCs w:val="20"/>
                <w:color w:val="auto"/>
              </w:rPr>
            </w:pPr>
            <w:r>
              <w:rPr>
                <w:rFonts w:ascii="Courier New" w:cs="Courier New" w:eastAsia="Courier New" w:hAnsi="Courier New"/>
                <w:sz w:val="15"/>
                <w:szCs w:val="15"/>
                <w:b w:val="1"/>
                <w:bCs w:val="1"/>
                <w:color w:val="auto"/>
              </w:rPr>
              <w:t>(In Thousands)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spacing w:after="0"/>
              <w:rPr>
                <w:sz w:val="15"/>
                <w:szCs w:val="15"/>
                <w:color w:val="auto"/>
              </w:rPr>
            </w:pP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2000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6740" w:type="dxa"/>
            <w:vAlign w:val="bottom"/>
          </w:tcPr>
          <w:p>
            <w:pPr>
              <w:spacing w:after="0"/>
              <w:rPr>
                <w:sz w:val="15"/>
                <w:szCs w:val="15"/>
                <w:color w:val="auto"/>
              </w:rPr>
            </w:pPr>
          </w:p>
        </w:tc>
        <w:tc>
          <w:tcPr>
            <w:tcW w:w="3500" w:type="dxa"/>
            <w:vAlign w:val="bottom"/>
            <w:gridSpan w:val="3"/>
          </w:tcPr>
          <w:p>
            <w:pPr>
              <w:jc w:val="right"/>
              <w:ind w:right="203"/>
              <w:spacing w:after="0"/>
              <w:rPr>
                <w:sz w:val="20"/>
                <w:szCs w:val="20"/>
                <w:color w:val="auto"/>
              </w:rPr>
            </w:pPr>
            <w:r>
              <w:rPr>
                <w:rFonts w:ascii="Courier New" w:cs="Courier New" w:eastAsia="Courier New" w:hAnsi="Courier New"/>
                <w:sz w:val="15"/>
                <w:szCs w:val="15"/>
                <w:b w:val="1"/>
                <w:bCs w:val="1"/>
                <w:color w:val="auto"/>
              </w:rPr>
              <w:t>-----------  ----------- ----------</w:t>
            </w:r>
          </w:p>
        </w:tc>
      </w:tr>
      <w:tr>
        <w:trPr>
          <w:trHeight w:val="177"/>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operating activities: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4,662</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9,987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7,759</w:t>
            </w:r>
          </w:p>
        </w:tc>
      </w:tr>
      <w:tr>
        <w:trPr>
          <w:trHeight w:val="177"/>
        </w:trPr>
        <w:tc>
          <w:tcPr>
            <w:tcW w:w="82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740"/>
              <w:spacing w:after="0"/>
              <w:rPr>
                <w:sz w:val="20"/>
                <w:szCs w:val="20"/>
                <w:color w:val="auto"/>
              </w:rPr>
            </w:pPr>
            <w:r>
              <w:rPr>
                <w:rFonts w:ascii="Courier New" w:cs="Courier New" w:eastAsia="Courier New" w:hAnsi="Courier New"/>
                <w:sz w:val="15"/>
                <w:szCs w:val="15"/>
                <w:color w:val="auto"/>
              </w:rPr>
              <w:t>activities: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13,340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9,165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6,131</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Loss on disposals of property, plant and equipment</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1,194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Loss on sale of NNG</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Deferred income tax</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Interest income on receivable from unconsolidated affiliates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Restructuring costs and impairment costs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6,838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Inventories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1,175</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(3,021)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5,121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current assets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(1,461)</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(618)</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(1,719)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(2,846)</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(1,439)</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2,227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8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24,617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26,864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17,845</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investing activities:</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Acquisition of businesses, net of cash acquired</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(23,496)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(57,788)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(27,535)</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(6,314)</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(17,910)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(2,394)</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Sale of NNG</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Long-term note receivable</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(3,440)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Investment in unconsolidated affiliates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(172)</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disposals of property, plant and equipment</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560"/>
              <w:spacing w:after="0"/>
              <w:rPr>
                <w:sz w:val="20"/>
                <w:szCs w:val="20"/>
                <w:color w:val="auto"/>
              </w:rPr>
            </w:pPr>
            <w:r>
              <w:rPr>
                <w:rFonts w:ascii="Courier New" w:cs="Courier New" w:eastAsia="Courier New" w:hAnsi="Courier New"/>
                <w:sz w:val="15"/>
                <w:szCs w:val="15"/>
                <w:color w:val="auto"/>
              </w:rPr>
              <w:t>Net cash used by investing activities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(29,082)</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(79,310)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(29,883)</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financing activities:</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proceeds under revolving line of credit</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7,547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17,151</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Minority shareholders contributions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29,600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long-term debt</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71,430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25,817</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Bank overdrafts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1,239</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Repayment of long-term debt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(65,946)</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(repayment) of short-term debt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issuance of stock</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Cash dividends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(4,887)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56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59,317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13,580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Effect of exchange rate changes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355"/>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change in cash and cash equivalents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(5,249)</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6,864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8,273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1,409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1,430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40"/>
          </w:cols>
          <w:pgMar w:left="240" w:top="142" w:right="1419" w:bottom="0" w:gutter="0" w:footer="0" w:header="0"/>
        </w:sectPr>
      </w:pPr>
    </w:p>
    <w:bookmarkStart w:id="21" w:name="page22"/>
    <w:bookmarkEnd w:id="2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3,024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8,273</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r>
      <w:tr>
        <w:trPr>
          <w:trHeight w:val="177"/>
        </w:trPr>
        <w:tc>
          <w:tcPr>
            <w:tcW w:w="678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6780" w:type="dxa"/>
            <w:vAlign w:val="bottom"/>
          </w:tcPr>
          <w:p>
            <w:pPr>
              <w:spacing w:after="0"/>
              <w:rPr>
                <w:sz w:val="20"/>
                <w:szCs w:val="20"/>
                <w:color w:val="auto"/>
              </w:rPr>
            </w:pPr>
            <w:r>
              <w:rPr>
                <w:rFonts w:ascii="Courier New" w:cs="Courier New" w:eastAsia="Courier New" w:hAnsi="Courier New"/>
                <w:sz w:val="15"/>
                <w:szCs w:val="15"/>
                <w:b w:val="1"/>
                <w:bCs w:val="1"/>
                <w:color w:val="auto"/>
              </w:rPr>
              <w:t>Supplemental schedule of non-cash investing and financing activities: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Note received related to sale of NNG</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Stock issued related to acquisition of IMC</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7"/>
        </w:trPr>
        <w:tc>
          <w:tcPr>
            <w:tcW w:w="678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bl>
    <w:p>
      <w:pPr>
        <w:spacing w:after="0" w:line="183"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b w:val="1"/>
          <w:bCs w:val="1"/>
          <w:color w:val="auto"/>
        </w:rPr>
        <w:t>(Continued)</w:t>
      </w:r>
    </w:p>
    <w:p>
      <w:pPr>
        <w:spacing w:after="0" w:line="8" w:lineRule="exact"/>
        <w:rPr>
          <w:sz w:val="20"/>
          <w:szCs w:val="20"/>
          <w:color w:val="auto"/>
        </w:rPr>
      </w:pPr>
    </w:p>
    <w:p>
      <w:pPr>
        <w:ind w:left="645" w:hanging="645"/>
        <w:spacing w:after="0"/>
        <w:tabs>
          <w:tab w:leader="none" w:pos="645" w:val="left"/>
        </w:tabs>
        <w:numPr>
          <w:ilvl w:val="0"/>
          <w:numId w:val="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Summary of Significant Accounting Policies and Practices</w:t>
      </w:r>
    </w:p>
    <w:p>
      <w:pPr>
        <w:spacing w:after="0" w:line="362" w:lineRule="exact"/>
        <w:rPr>
          <w:rFonts w:ascii="Courier New" w:cs="Courier New" w:eastAsia="Courier New" w:hAnsi="Courier New"/>
          <w:sz w:val="15"/>
          <w:szCs w:val="15"/>
          <w:b w:val="1"/>
          <w:b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Description of Business</w:t>
      </w:r>
    </w:p>
    <w:p>
      <w:pPr>
        <w:spacing w:after="0" w:line="184" w:lineRule="exact"/>
        <w:rPr>
          <w:rFonts w:ascii="Courier New" w:cs="Courier New" w:eastAsia="Courier New" w:hAnsi="Courier New"/>
          <w:sz w:val="15"/>
          <w:szCs w:val="15"/>
          <w:i w:val="1"/>
          <w:iCs w:val="1"/>
          <w:color w:val="auto"/>
        </w:rPr>
      </w:pPr>
    </w:p>
    <w:p>
      <w:pPr>
        <w:ind w:left="1285" w:right="3960"/>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2) is comprised of manufacturing facilities located in Kilkenny, Ireland, Eltmann, Germany, and Pinerolo, Italy. All of the facilities in the Euroball Segment are engaged in the production of precision balls and rollers. The Plastics Segment consists of IMC, acquired in July 1999, NN Arte, formed in August 2000 and Delta Rubber, acquired in February 2001. IMC has two production facilities in Texas, NN Arte has one production facility in Guadalajara, Mexico and Delta Rubber has two production facilities in Connecticut (see Note 2). All of the Company's segments sell to foreign and domestic customers.</w:t>
      </w:r>
    </w:p>
    <w:p>
      <w:pPr>
        <w:spacing w:after="0" w:line="185"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Cash and Cash Equivalents</w:t>
      </w:r>
    </w:p>
    <w:p>
      <w:pPr>
        <w:spacing w:after="0" w:line="184" w:lineRule="exact"/>
        <w:rPr>
          <w:rFonts w:ascii="Courier New" w:cs="Courier New" w:eastAsia="Courier New" w:hAnsi="Courier New"/>
          <w:sz w:val="15"/>
          <w:szCs w:val="15"/>
          <w:i w:val="1"/>
          <w:iCs w:val="1"/>
          <w:color w:val="auto"/>
        </w:rPr>
      </w:pPr>
    </w:p>
    <w:p>
      <w:pPr>
        <w:ind w:left="1285" w:right="4340"/>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74"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Inventories</w:t>
      </w:r>
    </w:p>
    <w:p>
      <w:pPr>
        <w:spacing w:after="0" w:line="184" w:lineRule="exact"/>
        <w:rPr>
          <w:rFonts w:ascii="Courier New" w:cs="Courier New" w:eastAsia="Courier New" w:hAnsi="Courier New"/>
          <w:sz w:val="15"/>
          <w:szCs w:val="15"/>
          <w:i w:val="1"/>
          <w:iCs w:val="1"/>
          <w:color w:val="auto"/>
        </w:rPr>
      </w:pPr>
    </w:p>
    <w:p>
      <w:pPr>
        <w:ind w:left="1285" w:right="4340"/>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4"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Property, Plant and Equipment</w:t>
      </w:r>
    </w:p>
    <w:p>
      <w:pPr>
        <w:spacing w:after="0" w:line="184" w:lineRule="exact"/>
        <w:rPr>
          <w:rFonts w:ascii="Courier New" w:cs="Courier New" w:eastAsia="Courier New" w:hAnsi="Courier New"/>
          <w:sz w:val="15"/>
          <w:szCs w:val="15"/>
          <w:i w:val="1"/>
          <w:iCs w:val="1"/>
          <w:color w:val="auto"/>
        </w:rPr>
      </w:pPr>
    </w:p>
    <w:p>
      <w:pPr>
        <w:ind w:left="1285" w:right="3960"/>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w:t>
      </w:r>
    </w:p>
    <w:p>
      <w:pPr>
        <w:spacing w:after="0" w:line="176"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p>
      <w:pPr>
        <w:ind w:left="1285" w:right="3960"/>
        <w:spacing w:after="0" w:line="250" w:lineRule="auto"/>
        <w:rPr>
          <w:sz w:val="20"/>
          <w:szCs w:val="20"/>
          <w:color w:val="auto"/>
        </w:rPr>
      </w:pPr>
      <w:r>
        <w:rPr>
          <w:rFonts w:ascii="Courier New" w:cs="Courier New" w:eastAsia="Courier New" w:hAnsi="Courier New"/>
          <w:sz w:val="15"/>
          <w:szCs w:val="15"/>
          <w:color w:val="auto"/>
        </w:rPr>
        <w:t>gain or loss is recorded in income or expense, respectively. The Company reviews the carrying values of long-lived assets for impairment whenever events or changes in circumstances indicate the carrying amount of an asset may not be recoverable. During the year ended December 31, 2001, the Company incurred an impairment charge of $1,083 to write-down the land and building at the Walterboro, SC production facility to its net realizable value, which was based upon fair market value appraisals. The carrying value of this land and building of $1,692 has been classified as a component of assets held for sale in the accompanying financial statements. During the year ended December 31, 2000, the Company did not incur any impairment charges.</w:t>
      </w:r>
    </w:p>
    <w:p>
      <w:pPr>
        <w:sectPr>
          <w:pgSz w:w="11900" w:h="16838" w:orient="portrait"/>
          <w:cols w:equalWidth="0" w:num="1">
            <w:col w:w="11345"/>
          </w:cols>
          <w:pgMar w:left="235" w:top="142" w:right="319" w:bottom="0" w:gutter="0" w:footer="0" w:header="0"/>
        </w:sectPr>
      </w:pPr>
    </w:p>
    <w:bookmarkStart w:id="22" w:name="page23"/>
    <w:bookmarkEnd w:id="22"/>
    <w:p>
      <w:pPr>
        <w:ind w:left="640" w:right="2839"/>
        <w:spacing w:after="0" w:line="251" w:lineRule="auto"/>
        <w:rPr>
          <w:sz w:val="20"/>
          <w:szCs w:val="20"/>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76" w:lineRule="exact"/>
        <w:rPr>
          <w:sz w:val="20"/>
          <w:szCs w:val="20"/>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Revenue Recognition</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w:t>
      </w:r>
    </w:p>
    <w:p>
      <w:pPr>
        <w:spacing w:after="0" w:line="353"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Income Taxes</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2"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Net Income Per Common Share</w:t>
      </w:r>
    </w:p>
    <w:p>
      <w:pPr>
        <w:spacing w:after="0" w:line="184" w:lineRule="exact"/>
        <w:rPr>
          <w:rFonts w:ascii="Courier New" w:cs="Courier New" w:eastAsia="Courier New" w:hAnsi="Courier New"/>
          <w:sz w:val="15"/>
          <w:szCs w:val="15"/>
          <w:i w:val="1"/>
          <w:iCs w:val="1"/>
          <w:color w:val="auto"/>
        </w:rPr>
      </w:pPr>
    </w:p>
    <w:p>
      <w:pPr>
        <w:ind w:left="640"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76"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Stock Incentive Plan</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Compensation expense is recognized for these awards if the current market price of the underlying stock exceeds $10.50.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86"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Principles of Consolidation</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w:t>
      </w:r>
    </w:p>
    <w:p>
      <w:pPr>
        <w:spacing w:after="0" w:line="17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88265</wp:posOffset>
            </wp:positionV>
            <wp:extent cx="72891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3019"/>
        <w:spacing w:after="0" w:line="251" w:lineRule="auto"/>
        <w:rPr>
          <w:sz w:val="20"/>
          <w:szCs w:val="20"/>
          <w:color w:val="auto"/>
        </w:rPr>
      </w:pPr>
      <w:r>
        <w:rPr>
          <w:rFonts w:ascii="Courier New" w:cs="Courier New" w:eastAsia="Courier New" w:hAnsi="Courier New"/>
          <w:sz w:val="15"/>
          <w:szCs w:val="15"/>
          <w:color w:val="auto"/>
        </w:rPr>
        <w:t>shareholders in companies that are more than 50% owned, but less than 100% owned, are reflected as minority interests. Minority interest represents the minority shareholders interest of NN Euroball ApS and NN Arte.</w:t>
      </w:r>
    </w:p>
    <w:p>
      <w:pPr>
        <w:spacing w:after="0" w:line="176" w:lineRule="exact"/>
        <w:rPr>
          <w:sz w:val="20"/>
          <w:szCs w:val="20"/>
          <w:color w:val="auto"/>
        </w:rPr>
      </w:pPr>
    </w:p>
    <w:p>
      <w:pPr>
        <w:ind w:left="640" w:hanging="639"/>
        <w:spacing w:after="0"/>
        <w:tabs>
          <w:tab w:leader="none" w:pos="640" w:val="left"/>
        </w:tabs>
        <w:numPr>
          <w:ilvl w:val="0"/>
          <w:numId w:val="5"/>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Foreign Currency Translation</w:t>
      </w:r>
    </w:p>
    <w:p>
      <w:pPr>
        <w:spacing w:after="0" w:line="184" w:lineRule="exact"/>
        <w:rPr>
          <w:rFonts w:ascii="Courier New" w:cs="Courier New" w:eastAsia="Courier New" w:hAnsi="Courier New"/>
          <w:sz w:val="15"/>
          <w:szCs w:val="15"/>
          <w:i w:val="1"/>
          <w:iCs w:val="1"/>
          <w:color w:val="auto"/>
        </w:rPr>
      </w:pPr>
    </w:p>
    <w:p>
      <w:pPr>
        <w:ind w:left="640" w:right="301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ectPr>
          <w:pgSz w:w="11900" w:h="16838" w:orient="portrait"/>
          <w:cols w:equalWidth="0" w:num="1">
            <w:col w:w="9579"/>
          </w:cols>
          <w:pgMar w:left="880" w:top="319" w:right="1440" w:bottom="0" w:gutter="0" w:footer="0" w:header="0"/>
        </w:sectPr>
      </w:pPr>
    </w:p>
    <w:bookmarkStart w:id="23" w:name="page24"/>
    <w:bookmarkEnd w:id="23"/>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Goodwill</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Goodwill, which represents the excess of purchase price over the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w:t>
      </w:r>
    </w:p>
    <w:p>
      <w:pPr>
        <w:spacing w:after="0" w:line="181"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Impairment of Long-Lived Assets and Long-Lived Assets to Be Disposed Of</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3"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Use of Estimates in the Preparation of Financial Statements</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Reclassifications</w:t>
      </w:r>
    </w:p>
    <w:p>
      <w:pPr>
        <w:spacing w:after="0" w:line="184" w:lineRule="exact"/>
        <w:rPr>
          <w:rFonts w:ascii="Courier New" w:cs="Courier New" w:eastAsia="Courier New" w:hAnsi="Courier New"/>
          <w:sz w:val="15"/>
          <w:szCs w:val="15"/>
          <w:i w:val="1"/>
          <w:iCs w:val="1"/>
          <w:color w:val="auto"/>
        </w:rPr>
      </w:pPr>
    </w:p>
    <w:p>
      <w:pPr>
        <w:ind w:left="640" w:right="3119"/>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Certain 2000 and 1999 amounts have been reclassified to conform with the 2001 presentation.</w:t>
      </w:r>
    </w:p>
    <w:p>
      <w:pPr>
        <w:spacing w:after="0" w:line="174"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Recently Issued Accounting Standards</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2" w:lineRule="exact"/>
        <w:rPr>
          <w:rFonts w:ascii="Courier New" w:cs="Courier New" w:eastAsia="Courier New" w:hAnsi="Courier New"/>
          <w:sz w:val="15"/>
          <w:szCs w:val="15"/>
          <w:i w:val="1"/>
          <w:iCs w:val="1"/>
          <w:color w:val="auto"/>
        </w:rPr>
      </w:pPr>
    </w:p>
    <w:p>
      <w:pPr>
        <w:ind w:left="640"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July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requires that goodwill and intangible assets</w:t>
      </w:r>
    </w:p>
    <w:p>
      <w:pPr>
        <w:spacing w:after="0" w:line="18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(Continued)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88265</wp:posOffset>
            </wp:positionV>
            <wp:extent cx="72891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2939"/>
        <w:spacing w:after="0" w:line="251" w:lineRule="auto"/>
        <w:rPr>
          <w:sz w:val="20"/>
          <w:szCs w:val="20"/>
          <w:color w:val="auto"/>
        </w:rPr>
      </w:pPr>
      <w:r>
        <w:rPr>
          <w:rFonts w:ascii="Courier New" w:cs="Courier New" w:eastAsia="Courier New" w:hAnsi="Courier New"/>
          <w:sz w:val="15"/>
          <w:szCs w:val="15"/>
          <w:color w:val="auto"/>
        </w:rPr>
        <w:t>with indefinite useful lives no longer be amortized, but instead tested for impairment. The effective date of Statement No. 142 is January 1, 2002. As of the date of adoption, the Company expects to have unamortized goodwill of approximately $39.8 million, which will be subject to the provisions of Statement No. 142. Amortization expense related to goodwill was $1.8 million, $0.9 million and $0.4 million for the years ended December 31, 2001, 2000 and 1999, respectively. The Company is currently evaluating the impact of adoption of Statement No. 142.</w:t>
      </w:r>
    </w:p>
    <w:p>
      <w:pPr>
        <w:spacing w:after="0" w:line="175" w:lineRule="exact"/>
        <w:rPr>
          <w:sz w:val="20"/>
          <w:szCs w:val="20"/>
          <w:color w:val="auto"/>
        </w:rPr>
      </w:pPr>
    </w:p>
    <w:p>
      <w:pPr>
        <w:ind w:left="640" w:right="2939"/>
        <w:spacing w:after="0" w:line="252" w:lineRule="auto"/>
        <w:rPr>
          <w:sz w:val="20"/>
          <w:szCs w:val="20"/>
          <w:color w:val="auto"/>
        </w:rPr>
      </w:pPr>
      <w:r>
        <w:rPr>
          <w:rFonts w:ascii="Courier New" w:cs="Courier New" w:eastAsia="Courier New" w:hAnsi="Courier New"/>
          <w:sz w:val="15"/>
          <w:szCs w:val="15"/>
          <w:color w:val="auto"/>
        </w:rPr>
        <w:t>In July 2001, the FASB issued Statement of Financial Accounting Standards No. 143, "Accounting For Asset Retirement Obligations." This Statement requires capitalizing any retirement costs as part</w:t>
      </w:r>
    </w:p>
    <w:p>
      <w:pPr>
        <w:sectPr>
          <w:pgSz w:w="11900" w:h="16838" w:orient="portrait"/>
          <w:cols w:equalWidth="0" w:num="1">
            <w:col w:w="9579"/>
          </w:cols>
          <w:pgMar w:left="880" w:top="142" w:right="1440" w:bottom="0" w:gutter="0" w:footer="0" w:header="0"/>
        </w:sectPr>
      </w:pPr>
    </w:p>
    <w:bookmarkStart w:id="24" w:name="page25"/>
    <w:bookmarkEnd w:id="24"/>
    <w:p>
      <w:pPr>
        <w:ind w:left="1285" w:right="2839"/>
        <w:spacing w:after="0" w:line="251" w:lineRule="auto"/>
        <w:rPr>
          <w:sz w:val="20"/>
          <w:szCs w:val="20"/>
          <w:color w:val="auto"/>
        </w:rPr>
      </w:pPr>
      <w:r>
        <w:rPr>
          <w:rFonts w:ascii="Courier New" w:cs="Courier New" w:eastAsia="Courier New" w:hAnsi="Courier New"/>
          <w:sz w:val="15"/>
          <w:szCs w:val="15"/>
          <w:color w:val="auto"/>
        </w:rPr>
        <w:t>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176" w:lineRule="exact"/>
        <w:rPr>
          <w:sz w:val="20"/>
          <w:szCs w:val="20"/>
          <w:color w:val="auto"/>
        </w:rPr>
      </w:pPr>
    </w:p>
    <w:p>
      <w:pPr>
        <w:ind w:left="1285" w:right="2939"/>
        <w:spacing w:after="0" w:line="251" w:lineRule="auto"/>
        <w:rPr>
          <w:sz w:val="20"/>
          <w:szCs w:val="20"/>
          <w:color w:val="auto"/>
        </w:rPr>
      </w:pPr>
      <w:r>
        <w:rPr>
          <w:rFonts w:ascii="Courier New" w:cs="Courier New" w:eastAsia="Courier New" w:hAnsi="Courier New"/>
          <w:sz w:val="15"/>
          <w:szCs w:val="15"/>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75" w:lineRule="exact"/>
        <w:rPr>
          <w:sz w:val="20"/>
          <w:szCs w:val="20"/>
          <w:color w:val="auto"/>
        </w:rPr>
      </w:pPr>
    </w:p>
    <w:p>
      <w:pPr>
        <w:ind w:left="1285" w:hanging="639"/>
        <w:spacing w:after="0"/>
        <w:tabs>
          <w:tab w:leader="none" w:pos="1285" w:val="left"/>
        </w:tabs>
        <w:numPr>
          <w:ilvl w:val="1"/>
          <w:numId w:val="7"/>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Derivative Financial Instruments</w:t>
      </w:r>
    </w:p>
    <w:p>
      <w:pPr>
        <w:spacing w:after="0" w:line="184" w:lineRule="exact"/>
        <w:rPr>
          <w:rFonts w:ascii="Courier New" w:cs="Courier New" w:eastAsia="Courier New" w:hAnsi="Courier New"/>
          <w:sz w:val="15"/>
          <w:szCs w:val="15"/>
          <w:i w:val="1"/>
          <w:iCs w:val="1"/>
          <w:color w:val="auto"/>
        </w:rPr>
      </w:pPr>
    </w:p>
    <w:p>
      <w:pPr>
        <w:ind w:left="1285"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2" w:lineRule="exact"/>
        <w:rPr>
          <w:rFonts w:ascii="Courier New" w:cs="Courier New" w:eastAsia="Courier New" w:hAnsi="Courier New"/>
          <w:sz w:val="15"/>
          <w:szCs w:val="15"/>
          <w:i w:val="1"/>
          <w:iCs w:val="1"/>
          <w:color w:val="auto"/>
        </w:rPr>
      </w:pPr>
    </w:p>
    <w:p>
      <w:pPr>
        <w:ind w:left="1285"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81" w:lineRule="exact"/>
        <w:rPr>
          <w:rFonts w:ascii="Courier New" w:cs="Courier New" w:eastAsia="Courier New" w:hAnsi="Courier New"/>
          <w:sz w:val="15"/>
          <w:szCs w:val="15"/>
          <w:i w:val="1"/>
          <w:iCs w:val="1"/>
          <w:color w:val="auto"/>
        </w:rPr>
      </w:pPr>
    </w:p>
    <w:p>
      <w:pPr>
        <w:ind w:left="1285"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w:t>
      </w:r>
    </w:p>
    <w:p>
      <w:pPr>
        <w:spacing w:after="0" w:line="2" w:lineRule="exact"/>
        <w:rPr>
          <w:rFonts w:ascii="Courier New" w:cs="Courier New" w:eastAsia="Courier New" w:hAnsi="Courier New"/>
          <w:sz w:val="15"/>
          <w:szCs w:val="15"/>
          <w:i w:val="1"/>
          <w:iCs w:val="1"/>
          <w:color w:val="auto"/>
        </w:rPr>
      </w:pPr>
    </w:p>
    <w:p>
      <w:pPr>
        <w:ind w:left="1285"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5.51% fixed interest. The interest rate swap agreement expires in July 2006 and the notional amount amortizes in relation to principal payments on the underlying debt over the life of the swap.</w:t>
      </w:r>
    </w:p>
    <w:p>
      <w:pPr>
        <w:spacing w:after="0" w:line="176" w:lineRule="exact"/>
        <w:rPr>
          <w:rFonts w:ascii="Courier New" w:cs="Courier New" w:eastAsia="Courier New" w:hAnsi="Courier New"/>
          <w:sz w:val="15"/>
          <w:szCs w:val="15"/>
          <w:i w:val="1"/>
          <w:iCs w:val="1"/>
          <w:color w:val="auto"/>
        </w:rPr>
      </w:pPr>
    </w:p>
    <w:p>
      <w:pPr>
        <w:ind w:left="1285"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cumulative effect of a change in accounting principles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75" w:lineRule="exact"/>
        <w:rPr>
          <w:rFonts w:ascii="Courier New" w:cs="Courier New" w:eastAsia="Courier New" w:hAnsi="Courier New"/>
          <w:sz w:val="15"/>
          <w:szCs w:val="15"/>
          <w:i w:val="1"/>
          <w:iCs w:val="1"/>
          <w:color w:val="auto"/>
        </w:rPr>
      </w:pPr>
    </w:p>
    <w:p>
      <w:pPr>
        <w:ind w:left="1285"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As of December 31, 2001, the fair value of the swap is a before tax loss of approximately $374 which is recorded in other non-current liabilities. The change in fair value during the year ended December 31, 2001 was a loss of approximately $80 which has been included as a component of other (income) expense.</w:t>
      </w:r>
    </w:p>
    <w:p>
      <w:pPr>
        <w:spacing w:after="0" w:line="176" w:lineRule="exact"/>
        <w:rPr>
          <w:rFonts w:ascii="Courier New" w:cs="Courier New" w:eastAsia="Courier New" w:hAnsi="Courier New"/>
          <w:sz w:val="15"/>
          <w:szCs w:val="15"/>
          <w:i w:val="1"/>
          <w:iCs w:val="1"/>
          <w:color w:val="auto"/>
        </w:rPr>
      </w:pPr>
    </w:p>
    <w:p>
      <w:pPr>
        <w:ind w:left="465" w:hanging="465"/>
        <w:spacing w:after="0"/>
        <w:tabs>
          <w:tab w:leader="none" w:pos="465" w:val="left"/>
        </w:tabs>
        <w:numPr>
          <w:ilvl w:val="0"/>
          <w:numId w:val="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Acquisitions</w:t>
      </w:r>
    </w:p>
    <w:p>
      <w:pPr>
        <w:spacing w:after="0" w:line="184" w:lineRule="exact"/>
        <w:rPr>
          <w:rFonts w:ascii="Courier New" w:cs="Courier New" w:eastAsia="Courier New" w:hAnsi="Courier New"/>
          <w:sz w:val="15"/>
          <w:szCs w:val="15"/>
          <w:b w:val="1"/>
          <w:bCs w:val="1"/>
          <w:color w:val="auto"/>
        </w:rPr>
      </w:pPr>
    </w:p>
    <w:p>
      <w:pPr>
        <w:ind w:left="46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("Delta") a Connecticut corporation for $22,500 in cash, of which $500 was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The excess of the purchase price over the fair value of the net identifiable</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5"/>
          </w:cols>
          <w:pgMar w:left="235" w:top="142" w:right="14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assets acquired of $14,107 has been recorded as goodwill and is being</w:t>
      </w:r>
    </w:p>
    <w:p>
      <w:pPr>
        <w:sectPr>
          <w:pgSz w:w="11900" w:h="16838" w:orient="portrait"/>
          <w:cols w:equalWidth="0" w:num="1">
            <w:col w:w="10225"/>
          </w:cols>
          <w:pgMar w:left="235" w:top="142" w:right="1440" w:bottom="0" w:gutter="0" w:footer="0" w:header="0"/>
          <w:type w:val="continuous"/>
        </w:sectPr>
      </w:pPr>
    </w:p>
    <w:bookmarkStart w:id="25" w:name="page26"/>
    <w:bookmarkEnd w:id="25"/>
    <w:p>
      <w:pPr>
        <w:ind w:left="640"/>
        <w:spacing w:after="0"/>
        <w:rPr>
          <w:sz w:val="20"/>
          <w:szCs w:val="20"/>
          <w:color w:val="auto"/>
        </w:rPr>
      </w:pPr>
      <w:r>
        <w:rPr>
          <w:rFonts w:ascii="Courier New" w:cs="Courier New" w:eastAsia="Courier New" w:hAnsi="Courier New"/>
          <w:sz w:val="15"/>
          <w:szCs w:val="15"/>
          <w:color w:val="auto"/>
        </w:rPr>
        <w:t>amortized on a straight-line basis over twenty years.</w:t>
      </w:r>
    </w:p>
    <w:p>
      <w:pPr>
        <w:spacing w:after="0" w:line="185" w:lineRule="exact"/>
        <w:rPr>
          <w:sz w:val="20"/>
          <w:szCs w:val="20"/>
          <w:color w:val="auto"/>
        </w:rPr>
      </w:pPr>
    </w:p>
    <w:p>
      <w:pPr>
        <w:ind w:left="640" w:right="4060"/>
        <w:spacing w:after="0" w:line="250" w:lineRule="auto"/>
        <w:rPr>
          <w:sz w:val="20"/>
          <w:szCs w:val="20"/>
          <w:color w:val="auto"/>
        </w:rPr>
      </w:pPr>
      <w:r>
        <w:rPr>
          <w:rFonts w:ascii="Courier New" w:cs="Courier New" w:eastAsia="Courier New" w:hAnsi="Courier New"/>
          <w:sz w:val="15"/>
          <w:szCs w:val="15"/>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The Company owns 54% of the shares of NN Euroball, ApS, AB SKF (SKF), a Swedish Company, and FAG Kugelfischer Georg Schager AG (FAG), a German Company, own 23% each. NN Euroball ApS subsequently acquired the steel ball manufacturing facilities located in Pinerolo, Italy (previously owned by SKF), Eltmann, Germany (previously owned by FAG) and Kilkenny, Ireland (previously owned by the Company). NN Euroball ApS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363" w:lineRule="exact"/>
        <w:rPr>
          <w:sz w:val="20"/>
          <w:szCs w:val="20"/>
          <w:color w:val="auto"/>
        </w:rPr>
      </w:pPr>
    </w:p>
    <w:p>
      <w:pPr>
        <w:ind w:left="640" w:right="4240"/>
        <w:spacing w:after="0" w:line="251" w:lineRule="auto"/>
        <w:rPr>
          <w:sz w:val="20"/>
          <w:szCs w:val="20"/>
          <w:color w:val="auto"/>
        </w:rPr>
      </w:pPr>
      <w:r>
        <w:rPr>
          <w:rFonts w:ascii="Courier New" w:cs="Courier New" w:eastAsia="Courier New" w:hAnsi="Courier New"/>
          <w:sz w:val="15"/>
          <w:szCs w:val="15"/>
          <w:color w:val="auto"/>
        </w:rPr>
        <w:t>Under the terms of a Shareholder Agreement between the Company, SKF and FAG, at any time after December 31, 2002, SKF and FAG can require the Company to purchase their shares of NN Euroball ApS. The purchase price of the shares is to be calculated using a purchase price formula specified in the Shareholder Agreement.</w:t>
      </w:r>
    </w:p>
    <w:p>
      <w:pPr>
        <w:spacing w:after="0" w:line="176" w:lineRule="exact"/>
        <w:rPr>
          <w:sz w:val="20"/>
          <w:szCs w:val="20"/>
          <w:color w:val="auto"/>
        </w:rPr>
      </w:pPr>
    </w:p>
    <w:p>
      <w:pPr>
        <w:ind w:left="640" w:right="4060"/>
        <w:spacing w:after="0" w:line="251"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(Unaudited)</w:t>
            </w:r>
          </w:p>
        </w:tc>
        <w:tc>
          <w:tcPr>
            <w:tcW w:w="5820" w:type="dxa"/>
            <w:vAlign w:val="bottom"/>
          </w:tcPr>
          <w:p>
            <w:pPr>
              <w:jc w:val="right"/>
              <w:ind w:right="4263"/>
              <w:spacing w:after="0"/>
              <w:rPr>
                <w:sz w:val="20"/>
                <w:szCs w:val="20"/>
                <w:color w:val="auto"/>
              </w:rPr>
            </w:pPr>
            <w:r>
              <w:rPr>
                <w:rFonts w:ascii="Courier New" w:cs="Courier New" w:eastAsia="Courier New" w:hAnsi="Courier New"/>
                <w:sz w:val="15"/>
                <w:szCs w:val="15"/>
                <w:b w:val="1"/>
                <w:bCs w:val="1"/>
                <w:color w:val="auto"/>
              </w:rPr>
              <w:t>(Unaudited)</w:t>
            </w:r>
          </w:p>
        </w:tc>
      </w:tr>
      <w:tr>
        <w:trPr>
          <w:trHeight w:val="177"/>
        </w:trPr>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December 31, 2001</w:t>
            </w:r>
          </w:p>
        </w:tc>
        <w:tc>
          <w:tcPr>
            <w:tcW w:w="582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December 31, 2000</w:t>
            </w:r>
          </w:p>
        </w:tc>
      </w:tr>
      <w:tr>
        <w:trPr>
          <w:trHeight w:val="177"/>
        </w:trPr>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300" w:type="dxa"/>
            <w:vAlign w:val="bottom"/>
          </w:tcPr>
          <w:p>
            <w:pPr>
              <w:jc w:val="right"/>
              <w:ind w:right="3"/>
              <w:spacing w:after="0"/>
              <w:rPr>
                <w:sz w:val="20"/>
                <w:szCs w:val="20"/>
                <w:color w:val="auto"/>
              </w:rPr>
            </w:pPr>
            <w:r>
              <w:rPr>
                <w:rFonts w:ascii="Courier New" w:cs="Courier New" w:eastAsia="Courier New" w:hAnsi="Courier New"/>
                <w:sz w:val="15"/>
                <w:szCs w:val="15"/>
                <w:b w:val="1"/>
                <w:bCs w:val="1"/>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60" w:type="dxa"/>
            <w:vAlign w:val="bottom"/>
          </w:tcPr>
          <w:p>
            <w:pPr>
              <w:spacing w:after="0"/>
              <w:rPr>
                <w:sz w:val="24"/>
                <w:szCs w:val="24"/>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$ 182,700</w:t>
            </w:r>
          </w:p>
        </w:tc>
        <w:tc>
          <w:tcPr>
            <w:tcW w:w="582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$ 200,500</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4,800</w:t>
            </w:r>
          </w:p>
        </w:tc>
        <w:tc>
          <w:tcPr>
            <w:tcW w:w="582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11,800</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0.31</w:t>
            </w:r>
          </w:p>
        </w:tc>
        <w:tc>
          <w:tcPr>
            <w:tcW w:w="582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0.77</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0.31</w:t>
            </w:r>
          </w:p>
        </w:tc>
        <w:tc>
          <w:tcPr>
            <w:tcW w:w="582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0.76</w:t>
            </w:r>
          </w:p>
        </w:tc>
      </w:tr>
      <w:tr>
        <w:trPr>
          <w:trHeight w:val="355"/>
        </w:trPr>
        <w:tc>
          <w:tcPr>
            <w:tcW w:w="460" w:type="dxa"/>
            <w:vAlign w:val="bottom"/>
          </w:tcPr>
          <w:p>
            <w:pPr>
              <w:spacing w:after="0"/>
              <w:rPr>
                <w:sz w:val="24"/>
                <w:szCs w:val="24"/>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Effective July 4, 1999, the Company acquired substantially all of the</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assets and assumed certain liabilities of Earsley Capital Corporation, a</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Nevada corporation and successor to and formerly known as Industrial</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Molding Corporation ("IMC"). IMC, located in Lubbock, Texas, operates as</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 premier full-service designer and manufacturer of precision plastic</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injection molded components. The Company paid consideration of</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approximately $30,000, consisting of $27,500 in cash and 440 shares of</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its common stock, for the net assets acquired from IMC. The Company has</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accounted for the IMC acquisition using the purchase method of accounting</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and, accordingly, the results of operations of IMC have been included in</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Company's consolidated financial statements from July 4, 1999. The</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excess of the purchase price over the fair value of the net identifiable</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assets acquired of $13,200 has been recorded as goodwill, which is being</w:t>
            </w:r>
          </w:p>
        </w:tc>
      </w:tr>
      <w:tr>
        <w:trPr>
          <w:trHeight w:val="177"/>
        </w:trPr>
        <w:tc>
          <w:tcPr>
            <w:tcW w:w="460" w:type="dxa"/>
            <w:vAlign w:val="bottom"/>
          </w:tcPr>
          <w:p>
            <w:pPr>
              <w:spacing w:after="0"/>
              <w:rPr>
                <w:sz w:val="15"/>
                <w:szCs w:val="15"/>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amortized, on a straight-line basis over twenty years.</w:t>
            </w:r>
          </w:p>
        </w:tc>
        <w:tc>
          <w:tcPr>
            <w:tcW w:w="5820" w:type="dxa"/>
            <w:vAlign w:val="bottom"/>
          </w:tcPr>
          <w:p>
            <w:pPr>
              <w:spacing w:after="0"/>
              <w:rPr>
                <w:sz w:val="15"/>
                <w:szCs w:val="15"/>
                <w:color w:val="auto"/>
              </w:rPr>
            </w:pPr>
          </w:p>
        </w:tc>
      </w:tr>
      <w:tr>
        <w:trPr>
          <w:trHeight w:val="35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20" w:type="dxa"/>
            <w:vAlign w:val="bottom"/>
          </w:tcPr>
          <w:p>
            <w:pPr>
              <w:jc w:val="right"/>
              <w:ind w:right="4723"/>
              <w:spacing w:after="0"/>
              <w:rPr>
                <w:sz w:val="20"/>
                <w:szCs w:val="20"/>
                <w:color w:val="auto"/>
              </w:rPr>
            </w:pPr>
            <w:r>
              <w:rPr>
                <w:rFonts w:ascii="Courier New" w:cs="Courier New" w:eastAsia="Courier New" w:hAnsi="Courier New"/>
                <w:sz w:val="15"/>
                <w:szCs w:val="15"/>
                <w:color w:val="auto"/>
              </w:rPr>
              <w:t>(Continued)</w:t>
            </w:r>
          </w:p>
        </w:tc>
      </w:tr>
      <w:tr>
        <w:trPr>
          <w:trHeight w:val="35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00" w:type="dxa"/>
            <w:vAlign w:val="bottom"/>
          </w:tcPr>
          <w:p>
            <w:pPr>
              <w:jc w:val="center"/>
              <w:ind w:right="1483"/>
              <w:spacing w:after="0"/>
              <w:rPr>
                <w:sz w:val="20"/>
                <w:szCs w:val="20"/>
                <w:color w:val="auto"/>
              </w:rPr>
            </w:pPr>
            <w:r>
              <w:rPr>
                <w:rFonts w:ascii="Courier New" w:cs="Courier New" w:eastAsia="Courier New" w:hAnsi="Courier New"/>
                <w:sz w:val="15"/>
                <w:szCs w:val="15"/>
                <w:color w:val="auto"/>
                <w:w w:val="99"/>
              </w:rPr>
              <w:t>30</w:t>
            </w:r>
          </w:p>
        </w:tc>
        <w:tc>
          <w:tcPr>
            <w:tcW w:w="5820" w:type="dxa"/>
            <w:vAlign w:val="bottom"/>
          </w:tcPr>
          <w:p>
            <w:pPr>
              <w:spacing w:after="0"/>
              <w:rPr>
                <w:sz w:val="24"/>
                <w:szCs w:val="24"/>
                <w:color w:val="auto"/>
              </w:rPr>
            </w:pPr>
          </w:p>
        </w:tc>
      </w:tr>
      <w:tr>
        <w:trPr>
          <w:trHeight w:val="161"/>
        </w:trPr>
        <w:tc>
          <w:tcPr>
            <w:tcW w:w="460" w:type="dxa"/>
            <w:vAlign w:val="bottom"/>
            <w:tcBorders>
              <w:bottom w:val="single" w:sz="8" w:color="9A9A9A"/>
            </w:tcBorders>
          </w:tcPr>
          <w:p>
            <w:pPr>
              <w:spacing w:after="0"/>
              <w:rPr>
                <w:sz w:val="13"/>
                <w:szCs w:val="13"/>
                <w:color w:val="auto"/>
              </w:rPr>
            </w:pPr>
          </w:p>
        </w:tc>
        <w:tc>
          <w:tcPr>
            <w:tcW w:w="2860" w:type="dxa"/>
            <w:vAlign w:val="bottom"/>
            <w:tcBorders>
              <w:bottom w:val="single" w:sz="8" w:color="9A9A9A"/>
            </w:tcBorders>
          </w:tcPr>
          <w:p>
            <w:pPr>
              <w:spacing w:after="0"/>
              <w:rPr>
                <w:sz w:val="13"/>
                <w:szCs w:val="13"/>
                <w:color w:val="auto"/>
              </w:rPr>
            </w:pPr>
          </w:p>
        </w:tc>
        <w:tc>
          <w:tcPr>
            <w:tcW w:w="2300" w:type="dxa"/>
            <w:vAlign w:val="bottom"/>
            <w:tcBorders>
              <w:bottom w:val="single" w:sz="8" w:color="9A9A9A"/>
            </w:tcBorders>
          </w:tcPr>
          <w:p>
            <w:pPr>
              <w:spacing w:after="0"/>
              <w:rPr>
                <w:sz w:val="13"/>
                <w:szCs w:val="13"/>
                <w:color w:val="auto"/>
              </w:rPr>
            </w:pPr>
          </w:p>
        </w:tc>
        <w:tc>
          <w:tcPr>
            <w:tcW w:w="5820" w:type="dxa"/>
            <w:vAlign w:val="bottom"/>
            <w:tcBorders>
              <w:bottom w:val="single" w:sz="8" w:color="9A9A9A"/>
            </w:tcBorders>
          </w:tcPr>
          <w:p>
            <w:pPr>
              <w:spacing w:after="0"/>
              <w:rPr>
                <w:sz w:val="13"/>
                <w:szCs w:val="13"/>
                <w:color w:val="auto"/>
              </w:rPr>
            </w:pPr>
          </w:p>
        </w:tc>
      </w:tr>
      <w:tr>
        <w:trPr>
          <w:trHeight w:val="683"/>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00" w:type="dxa"/>
            <w:vAlign w:val="bottom"/>
          </w:tcPr>
          <w:p>
            <w:pPr>
              <w:jc w:val="center"/>
              <w:ind w:right="1483"/>
              <w:spacing w:after="0"/>
              <w:rPr>
                <w:sz w:val="20"/>
                <w:szCs w:val="20"/>
                <w:color w:val="auto"/>
              </w:rPr>
            </w:pPr>
            <w:r>
              <w:rPr>
                <w:rFonts w:ascii="Courier New" w:cs="Courier New" w:eastAsia="Courier New" w:hAnsi="Courier New"/>
                <w:sz w:val="15"/>
                <w:szCs w:val="15"/>
                <w:color w:val="auto"/>
              </w:rPr>
              <w:t>NN, Inc.</w:t>
            </w:r>
          </w:p>
        </w:tc>
        <w:tc>
          <w:tcPr>
            <w:tcW w:w="5820" w:type="dxa"/>
            <w:vAlign w:val="bottom"/>
          </w:tcPr>
          <w:p>
            <w:pPr>
              <w:spacing w:after="0"/>
              <w:rPr>
                <w:sz w:val="24"/>
                <w:szCs w:val="24"/>
                <w:color w:val="auto"/>
              </w:rPr>
            </w:pPr>
          </w:p>
        </w:tc>
      </w:tr>
      <w:tr>
        <w:trPr>
          <w:trHeight w:val="177"/>
        </w:trPr>
        <w:tc>
          <w:tcPr>
            <w:tcW w:w="460" w:type="dxa"/>
            <w:vAlign w:val="bottom"/>
          </w:tcPr>
          <w:p>
            <w:pPr>
              <w:spacing w:after="0"/>
              <w:rPr>
                <w:sz w:val="15"/>
                <w:szCs w:val="15"/>
                <w:color w:val="auto"/>
              </w:rPr>
            </w:pPr>
          </w:p>
        </w:tc>
        <w:tc>
          <w:tcPr>
            <w:tcW w:w="5160" w:type="dxa"/>
            <w:vAlign w:val="bottom"/>
            <w:gridSpan w:val="2"/>
          </w:tcPr>
          <w:p>
            <w:pPr>
              <w:jc w:val="center"/>
              <w:ind w:left="1203"/>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820" w:type="dxa"/>
            <w:vAlign w:val="bottom"/>
          </w:tcPr>
          <w:p>
            <w:pPr>
              <w:spacing w:after="0"/>
              <w:rPr>
                <w:sz w:val="15"/>
                <w:szCs w:val="15"/>
                <w:color w:val="auto"/>
              </w:rPr>
            </w:pPr>
          </w:p>
        </w:tc>
      </w:tr>
      <w:tr>
        <w:trPr>
          <w:trHeight w:val="177"/>
        </w:trPr>
        <w:tc>
          <w:tcPr>
            <w:tcW w:w="460" w:type="dxa"/>
            <w:vAlign w:val="bottom"/>
          </w:tcPr>
          <w:p>
            <w:pPr>
              <w:spacing w:after="0"/>
              <w:rPr>
                <w:sz w:val="15"/>
                <w:szCs w:val="15"/>
                <w:color w:val="auto"/>
              </w:rPr>
            </w:pPr>
          </w:p>
        </w:tc>
        <w:tc>
          <w:tcPr>
            <w:tcW w:w="5160" w:type="dxa"/>
            <w:vAlign w:val="bottom"/>
            <w:gridSpan w:val="2"/>
          </w:tcPr>
          <w:p>
            <w:pPr>
              <w:jc w:val="center"/>
              <w:ind w:left="1203"/>
              <w:spacing w:after="0"/>
              <w:rPr>
                <w:sz w:val="20"/>
                <w:szCs w:val="20"/>
                <w:color w:val="auto"/>
              </w:rPr>
            </w:pPr>
            <w:r>
              <w:rPr>
                <w:rFonts w:ascii="Courier New" w:cs="Courier New" w:eastAsia="Courier New" w:hAnsi="Courier New"/>
                <w:sz w:val="15"/>
                <w:szCs w:val="15"/>
                <w:color w:val="auto"/>
              </w:rPr>
              <w:t>December 31, 2001, 2000 and 1999</w:t>
            </w:r>
          </w:p>
        </w:tc>
        <w:tc>
          <w:tcPr>
            <w:tcW w:w="5820" w:type="dxa"/>
            <w:vAlign w:val="bottom"/>
          </w:tcPr>
          <w:p>
            <w:pPr>
              <w:spacing w:after="0"/>
              <w:rPr>
                <w:sz w:val="15"/>
                <w:szCs w:val="15"/>
                <w:color w:val="auto"/>
              </w:rPr>
            </w:pPr>
          </w:p>
        </w:tc>
      </w:tr>
      <w:tr>
        <w:trPr>
          <w:trHeight w:val="177"/>
        </w:trPr>
        <w:tc>
          <w:tcPr>
            <w:tcW w:w="460" w:type="dxa"/>
            <w:vAlign w:val="bottom"/>
          </w:tcPr>
          <w:p>
            <w:pPr>
              <w:spacing w:after="0"/>
              <w:rPr>
                <w:sz w:val="15"/>
                <w:szCs w:val="15"/>
                <w:color w:val="auto"/>
              </w:rPr>
            </w:pPr>
          </w:p>
        </w:tc>
        <w:tc>
          <w:tcPr>
            <w:tcW w:w="5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(In thousands, except per share data)</w:t>
            </w:r>
          </w:p>
        </w:tc>
        <w:tc>
          <w:tcPr>
            <w:tcW w:w="5820" w:type="dxa"/>
            <w:vAlign w:val="bottom"/>
          </w:tcPr>
          <w:p>
            <w:pPr>
              <w:spacing w:after="0"/>
              <w:rPr>
                <w:sz w:val="15"/>
                <w:szCs w:val="15"/>
                <w:color w:val="auto"/>
              </w:rPr>
            </w:pPr>
          </w:p>
        </w:tc>
      </w:tr>
      <w:tr>
        <w:trPr>
          <w:trHeight w:val="532"/>
        </w:trPr>
        <w:tc>
          <w:tcPr>
            <w:tcW w:w="460" w:type="dxa"/>
            <w:vAlign w:val="bottom"/>
          </w:tcPr>
          <w:p>
            <w:pPr>
              <w:spacing w:after="0"/>
              <w:rPr>
                <w:sz w:val="24"/>
                <w:szCs w:val="24"/>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following unaudited pro forma summary presents the financial</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information as if the Company's acquisition of IMC had occurred on</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January 1, 1999. This unaudited pro forma summary does not include</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Euroball or Delta. These proforma results have been prepared for</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comparative purposes and do not purport to be indicative of what would</w:t>
            </w:r>
          </w:p>
        </w:tc>
      </w:tr>
      <w:tr>
        <w:trPr>
          <w:trHeight w:val="177"/>
        </w:trPr>
        <w:tc>
          <w:tcPr>
            <w:tcW w:w="460" w:type="dxa"/>
            <w:vAlign w:val="bottom"/>
          </w:tcPr>
          <w:p>
            <w:pPr>
              <w:spacing w:after="0"/>
              <w:rPr>
                <w:sz w:val="15"/>
                <w:szCs w:val="15"/>
                <w:color w:val="auto"/>
              </w:rPr>
            </w:pPr>
          </w:p>
        </w:tc>
        <w:tc>
          <w:tcPr>
            <w:tcW w:w="10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have occurred had the acquisition been made on January 1, 1999, nor is it</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indicative of future results.</w:t>
            </w:r>
          </w:p>
        </w:tc>
        <w:tc>
          <w:tcPr>
            <w:tcW w:w="2300" w:type="dxa"/>
            <w:vAlign w:val="bottom"/>
          </w:tcPr>
          <w:p>
            <w:pPr>
              <w:spacing w:after="0"/>
              <w:rPr>
                <w:sz w:val="15"/>
                <w:szCs w:val="15"/>
                <w:color w:val="auto"/>
              </w:rPr>
            </w:pPr>
          </w:p>
        </w:tc>
        <w:tc>
          <w:tcPr>
            <w:tcW w:w="5820" w:type="dxa"/>
            <w:vAlign w:val="bottom"/>
          </w:tcPr>
          <w:p>
            <w:pPr>
              <w:spacing w:after="0"/>
              <w:rPr>
                <w:sz w:val="15"/>
                <w:szCs w:val="15"/>
                <w:color w:val="auto"/>
              </w:rPr>
            </w:pPr>
          </w:p>
        </w:tc>
      </w:tr>
      <w:tr>
        <w:trPr>
          <w:trHeight w:val="35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120" w:type="dxa"/>
            <w:vAlign w:val="bottom"/>
            <w:gridSpan w:val="2"/>
          </w:tcPr>
          <w:p>
            <w:pPr>
              <w:jc w:val="right"/>
              <w:ind w:right="4823"/>
              <w:spacing w:after="0"/>
              <w:rPr>
                <w:sz w:val="20"/>
                <w:szCs w:val="20"/>
                <w:color w:val="auto"/>
              </w:rPr>
            </w:pPr>
            <w:r>
              <w:rPr>
                <w:rFonts w:ascii="Courier New" w:cs="Courier New" w:eastAsia="Courier New" w:hAnsi="Courier New"/>
                <w:sz w:val="15"/>
                <w:szCs w:val="15"/>
                <w:b w:val="1"/>
                <w:bCs w:val="1"/>
                <w:color w:val="auto"/>
              </w:rPr>
              <w:t>(Unaudited)</w:t>
            </w:r>
          </w:p>
        </w:tc>
      </w:tr>
      <w:tr>
        <w:trPr>
          <w:trHeight w:val="177"/>
        </w:trPr>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120" w:type="dxa"/>
            <w:vAlign w:val="bottom"/>
            <w:gridSpan w:val="2"/>
          </w:tcPr>
          <w:p>
            <w:pPr>
              <w:jc w:val="right"/>
              <w:ind w:right="4543"/>
              <w:spacing w:after="0"/>
              <w:rPr>
                <w:sz w:val="20"/>
                <w:szCs w:val="20"/>
                <w:color w:val="auto"/>
              </w:rPr>
            </w:pPr>
            <w:r>
              <w:rPr>
                <w:rFonts w:ascii="Courier New" w:cs="Courier New" w:eastAsia="Courier New" w:hAnsi="Courier New"/>
                <w:sz w:val="15"/>
                <w:szCs w:val="15"/>
                <w:b w:val="1"/>
                <w:bCs w:val="1"/>
                <w:color w:val="auto"/>
              </w:rPr>
              <w:t>December 31, 1999</w:t>
            </w:r>
          </w:p>
        </w:tc>
      </w:tr>
      <w:tr>
        <w:trPr>
          <w:trHeight w:val="177"/>
        </w:trPr>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120" w:type="dxa"/>
            <w:vAlign w:val="bottom"/>
            <w:gridSpan w:val="2"/>
          </w:tcPr>
          <w:p>
            <w:pPr>
              <w:jc w:val="right"/>
              <w:ind w:right="426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60" w:type="dxa"/>
            <w:vAlign w:val="bottom"/>
          </w:tcPr>
          <w:p>
            <w:pPr>
              <w:spacing w:after="0"/>
              <w:rPr>
                <w:sz w:val="24"/>
                <w:szCs w:val="24"/>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2300" w:type="dxa"/>
            <w:vAlign w:val="bottom"/>
          </w:tcPr>
          <w:p>
            <w:pPr>
              <w:spacing w:after="0"/>
              <w:rPr>
                <w:sz w:val="24"/>
                <w:szCs w:val="24"/>
                <w:color w:val="auto"/>
              </w:rPr>
            </w:pPr>
          </w:p>
        </w:tc>
        <w:tc>
          <w:tcPr>
            <w:tcW w:w="582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$ 101,562</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tcPr>
          <w:p>
            <w:pPr>
              <w:spacing w:after="0"/>
              <w:rPr>
                <w:sz w:val="15"/>
                <w:szCs w:val="15"/>
                <w:color w:val="auto"/>
              </w:rPr>
            </w:pPr>
          </w:p>
        </w:tc>
        <w:tc>
          <w:tcPr>
            <w:tcW w:w="582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7,558</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2300" w:type="dxa"/>
            <w:vAlign w:val="bottom"/>
          </w:tcPr>
          <w:p>
            <w:pPr>
              <w:spacing w:after="0"/>
              <w:rPr>
                <w:sz w:val="15"/>
                <w:szCs w:val="15"/>
                <w:color w:val="auto"/>
              </w:rPr>
            </w:pPr>
          </w:p>
        </w:tc>
        <w:tc>
          <w:tcPr>
            <w:tcW w:w="582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0.50</w:t>
            </w:r>
          </w:p>
        </w:tc>
      </w:tr>
      <w:tr>
        <w:trPr>
          <w:trHeight w:val="177"/>
        </w:trPr>
        <w:tc>
          <w:tcPr>
            <w:tcW w:w="460" w:type="dxa"/>
            <w:vAlign w:val="bottom"/>
          </w:tcPr>
          <w:p>
            <w:pPr>
              <w:spacing w:after="0"/>
              <w:rPr>
                <w:sz w:val="15"/>
                <w:szCs w:val="15"/>
                <w:color w:val="auto"/>
              </w:rPr>
            </w:pP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Dilutive earnings per share</w:t>
            </w:r>
          </w:p>
        </w:tc>
        <w:tc>
          <w:tcPr>
            <w:tcW w:w="2300" w:type="dxa"/>
            <w:vAlign w:val="bottom"/>
          </w:tcPr>
          <w:p>
            <w:pPr>
              <w:spacing w:after="0"/>
              <w:rPr>
                <w:sz w:val="15"/>
                <w:szCs w:val="15"/>
                <w:color w:val="auto"/>
              </w:rPr>
            </w:pPr>
          </w:p>
        </w:tc>
        <w:tc>
          <w:tcPr>
            <w:tcW w:w="582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0.50</w:t>
            </w:r>
          </w:p>
        </w:tc>
      </w:tr>
      <w:tr>
        <w:trPr>
          <w:trHeight w:val="355"/>
        </w:trPr>
        <w:tc>
          <w:tcPr>
            <w:tcW w:w="46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w w:val="96"/>
              </w:rPr>
              <w:t>(3)</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b w:val="1"/>
                <w:bCs w:val="1"/>
                <w:color w:val="auto"/>
              </w:rPr>
              <w:t>Restructuring and Impairment Charges</w:t>
            </w:r>
          </w:p>
        </w:tc>
        <w:tc>
          <w:tcPr>
            <w:tcW w:w="5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-3051810</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-3051810</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142" w:right="219" w:bottom="0" w:gutter="0" w:footer="0" w:header="0"/>
        </w:sectPr>
      </w:pPr>
    </w:p>
    <w:bookmarkStart w:id="26" w:name="page27"/>
    <w:bookmarkEnd w:id="26"/>
    <w:p>
      <w:pPr>
        <w:ind w:left="645" w:right="3119"/>
        <w:spacing w:after="0" w:line="251" w:lineRule="auto"/>
        <w:rPr>
          <w:sz w:val="20"/>
          <w:szCs w:val="20"/>
          <w:color w:val="auto"/>
        </w:rPr>
      </w:pPr>
      <w:r>
        <w:rPr>
          <w:rFonts w:ascii="Courier New" w:cs="Courier New" w:eastAsia="Courier New" w:hAnsi="Courier New"/>
          <w:sz w:val="15"/>
          <w:szCs w:val="15"/>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10). The closure was substantially completed by December 31, 2001.</w:t>
      </w:r>
    </w:p>
    <w:p>
      <w:pPr>
        <w:spacing w:after="0" w:line="176" w:lineRule="exact"/>
        <w:rPr>
          <w:sz w:val="20"/>
          <w:szCs w:val="20"/>
          <w:color w:val="auto"/>
        </w:rPr>
      </w:pPr>
    </w:p>
    <w:p>
      <w:pPr>
        <w:ind w:left="645" w:right="3119"/>
        <w:spacing w:after="0" w:line="250" w:lineRule="auto"/>
        <w:rPr>
          <w:sz w:val="20"/>
          <w:szCs w:val="20"/>
          <w:color w:val="auto"/>
        </w:rPr>
      </w:pPr>
      <w:r>
        <w:rPr>
          <w:rFonts w:ascii="Courier New" w:cs="Courier New" w:eastAsia="Courier New" w:hAnsi="Courier New"/>
          <w:sz w:val="15"/>
          <w:szCs w:val="15"/>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$750 during the year ended December 31, 2001 for the severance payments. Additionally, prior to December 31, 2001, the Company decided to sell the Walterboro land, building and certain machinery. The Company incurred an impairment charge of $1,083 during 2001 to write-down the land and building at the Walterboro facility to its net realizable value of $1,697, which was based upon fair market value appraisals. The remaining equipment with a historical net book value of $2,656 is also held for sale. The amounts the Company will ultimately realize upon disposition of these assets could differ materially from the amounts assumed in arriving at the 2001 impairment loss. The Company anticipates selling the land, building and machinery during 2002. Approximately $290 of the severance payments were paid in 2001 and the remaining is expected to be paid in 2002.</w:t>
      </w:r>
    </w:p>
    <w:p>
      <w:pPr>
        <w:spacing w:after="0" w:line="186" w:lineRule="exact"/>
        <w:rPr>
          <w:sz w:val="20"/>
          <w:szCs w:val="20"/>
          <w:color w:val="auto"/>
        </w:rPr>
      </w:pPr>
    </w:p>
    <w:p>
      <w:pPr>
        <w:ind w:left="645" w:right="2839"/>
        <w:spacing w:after="0" w:line="251" w:lineRule="auto"/>
        <w:rPr>
          <w:sz w:val="20"/>
          <w:szCs w:val="20"/>
          <w:color w:val="auto"/>
        </w:rPr>
      </w:pPr>
      <w:r>
        <w:rPr>
          <w:rFonts w:ascii="Courier New" w:cs="Courier New" w:eastAsia="Courier New" w:hAnsi="Courier New"/>
          <w:sz w:val="15"/>
          <w:szCs w:val="15"/>
          <w:color w:val="auto"/>
        </w:rPr>
        <w:t>Accrued restructuring costs of $460 are included in other current liabilities as of December 31, 2001. The Company has charged expenses for moving machinery, equipment and inventory to other production facilities and other costs to close the facility, which will benefit future operations in the period they are incurred.</w:t>
      </w:r>
    </w:p>
    <w:p>
      <w:pPr>
        <w:spacing w:after="0" w:line="176" w:lineRule="exact"/>
        <w:rPr>
          <w:sz w:val="20"/>
          <w:szCs w:val="20"/>
          <w:color w:val="auto"/>
        </w:rPr>
      </w:pPr>
    </w:p>
    <w:p>
      <w:pPr>
        <w:ind w:left="645" w:right="2939"/>
        <w:spacing w:after="0" w:line="251" w:lineRule="auto"/>
        <w:rPr>
          <w:sz w:val="20"/>
          <w:szCs w:val="20"/>
          <w:color w:val="auto"/>
        </w:rPr>
      </w:pPr>
      <w:r>
        <w:rPr>
          <w:rFonts w:ascii="Courier New" w:cs="Courier New" w:eastAsia="Courier New" w:hAnsi="Courier New"/>
          <w:sz w:val="15"/>
          <w:szCs w:val="15"/>
          <w:color w:val="auto"/>
        </w:rPr>
        <w:t>In addition to this restructuring charge, the Company's Euroball subsidiary incurred restructuring charges of $479 for severance payments as a result of the termination of 15 hourly employees and 3 salaried employees at its Italy production facility. Approximately $426 of the severance payments were paid during 2001 and remaining accrued restructuring costs of $53 are included in other current liabilities as of December 31, 2001.</w:t>
      </w:r>
    </w:p>
    <w:p>
      <w:pPr>
        <w:spacing w:after="0" w:line="176"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The following summarizes the 2001 restructurings: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Reserve</w:t>
            </w:r>
          </w:p>
        </w:tc>
      </w:tr>
      <w:tr>
        <w:trPr>
          <w:trHeight w:val="177"/>
        </w:trPr>
        <w:tc>
          <w:tcPr>
            <w:tcW w:w="3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Non-Cash</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Paid in</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Balance</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Charges</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Writedowns</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at 12/31/01</w:t>
            </w:r>
          </w:p>
        </w:tc>
      </w:tr>
      <w:tr>
        <w:trPr>
          <w:trHeight w:val="177"/>
        </w:trPr>
        <w:tc>
          <w:tcPr>
            <w:tcW w:w="3320" w:type="dxa"/>
            <w:vAlign w:val="bottom"/>
          </w:tcPr>
          <w:p>
            <w:pPr>
              <w:spacing w:after="0"/>
              <w:rPr>
                <w:sz w:val="15"/>
                <w:szCs w:val="15"/>
                <w:color w:val="auto"/>
              </w:rPr>
            </w:pPr>
          </w:p>
        </w:tc>
        <w:tc>
          <w:tcPr>
            <w:tcW w:w="20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w:t>
            </w:r>
          </w:p>
        </w:tc>
        <w:tc>
          <w:tcPr>
            <w:tcW w:w="1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$1,083</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$1,083</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Severance and other employee costs</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1,229</w:t>
            </w:r>
          </w:p>
        </w:tc>
        <w:tc>
          <w:tcPr>
            <w:tcW w:w="110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560"/>
              <w:spacing w:after="0"/>
              <w:rPr>
                <w:sz w:val="20"/>
                <w:szCs w:val="20"/>
                <w:color w:val="auto"/>
              </w:rPr>
            </w:pPr>
            <w:r>
              <w:rPr>
                <w:rFonts w:ascii="Courier New" w:cs="Courier New" w:eastAsia="Courier New" w:hAnsi="Courier New"/>
                <w:sz w:val="15"/>
                <w:szCs w:val="15"/>
                <w:color w:val="auto"/>
              </w:rPr>
              <w:t>716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513</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$1,083</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  716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513</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hanging="553"/>
        <w:spacing w:after="0"/>
        <w:tabs>
          <w:tab w:leader="none" w:pos="645" w:val="left"/>
        </w:tabs>
        <w:numPr>
          <w:ilvl w:val="1"/>
          <w:numId w:val="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Investments in Affiliated Companies</w:t>
      </w:r>
    </w:p>
    <w:p>
      <w:pPr>
        <w:spacing w:after="0" w:line="184" w:lineRule="exact"/>
        <w:rPr>
          <w:rFonts w:ascii="Courier New" w:cs="Courier New" w:eastAsia="Courier New" w:hAnsi="Courier New"/>
          <w:sz w:val="15"/>
          <w:szCs w:val="15"/>
          <w:b w:val="1"/>
          <w:bCs w:val="1"/>
          <w:color w:val="auto"/>
        </w:rPr>
      </w:pPr>
    </w:p>
    <w:p>
      <w:pPr>
        <w:ind w:left="645" w:right="265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Investments in affiliated companies at December 31, 2000 consist of 50% of the member interest of NN General, LLC. 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w:t>
      </w:r>
    </w:p>
    <w:p>
      <w:pPr>
        <w:spacing w:after="0" w:line="4" w:lineRule="exact"/>
        <w:rPr>
          <w:rFonts w:ascii="Courier New" w:cs="Courier New" w:eastAsia="Courier New" w:hAnsi="Courier New"/>
          <w:sz w:val="15"/>
          <w:szCs w:val="15"/>
          <w:b w:val="1"/>
          <w:bCs w:val="1"/>
          <w:color w:val="auto"/>
        </w:rPr>
      </w:pPr>
    </w:p>
    <w:p>
      <w:pPr>
        <w:ind w:left="645" w:right="265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2020. Accrued interest income on this note is $159 at December 31, 2000 and is included in other current assets in the accompanying consolidated balance sheet.</w:t>
      </w:r>
    </w:p>
    <w:p>
      <w:pPr>
        <w:spacing w:after="0" w:line="174" w:lineRule="exact"/>
        <w:rPr>
          <w:rFonts w:ascii="Courier New" w:cs="Courier New" w:eastAsia="Courier New" w:hAnsi="Courier New"/>
          <w:sz w:val="15"/>
          <w:szCs w:val="15"/>
          <w:b w:val="1"/>
          <w:bCs w:val="1"/>
          <w:color w:val="auto"/>
        </w:rPr>
      </w:pPr>
    </w:p>
    <w:p>
      <w:pPr>
        <w:ind w:left="645" w:right="32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LIBOR (1.88% at December 31, 2001) plus 1.5%. In 2001, the Company recorded a non-cash loss on the sale of its investment in this joint venture of $144.</w:t>
      </w:r>
    </w:p>
    <w:p>
      <w:pPr>
        <w:spacing w:after="0" w:line="352" w:lineRule="exact"/>
        <w:rPr>
          <w:rFonts w:ascii="Courier New" w:cs="Courier New" w:eastAsia="Courier New" w:hAnsi="Courier New"/>
          <w:sz w:val="15"/>
          <w:szCs w:val="15"/>
          <w:b w:val="1"/>
          <w:bCs w:val="1"/>
          <w:color w:val="auto"/>
        </w:rPr>
      </w:pPr>
    </w:p>
    <w:p>
      <w:pPr>
        <w:ind w:left="645" w:hanging="645"/>
        <w:spacing w:after="0"/>
        <w:tabs>
          <w:tab w:leader="none" w:pos="645" w:val="left"/>
        </w:tabs>
        <w:numPr>
          <w:ilvl w:val="0"/>
          <w:numId w:val="1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Accounts Receivable</w:t>
      </w:r>
    </w:p>
    <w:p>
      <w:pPr>
        <w:sectPr>
          <w:pgSz w:w="11900" w:h="16838" w:orient="portrait"/>
          <w:cols w:equalWidth="0" w:num="1">
            <w:col w:w="10225"/>
          </w:cols>
          <w:pgMar w:left="235" w:top="142" w:right="1440"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w:t>
            </w:r>
          </w:p>
        </w:tc>
      </w:tr>
      <w:tr>
        <w:trPr>
          <w:trHeight w:val="177"/>
        </w:trPr>
        <w:tc>
          <w:tcPr>
            <w:tcW w:w="3740" w:type="dxa"/>
            <w:vAlign w:val="bottom"/>
          </w:tcPr>
          <w:p>
            <w:pPr>
              <w:spacing w:after="0"/>
              <w:rPr>
                <w:sz w:val="15"/>
                <w:szCs w:val="15"/>
                <w:color w:val="auto"/>
              </w:rPr>
            </w:pP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374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$26,613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$29,028</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1,297</w:t>
            </w:r>
          </w:p>
        </w:tc>
      </w:tr>
      <w:tr>
        <w:trPr>
          <w:trHeight w:val="177"/>
        </w:trPr>
        <w:tc>
          <w:tcPr>
            <w:tcW w:w="374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4"/>
                <w:szCs w:val="24"/>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26,623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30,325</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Less - Allowance for doubtful accounts</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7"/>
        </w:trPr>
        <w:tc>
          <w:tcPr>
            <w:tcW w:w="374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4"/>
                <w:szCs w:val="24"/>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$24,832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374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Allowance for doubtful accounts is as follows:</w:t>
      </w:r>
    </w:p>
    <w:p>
      <w:pPr>
        <w:sectPr>
          <w:pgSz w:w="11900" w:h="16838" w:orient="portrait"/>
          <w:cols w:equalWidth="0" w:num="1">
            <w:col w:w="10219"/>
          </w:cols>
          <w:pgMar w:left="240" w:top="142" w:right="1440" w:bottom="0" w:gutter="0" w:footer="0" w:header="0"/>
        </w:sectPr>
      </w:pP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Description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firstLine="92"/>
        <w:spacing w:after="0" w:line="252" w:lineRule="auto"/>
        <w:rPr>
          <w:sz w:val="20"/>
          <w:szCs w:val="20"/>
          <w:color w:val="auto"/>
        </w:rPr>
      </w:pPr>
      <w:r>
        <w:rPr>
          <w:rFonts w:ascii="Courier New" w:cs="Courier New" w:eastAsia="Courier New" w:hAnsi="Courier New"/>
          <w:sz w:val="15"/>
          <w:szCs w:val="15"/>
          <w:b w:val="1"/>
          <w:bCs w:val="1"/>
          <w:color w:val="auto"/>
        </w:rPr>
        <w:t>Balance at beginning of year ------------------</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b w:val="1"/>
          <w:bCs w:val="1"/>
          <w:color w:val="auto"/>
        </w:rPr>
        <w:t>Additions ---------</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spacing w:after="0" w:line="253" w:lineRule="auto"/>
        <w:rPr>
          <w:sz w:val="20"/>
          <w:szCs w:val="20"/>
          <w:color w:val="auto"/>
        </w:rPr>
      </w:pPr>
      <w:r>
        <w:rPr>
          <w:rFonts w:ascii="Courier New" w:cs="Courier New" w:eastAsia="Courier New" w:hAnsi="Courier New"/>
          <w:sz w:val="15"/>
          <w:szCs w:val="15"/>
          <w:b w:val="1"/>
          <w:bCs w:val="1"/>
          <w:color w:val="auto"/>
        </w:rPr>
        <w:t>Write-offs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Balance at end</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b w:val="1"/>
          <w:bCs w:val="1"/>
          <w:color w:val="auto"/>
        </w:rPr>
        <w:t>of year</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b w:val="1"/>
          <w:bCs w:val="1"/>
          <w:color w:val="auto"/>
        </w:rPr>
        <w:t>--------------</w:t>
      </w:r>
    </w:p>
    <w:p>
      <w:pPr>
        <w:spacing w:after="0" w:line="184" w:lineRule="exact"/>
        <w:rPr>
          <w:sz w:val="20"/>
          <w:szCs w:val="20"/>
          <w:color w:val="auto"/>
        </w:rPr>
      </w:pPr>
    </w:p>
    <w:p>
      <w:pPr>
        <w:sectPr>
          <w:pgSz w:w="11900" w:h="16838" w:orient="portrait"/>
          <w:cols w:equalWidth="0" w:num="5">
            <w:col w:w="1480" w:space="540"/>
            <w:col w:w="1660" w:space="180"/>
            <w:col w:w="840" w:space="360"/>
            <w:col w:w="940" w:space="80"/>
            <w:col w:w="41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586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320</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906</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906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776</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776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line="162"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2839"/>
        <w:spacing w:after="0" w:line="251" w:lineRule="auto"/>
        <w:rPr>
          <w:sz w:val="20"/>
          <w:szCs w:val="20"/>
          <w:color w:val="auto"/>
        </w:rPr>
      </w:pPr>
      <w:r>
        <w:rPr>
          <w:rFonts w:ascii="Courier New" w:cs="Courier New" w:eastAsia="Courier New" w:hAnsi="Courier New"/>
          <w:sz w:val="15"/>
          <w:szCs w:val="15"/>
          <w:color w:val="auto"/>
        </w:rPr>
        <w:t>On November 6, 2001, a customer of IMC filed for voluntary Chapter 7 bankruptcy. As of December 31, 2001, the Company had a trade accounts receivable balance of approximately $829 with this customer. For the year ended December 31, 2001, the Company recorded sales of approximately $1,900 to this customer. As of December 31, 2001, the Company has increased its allowance for doubtful accounts by approximately $829 as a result of this bankruptcy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Courier New" w:cs="Courier New" w:eastAsia="Courier New" w:hAnsi="Courier New"/>
                <w:sz w:val="15"/>
                <w:szCs w:val="15"/>
                <w:b w:val="1"/>
                <w:bCs w:val="1"/>
                <w:color w:val="auto"/>
              </w:rPr>
              <w:t>(6)</w:t>
            </w:r>
          </w:p>
        </w:tc>
        <w:tc>
          <w:tcPr>
            <w:tcW w:w="234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Inventories</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55"/>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b w:val="1"/>
                <w:bCs w:val="1"/>
                <w:color w:val="auto"/>
              </w:rPr>
              <w:t>December 31,</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232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b w:val="1"/>
                <w:bCs w:val="1"/>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5,494</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4,431</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Work in process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5,016</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5,265</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Finished goods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13,065</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14,106</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Less-inventory reserve</w:t>
            </w:r>
          </w:p>
        </w:tc>
        <w:tc>
          <w:tcPr>
            <w:tcW w:w="18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$ 23,418</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$ 23,742</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2939" w:firstLine="646"/>
        <w:spacing w:after="0" w:line="253" w:lineRule="auto"/>
        <w:rPr>
          <w:sz w:val="20"/>
          <w:szCs w:val="20"/>
          <w:color w:val="auto"/>
        </w:rPr>
      </w:pPr>
      <w:r>
        <w:rPr>
          <w:rFonts w:ascii="Courier New" w:cs="Courier New" w:eastAsia="Courier New" w:hAnsi="Courier New"/>
          <w:sz w:val="15"/>
          <w:szCs w:val="15"/>
          <w:color w:val="auto"/>
        </w:rPr>
        <w:t>Inventory on consignment at December 31, 2001 and 2000 was approximately $ 2,908 and $4,083,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w w:val="96"/>
              </w:rPr>
              <w:t>(7)</w:t>
            </w:r>
          </w:p>
        </w:tc>
        <w:tc>
          <w:tcPr>
            <w:tcW w:w="32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Property, Plant and Equipment</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5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5"/>
                <w:szCs w:val="15"/>
                <w:b w:val="1"/>
                <w:bCs w:val="1"/>
                <w:color w:val="auto"/>
              </w:rPr>
              <w:t>Estimated</w:t>
            </w:r>
          </w:p>
        </w:tc>
        <w:tc>
          <w:tcPr>
            <w:tcW w:w="2220" w:type="dxa"/>
            <w:vAlign w:val="bottom"/>
            <w:gridSpan w:val="2"/>
          </w:tcPr>
          <w:p>
            <w:pPr>
              <w:ind w:left="880"/>
              <w:spacing w:after="0"/>
              <w:rPr>
                <w:sz w:val="20"/>
                <w:szCs w:val="20"/>
                <w:color w:val="auto"/>
              </w:rPr>
            </w:pPr>
            <w:r>
              <w:rPr>
                <w:rFonts w:ascii="Courier New" w:cs="Courier New" w:eastAsia="Courier New" w:hAnsi="Courier New"/>
                <w:sz w:val="15"/>
                <w:szCs w:val="15"/>
                <w:b w:val="1"/>
                <w:bCs w:val="1"/>
                <w:color w:val="auto"/>
              </w:rPr>
              <w:t>December 31,</w:t>
            </w:r>
          </w:p>
        </w:tc>
        <w:tc>
          <w:tcPr>
            <w:tcW w:w="780" w:type="dxa"/>
            <w:vAlign w:val="bottom"/>
          </w:tcPr>
          <w:p>
            <w:pPr>
              <w:spacing w:after="0"/>
              <w:rPr>
                <w:sz w:val="24"/>
                <w:szCs w:val="24"/>
                <w:color w:val="auto"/>
              </w:rPr>
            </w:pP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5"/>
                <w:szCs w:val="15"/>
                <w:b w:val="1"/>
                <w:bCs w:val="1"/>
                <w:color w:val="auto"/>
              </w:rPr>
              <w:t>Useful Life</w:t>
            </w:r>
          </w:p>
        </w:tc>
        <w:tc>
          <w:tcPr>
            <w:tcW w:w="1660" w:type="dxa"/>
            <w:vAlign w:val="bottom"/>
          </w:tcPr>
          <w:p>
            <w:pPr>
              <w:jc w:val="right"/>
              <w:ind w:right="603"/>
              <w:spacing w:after="0"/>
              <w:rPr>
                <w:sz w:val="20"/>
                <w:szCs w:val="20"/>
                <w:color w:val="auto"/>
              </w:rPr>
            </w:pPr>
            <w:r>
              <w:rPr>
                <w:rFonts w:ascii="Courier New" w:cs="Courier New" w:eastAsia="Courier New" w:hAnsi="Courier New"/>
                <w:sz w:val="15"/>
                <w:szCs w:val="15"/>
                <w:b w:val="1"/>
                <w:bCs w:val="1"/>
                <w:color w:val="auto"/>
              </w:rPr>
              <w:t>2001</w:t>
            </w:r>
          </w:p>
        </w:tc>
        <w:tc>
          <w:tcPr>
            <w:tcW w:w="1340" w:type="dxa"/>
            <w:vAlign w:val="bottom"/>
            <w:gridSpan w:val="2"/>
          </w:tcPr>
          <w:p>
            <w:pPr>
              <w:ind w:left="420"/>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ind w:left="220"/>
              <w:spacing w:after="0"/>
              <w:rPr>
                <w:sz w:val="20"/>
                <w:szCs w:val="20"/>
                <w:color w:val="auto"/>
              </w:rPr>
            </w:pPr>
            <w:r>
              <w:rPr>
                <w:rFonts w:ascii="Courier New" w:cs="Courier New" w:eastAsia="Courier New" w:hAnsi="Courier New"/>
                <w:sz w:val="15"/>
                <w:szCs w:val="15"/>
                <w:b w:val="1"/>
                <w:bCs w:val="1"/>
                <w:color w:val="auto"/>
              </w:rPr>
              <w:t>------------------</w:t>
            </w: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gridSpan w:val="2"/>
          </w:tcPr>
          <w:p>
            <w:pPr>
              <w:jc w:val="right"/>
              <w:ind w:right="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00" w:type="dxa"/>
            <w:vAlign w:val="bottom"/>
          </w:tcPr>
          <w:p>
            <w:pPr>
              <w:spacing w:after="0"/>
              <w:rPr>
                <w:sz w:val="24"/>
                <w:szCs w:val="24"/>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Land</w:t>
            </w:r>
          </w:p>
        </w:tc>
        <w:tc>
          <w:tcPr>
            <w:tcW w:w="2020" w:type="dxa"/>
            <w:vAlign w:val="bottom"/>
          </w:tcPr>
          <w:p>
            <w:pPr>
              <w:spacing w:after="0"/>
              <w:rPr>
                <w:sz w:val="24"/>
                <w:szCs w:val="24"/>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1,830</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2,202</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Buildings and improvements</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10-25 years</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20,286</w:t>
            </w:r>
          </w:p>
        </w:tc>
        <w:tc>
          <w:tcPr>
            <w:tcW w:w="5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26,463</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Machinery and equipment</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3-10 years</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103,363</w:t>
            </w:r>
          </w:p>
        </w:tc>
        <w:tc>
          <w:tcPr>
            <w:tcW w:w="5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92,810</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Construction in process</w:t>
            </w:r>
          </w:p>
        </w:tc>
        <w:tc>
          <w:tcPr>
            <w:tcW w:w="202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1,577</w:t>
            </w:r>
          </w:p>
        </w:tc>
        <w:tc>
          <w:tcPr>
            <w:tcW w:w="5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6,138</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127,056</w:t>
            </w:r>
          </w:p>
        </w:tc>
        <w:tc>
          <w:tcPr>
            <w:tcW w:w="5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127,613</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Less - accumulated depreciation</w:t>
            </w:r>
          </w:p>
        </w:tc>
        <w:tc>
          <w:tcPr>
            <w:tcW w:w="202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44,286</w:t>
            </w:r>
          </w:p>
        </w:tc>
        <w:tc>
          <w:tcPr>
            <w:tcW w:w="5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35,920</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$ 82,770</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91,693</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2" w:right="1440" w:bottom="0" w:gutter="0" w:footer="0" w:header="0"/>
          <w:type w:val="continuous"/>
        </w:sectPr>
      </w:pPr>
    </w:p>
    <w:bookmarkStart w:id="28" w:name="page29"/>
    <w:bookmarkEnd w:id="28"/>
    <w:p>
      <w:pPr>
        <w:ind w:left="645" w:right="2839"/>
        <w:spacing w:after="0" w:line="251"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As a result of that closing land and building with a carrying value of $1,692 and certain machinery and equipment with a carrying value of $2,656 are held for sale as of December 31, 2001.</w:t>
      </w:r>
    </w:p>
    <w:p>
      <w:pPr>
        <w:spacing w:after="0" w:line="176" w:lineRule="exact"/>
        <w:rPr>
          <w:sz w:val="20"/>
          <w:szCs w:val="20"/>
          <w:color w:val="auto"/>
        </w:rPr>
      </w:pPr>
    </w:p>
    <w:p>
      <w:pPr>
        <w:ind w:left="645" w:hanging="645"/>
        <w:spacing w:after="0"/>
        <w:tabs>
          <w:tab w:leader="none" w:pos="645" w:val="left"/>
        </w:tabs>
        <w:numPr>
          <w:ilvl w:val="0"/>
          <w:numId w:val="1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Debt</w:t>
      </w:r>
    </w:p>
    <w:p>
      <w:pPr>
        <w:spacing w:after="0" w:line="184" w:lineRule="exact"/>
        <w:rPr>
          <w:rFonts w:ascii="Courier New" w:cs="Courier New" w:eastAsia="Courier New" w:hAnsi="Courier New"/>
          <w:sz w:val="15"/>
          <w:szCs w:val="15"/>
          <w:b w:val="1"/>
          <w:bCs w:val="1"/>
          <w:color w:val="auto"/>
        </w:rPr>
      </w:pPr>
    </w:p>
    <w:p>
      <w:pPr>
        <w:ind w:left="1285" w:hanging="639"/>
        <w:spacing w:after="0"/>
        <w:tabs>
          <w:tab w:leader="none" w:pos="1285" w:val="left"/>
        </w:tabs>
        <w:numPr>
          <w:ilvl w:val="1"/>
          <w:numId w:val="11"/>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Short Term</w:t>
      </w:r>
    </w:p>
    <w:p>
      <w:pPr>
        <w:spacing w:after="0" w:line="184" w:lineRule="exact"/>
        <w:rPr>
          <w:rFonts w:ascii="Courier New" w:cs="Courier New" w:eastAsia="Courier New" w:hAnsi="Courier New"/>
          <w:sz w:val="15"/>
          <w:szCs w:val="15"/>
          <w:i w:val="1"/>
          <w:iCs w:val="1"/>
          <w:color w:val="auto"/>
        </w:rPr>
      </w:pPr>
    </w:p>
    <w:p>
      <w:pPr>
        <w:ind w:left="1285" w:right="2939"/>
        <w:spacing w:after="0" w:line="252"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At December 31, 2000, the Company had outstanding $2,000 of unsecured notes payable to banks bearing interest at 7.29%. These notes were repaid during 2001.</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1285" w:hanging="639"/>
        <w:spacing w:after="0"/>
        <w:tabs>
          <w:tab w:leader="none" w:pos="1285" w:val="left"/>
        </w:tabs>
        <w:numPr>
          <w:ilvl w:val="0"/>
          <w:numId w:val="12"/>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Long-Term</w:t>
      </w:r>
    </w:p>
    <w:p>
      <w:pPr>
        <w:spacing w:after="0" w:line="18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Long-term debt at December 31, 2001 and 2000 consists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following:</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260" w:type="dxa"/>
            <w:vAlign w:val="bottom"/>
          </w:tcPr>
          <w:p>
            <w:pPr>
              <w:spacing w:after="0"/>
              <w:rPr>
                <w:sz w:val="14"/>
                <w:szCs w:val="14"/>
                <w:color w:val="auto"/>
              </w:rPr>
            </w:pP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rPr>
              <w:t>2001</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8760" w:type="dxa"/>
            <w:vAlign w:val="bottom"/>
            <w:gridSpan w:val="3"/>
          </w:tcPr>
          <w:p>
            <w:pPr>
              <w:ind w:left="5800"/>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revolving credit facility bearing interest at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variable rates (3.24% - 4.75% at December 31, 2001) due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July 25, 2003</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$ 9,805</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revolving credit facility bearing interest a</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variable rates (7.29% at December 31, 2000) due July 25,</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2003.  Repaid in July 2001</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24,698</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Termloan bearing interest at variable rates (3.24% at December 31,</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2001) payable in quarterly installments of $1,750</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beginning September 19, 2001 through July 1, 2006</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31,500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Euro revolving credit facility bearing interest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at variable rates (4.55% at December 31, 2001 and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6.63% at December 31, 2000) due July 15, 2006</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942</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Euroterm loans bearing interest at variable rates (4.55% at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December 31, 2001and 6.63% at December 31, 2000) payable in</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quarterly installments of $1,781 beginning March 15, 2002</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through June 15, 2006</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13,356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24,875</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Total long-term debt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54,661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50,515</w:t>
            </w:r>
          </w:p>
        </w:tc>
      </w:tr>
      <w:tr>
        <w:trPr>
          <w:trHeight w:val="355"/>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Less current maturities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7,000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Long-term debt, excluding current installments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$47,661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1285" w:right="2839"/>
        <w:spacing w:after="0" w:line="250" w:lineRule="auto"/>
        <w:rPr>
          <w:sz w:val="20"/>
          <w:szCs w:val="20"/>
          <w:color w:val="auto"/>
        </w:rPr>
      </w:pPr>
      <w:r>
        <w:rPr>
          <w:rFonts w:ascii="Courier New" w:cs="Courier New" w:eastAsia="Courier New" w:hAnsi="Courier New"/>
          <w:sz w:val="15"/>
          <w:szCs w:val="15"/>
          <w:color w:val="auto"/>
        </w:rPr>
        <w:t>On July 20, 2001, the Company entered into a syndicated loan agreement with AmSouth Bank ("AmSouth") as the administrative agent for the lenders, for a senior non-secured revolving credit facility of up to $25,000, expiring on July 25, 2003 and a senior non-secured term loan for $35,000 expiring on July 1, 2006. These facilities include certain negative pledges. This credit facility replaces the $25,000 revolving credit facility that was temporarily extended and restated in February 2001 to $50,000 and the additional $2,000 of availability extended in March of 2001. Amounts outstanding under the revolving facility and term loan facility bear interest at a floating rate equal to LIBOR (1.88% at December 31, 2001) plus an applicable margin of 0.75% to 2.00% based upon calculated financial ratios. The loan agreement contains restrictive covenants which specify, among other things, restrictions on the incurrence of indebtedness, payment of dividends, capital expenditures, and the maintenance of certain financial ratios. The Company, as of December 31, 2001, was in compliance with all such covenants.</w:t>
      </w:r>
    </w:p>
    <w:p>
      <w:pPr>
        <w:spacing w:after="0" w:line="185" w:lineRule="exact"/>
        <w:rPr>
          <w:sz w:val="20"/>
          <w:szCs w:val="20"/>
          <w:color w:val="auto"/>
        </w:rPr>
      </w:pPr>
    </w:p>
    <w:p>
      <w:pPr>
        <w:ind w:left="1285" w:right="2839"/>
        <w:spacing w:after="0" w:line="251" w:lineRule="auto"/>
        <w:rPr>
          <w:sz w:val="20"/>
          <w:szCs w:val="20"/>
          <w:color w:val="auto"/>
        </w:rPr>
      </w:pPr>
      <w:r>
        <w:rPr>
          <w:rFonts w:ascii="Courier New" w:cs="Courier New" w:eastAsia="Courier New" w:hAnsi="Courier New"/>
          <w:sz w:val="15"/>
          <w:szCs w:val="15"/>
          <w:color w:val="auto"/>
        </w:rPr>
        <w:t>In connection with the Euroball transaction (see Note 2) the Company and NN Euroball ApS, entered into a Facility Agreement with a bank to provide up to Euro 36,000 in Term Loans and Euro 5,000 in revolving credit loans. The Company borrowed Euro 30,500 ($28,755) under the term loan facility and Euro 1,000 ($943) under the revolving credit facility. Amounts outstanding under the Facility Agreement are secured by inventory</w:t>
      </w:r>
    </w:p>
    <w:p>
      <w:pPr>
        <w:spacing w:after="0" w:line="176"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5"/>
          </w:cols>
          <w:pgMar w:left="235" w:top="319" w:right="1440" w:bottom="0" w:gutter="0" w:footer="0" w:header="0"/>
        </w:sectPr>
      </w:pPr>
    </w:p>
    <w:bookmarkStart w:id="29" w:name="page30"/>
    <w:bookmarkEnd w:id="29"/>
    <w:p>
      <w:pPr>
        <w:ind w:left="3605"/>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1285" w:right="2939"/>
        <w:spacing w:after="0" w:line="251" w:lineRule="auto"/>
        <w:rPr>
          <w:sz w:val="20"/>
          <w:szCs w:val="20"/>
          <w:color w:val="auto"/>
        </w:rPr>
      </w:pPr>
      <w:r>
        <w:rPr>
          <w:rFonts w:ascii="Courier New" w:cs="Courier New" w:eastAsia="Courier New" w:hAnsi="Courier New"/>
          <w:sz w:val="15"/>
          <w:szCs w:val="15"/>
          <w:color w:val="auto"/>
        </w:rPr>
        <w:t>and accounts receivable and bear interest at EURIBOR (3.30% at December 31, 2001) plus an applicable margin between 1.125%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at December 31, 2001.</w:t>
      </w:r>
    </w:p>
    <w:p>
      <w:pPr>
        <w:spacing w:after="0" w:line="353" w:lineRule="exact"/>
        <w:rPr>
          <w:sz w:val="20"/>
          <w:szCs w:val="20"/>
          <w:color w:val="auto"/>
        </w:rPr>
      </w:pPr>
    </w:p>
    <w:p>
      <w:pPr>
        <w:ind w:left="1285" w:right="3119"/>
        <w:spacing w:after="0" w:line="253" w:lineRule="auto"/>
        <w:rPr>
          <w:sz w:val="20"/>
          <w:szCs w:val="20"/>
          <w:color w:val="auto"/>
        </w:rPr>
      </w:pPr>
      <w:r>
        <w:rPr>
          <w:rFonts w:ascii="Courier New" w:cs="Courier New" w:eastAsia="Courier New" w:hAnsi="Courier New"/>
          <w:sz w:val="15"/>
          <w:szCs w:val="15"/>
          <w:color w:val="auto"/>
        </w:rPr>
        <w:t>The aggregate maturities of long-term debt for each of the five years subsequent to December 31, 2001 are as follows:</w:t>
      </w:r>
    </w:p>
    <w:p>
      <w:pPr>
        <w:spacing w:after="0" w:line="174" w:lineRule="exact"/>
        <w:rPr>
          <w:sz w:val="20"/>
          <w:szCs w:val="20"/>
          <w:color w:val="auto"/>
        </w:rPr>
      </w:pPr>
    </w:p>
    <w:tbl>
      <w:tblPr>
        <w:tblLayout w:type="fixed"/>
        <w:tblInd w:w="3225" w:type="dxa"/>
        <w:tblCellMar>
          <w:top w:w="0" w:type="dxa"/>
          <w:left w:w="0" w:type="dxa"/>
          <w:bottom w:w="0" w:type="dxa"/>
          <w:right w:w="0" w:type="dxa"/>
        </w:tblCellMar>
      </w:tblPr>
      <w:tr>
        <w:trPr>
          <w:trHeight w:val="172"/>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$ 7,000</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23,893</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13,268</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7"/>
        </w:trPr>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7"/>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$54,661</w:t>
            </w:r>
          </w:p>
        </w:tc>
      </w:tr>
      <w:tr>
        <w:trPr>
          <w:trHeight w:val="177"/>
        </w:trPr>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3219" w:firstLine="646"/>
        <w:spacing w:after="0" w:line="253" w:lineRule="auto"/>
        <w:rPr>
          <w:sz w:val="20"/>
          <w:szCs w:val="20"/>
          <w:color w:val="auto"/>
        </w:rPr>
      </w:pPr>
      <w:r>
        <w:rPr>
          <w:rFonts w:ascii="Courier New" w:cs="Courier New" w:eastAsia="Courier New" w:hAnsi="Courier New"/>
          <w:sz w:val="15"/>
          <w:szCs w:val="15"/>
          <w:color w:val="auto"/>
        </w:rPr>
        <w:t>Interest paid during 2001, 2000 and 1999 was $3,596, $1,917 and $519, respectively.</w:t>
      </w:r>
    </w:p>
    <w:p>
      <w:pPr>
        <w:spacing w:after="0" w:line="352" w:lineRule="exact"/>
        <w:rPr>
          <w:sz w:val="20"/>
          <w:szCs w:val="20"/>
          <w:color w:val="auto"/>
        </w:rPr>
      </w:pPr>
    </w:p>
    <w:p>
      <w:pPr>
        <w:ind w:left="645" w:hanging="645"/>
        <w:spacing w:after="0"/>
        <w:tabs>
          <w:tab w:leader="none" w:pos="645" w:val="left"/>
        </w:tabs>
        <w:numPr>
          <w:ilvl w:val="0"/>
          <w:numId w:val="1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 Benefit Plans</w:t>
      </w:r>
    </w:p>
    <w:p>
      <w:pPr>
        <w:spacing w:after="0" w:line="184" w:lineRule="exact"/>
        <w:rPr>
          <w:rFonts w:ascii="Courier New" w:cs="Courier New" w:eastAsia="Courier New" w:hAnsi="Courier New"/>
          <w:sz w:val="15"/>
          <w:szCs w:val="15"/>
          <w:b w:val="1"/>
          <w:bCs w:val="1"/>
          <w:color w:val="auto"/>
        </w:rPr>
      </w:pPr>
    </w:p>
    <w:p>
      <w:pPr>
        <w:ind w:left="645" w:right="28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$152, $106 and $120 in 2001, 2000 and 1999, respectively.</w:t>
      </w:r>
    </w:p>
    <w:p>
      <w:pPr>
        <w:spacing w:after="0" w:line="182" w:lineRule="exact"/>
        <w:rPr>
          <w:rFonts w:ascii="Courier New" w:cs="Courier New" w:eastAsia="Courier New" w:hAnsi="Courier New"/>
          <w:sz w:val="15"/>
          <w:szCs w:val="15"/>
          <w:b w:val="1"/>
          <w:bCs w:val="1"/>
          <w:color w:val="auto"/>
        </w:rPr>
      </w:pPr>
    </w:p>
    <w:p>
      <w:pPr>
        <w:ind w:left="645" w:right="28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25% of the first 6% of each employee's contribution to the plan and provides for a discretionary contribution at the end of each plan year. The contributions by the Company for IMC plan since acquisition in July 1999 were $58 in 2001, $70 in 2000 and $196 in 1999. Vesting occurs in equal increments over a period of five years.</w:t>
      </w:r>
    </w:p>
    <w:p>
      <w:pPr>
        <w:spacing w:after="0" w:line="181" w:lineRule="exact"/>
        <w:rPr>
          <w:rFonts w:ascii="Courier New" w:cs="Courier New" w:eastAsia="Courier New" w:hAnsi="Courier New"/>
          <w:sz w:val="15"/>
          <w:szCs w:val="15"/>
          <w:b w:val="1"/>
          <w:bCs w:val="1"/>
          <w:color w:val="auto"/>
        </w:rPr>
      </w:pPr>
    </w:p>
    <w:p>
      <w:pPr>
        <w:ind w:left="64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since acquisition in February 2001 were $67. Vesting occurs in equal increments over a period of five years.</w:t>
      </w:r>
    </w:p>
    <w:p>
      <w:pPr>
        <w:spacing w:after="0" w:line="35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5" w:right="2939"/>
        <w:spacing w:after="0" w:line="252" w:lineRule="auto"/>
        <w:rPr>
          <w:sz w:val="20"/>
          <w:szCs w:val="20"/>
          <w:color w:val="auto"/>
        </w:rPr>
      </w:pPr>
      <w:r>
        <w:rPr>
          <w:rFonts w:ascii="Courier New" w:cs="Courier New" w:eastAsia="Courier New" w:hAnsi="Courier New"/>
          <w:sz w:val="15"/>
          <w:szCs w:val="15"/>
          <w:color w:val="auto"/>
        </w:rPr>
        <w:t>The Company has a defined benefit pension plan covering its Eltmann, Germany facility employees (a Euroball division). The benefits are based on the expected years of service including the rate of compensation</w:t>
      </w:r>
    </w:p>
    <w:p>
      <w:pPr>
        <w:sectPr>
          <w:pgSz w:w="11900" w:h="16838" w:orient="portrait"/>
          <w:cols w:equalWidth="0" w:num="1">
            <w:col w:w="10225"/>
          </w:cols>
          <w:pgMar w:left="235" w:top="319" w:right="1440" w:bottom="0" w:gutter="0" w:footer="0" w:header="0"/>
        </w:sectPr>
      </w:pPr>
    </w:p>
    <w:bookmarkStart w:id="30" w:name="page31"/>
    <w:bookmarkEnd w:id="30"/>
    <w:tbl>
      <w:tblPr>
        <w:tblLayout w:type="fixed"/>
        <w:tblInd w:w="645" w:type="dxa"/>
        <w:tblCellMar>
          <w:top w:w="0" w:type="dxa"/>
          <w:left w:w="0" w:type="dxa"/>
          <w:bottom w:w="0" w:type="dxa"/>
          <w:right w:w="0" w:type="dxa"/>
        </w:tblCellMar>
      </w:tblP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 The plan is unfunded.</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55"/>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Following is a summary of the changes in the projected benefit obligation</w:t>
            </w:r>
          </w:p>
        </w:tc>
      </w:tr>
      <w:tr>
        <w:trPr>
          <w:trHeight w:val="177"/>
        </w:trPr>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for the defined benefit pension plan during 2001 and 2000:</w:t>
            </w:r>
          </w:p>
        </w:tc>
        <w:tc>
          <w:tcPr>
            <w:tcW w:w="1280" w:type="dxa"/>
            <w:vAlign w:val="bottom"/>
          </w:tcPr>
          <w:p>
            <w:pPr>
              <w:spacing w:after="0"/>
              <w:rPr>
                <w:sz w:val="15"/>
                <w:szCs w:val="15"/>
                <w:color w:val="auto"/>
              </w:rPr>
            </w:pPr>
          </w:p>
        </w:tc>
      </w:tr>
      <w:tr>
        <w:trPr>
          <w:trHeight w:val="355"/>
        </w:trPr>
        <w:tc>
          <w:tcPr>
            <w:tcW w:w="4380" w:type="dxa"/>
            <w:vAlign w:val="bottom"/>
          </w:tcPr>
          <w:p>
            <w:pPr>
              <w:spacing w:after="0"/>
              <w:rPr>
                <w:sz w:val="24"/>
                <w:szCs w:val="24"/>
                <w:color w:val="auto"/>
              </w:rPr>
            </w:pP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2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9"/>
              </w:rPr>
              <w:t>2000</w:t>
            </w:r>
          </w:p>
        </w:tc>
      </w:tr>
      <w:tr>
        <w:trPr>
          <w:trHeight w:val="177"/>
        </w:trPr>
        <w:tc>
          <w:tcPr>
            <w:tcW w:w="438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4380" w:type="dxa"/>
            <w:vAlign w:val="bottom"/>
          </w:tcPr>
          <w:p>
            <w:pPr>
              <w:ind w:left="280"/>
              <w:spacing w:after="0"/>
              <w:rPr>
                <w:sz w:val="20"/>
                <w:szCs w:val="20"/>
                <w:color w:val="auto"/>
              </w:rPr>
            </w:pPr>
            <w:r>
              <w:rPr>
                <w:rFonts w:ascii="Courier New" w:cs="Courier New" w:eastAsia="Courier New" w:hAnsi="Courier New"/>
                <w:sz w:val="15"/>
                <w:szCs w:val="15"/>
                <w:b w:val="1"/>
                <w:bCs w:val="1"/>
                <w:color w:val="auto"/>
              </w:rPr>
              <w:t>Change in projected benefit obligation:</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Benefit obligation at beginning of year</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$ 2,133</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$ 1,886</w:t>
            </w: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Service cost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w:t>
            </w: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Interest cost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w:t>
            </w: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Benefits paid</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Effect of currency translation</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Actuarial loss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152</w:t>
            </w:r>
          </w:p>
        </w:tc>
      </w:tr>
      <w:tr>
        <w:trPr>
          <w:trHeight w:val="177"/>
        </w:trPr>
        <w:tc>
          <w:tcPr>
            <w:tcW w:w="438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4380" w:type="dxa"/>
            <w:vAlign w:val="bottom"/>
          </w:tcPr>
          <w:p>
            <w:pPr>
              <w:ind w:left="640"/>
              <w:spacing w:after="0"/>
              <w:rPr>
                <w:sz w:val="20"/>
                <w:szCs w:val="20"/>
                <w:color w:val="auto"/>
              </w:rPr>
            </w:pPr>
            <w:r>
              <w:rPr>
                <w:rFonts w:ascii="Courier New" w:cs="Courier New" w:eastAsia="Courier New" w:hAnsi="Courier New"/>
                <w:sz w:val="15"/>
                <w:szCs w:val="15"/>
                <w:color w:val="auto"/>
              </w:rPr>
              <w:t>Benefit obligation at December 31</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$ 2,390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$ 2,133</w:t>
            </w:r>
          </w:p>
        </w:tc>
      </w:tr>
      <w:tr>
        <w:trPr>
          <w:trHeight w:val="177"/>
        </w:trPr>
        <w:tc>
          <w:tcPr>
            <w:tcW w:w="438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2001</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560" w:type="dxa"/>
            <w:vAlign w:val="bottom"/>
          </w:tcPr>
          <w:p>
            <w:pPr>
              <w:spacing w:after="0"/>
              <w:rPr>
                <w:sz w:val="15"/>
                <w:szCs w:val="15"/>
                <w:color w:val="auto"/>
              </w:rPr>
            </w:pPr>
          </w:p>
        </w:tc>
        <w:tc>
          <w:tcPr>
            <w:tcW w:w="138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b w:val="1"/>
                <w:bCs w:val="1"/>
                <w:color w:val="auto"/>
              </w:rPr>
              <w:t>Weighted-average assumptions as of December 31:</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Discount rate</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w:t>
            </w: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Rate of compensation increase</w:t>
            </w:r>
          </w:p>
        </w:tc>
        <w:tc>
          <w:tcPr>
            <w:tcW w:w="13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 - 2.1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r>
    </w:tbl>
    <w:p>
      <w:pPr>
        <w:spacing w:after="0" w:line="36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b w:val="1"/>
                <w:bCs w:val="1"/>
                <w:color w:val="auto"/>
              </w:rPr>
              <w:t>2001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7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b w:val="1"/>
                <w:bCs w:val="1"/>
                <w:color w:val="auto"/>
              </w:rPr>
              <w:t>Components of net periodic benefit cost:</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$ 77</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$ 33</w:t>
            </w: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116</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w:t>
            </w:r>
          </w:p>
        </w:tc>
      </w:tr>
      <w:tr>
        <w:trPr>
          <w:trHeight w:val="177"/>
        </w:trPr>
        <w:tc>
          <w:tcPr>
            <w:tcW w:w="470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Net periodic pension cost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$193</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$ 95</w:t>
            </w:r>
          </w:p>
        </w:tc>
      </w:tr>
      <w:tr>
        <w:trPr>
          <w:trHeight w:val="177"/>
        </w:trPr>
        <w:tc>
          <w:tcPr>
            <w:tcW w:w="470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6140" w:type="dxa"/>
            <w:vAlign w:val="bottom"/>
          </w:tcPr>
          <w:p>
            <w:pPr>
              <w:spacing w:after="0"/>
              <w:rPr>
                <w:sz w:val="20"/>
                <w:szCs w:val="20"/>
                <w:color w:val="auto"/>
              </w:rPr>
            </w:pPr>
            <w:r>
              <w:rPr>
                <w:rFonts w:ascii="Courier New" w:cs="Courier New" w:eastAsia="Courier New" w:hAnsi="Courier New"/>
                <w:sz w:val="15"/>
                <w:szCs w:val="15"/>
                <w:color w:val="auto"/>
              </w:rPr>
              <w:t>Amounts recognized in the Consolidated Balance Sheets consist of:</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55"/>
        </w:trPr>
        <w:tc>
          <w:tcPr>
            <w:tcW w:w="6140" w:type="dxa"/>
            <w:vAlign w:val="bottom"/>
          </w:tcPr>
          <w:p>
            <w:pPr>
              <w:spacing w:after="0"/>
              <w:rPr>
                <w:sz w:val="24"/>
                <w:szCs w:val="24"/>
                <w:color w:val="auto"/>
              </w:rPr>
            </w:pP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2001</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b w:val="1"/>
                <w:bCs w:val="1"/>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6140" w:type="dxa"/>
            <w:vAlign w:val="bottom"/>
          </w:tcPr>
          <w:p>
            <w:pPr>
              <w:ind w:left="280"/>
              <w:spacing w:after="0"/>
              <w:rPr>
                <w:sz w:val="20"/>
                <w:szCs w:val="20"/>
                <w:color w:val="auto"/>
              </w:rPr>
            </w:pPr>
            <w:r>
              <w:rPr>
                <w:rFonts w:ascii="Courier New" w:cs="Courier New" w:eastAsia="Courier New" w:hAnsi="Courier New"/>
                <w:sz w:val="15"/>
                <w:szCs w:val="15"/>
                <w:color w:val="auto"/>
              </w:rPr>
              <w:t>Accrued benefit liability</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$2,390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6140" w:type="dxa"/>
            <w:vAlign w:val="bottom"/>
          </w:tcPr>
          <w:p>
            <w:pPr>
              <w:ind w:left="280"/>
              <w:spacing w:after="0"/>
              <w:rPr>
                <w:sz w:val="20"/>
                <w:szCs w:val="20"/>
                <w:color w:val="auto"/>
              </w:rPr>
            </w:pPr>
            <w:r>
              <w:rPr>
                <w:rFonts w:ascii="Courier New" w:cs="Courier New" w:eastAsia="Courier New" w:hAnsi="Courier New"/>
                <w:sz w:val="15"/>
                <w:szCs w:val="15"/>
                <w:color w:val="auto"/>
              </w:rPr>
              <w:t>Accumulated other comprehensive loss, net of tax</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Net amount recognized</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$2,337</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hanging="645"/>
        <w:spacing w:after="0"/>
        <w:tabs>
          <w:tab w:leader="none" w:pos="645" w:val="left"/>
        </w:tabs>
        <w:numPr>
          <w:ilvl w:val="0"/>
          <w:numId w:val="1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Stock Incentive Plan</w:t>
      </w:r>
    </w:p>
    <w:p>
      <w:pPr>
        <w:spacing w:after="0" w:line="362" w:lineRule="exact"/>
        <w:rPr>
          <w:rFonts w:ascii="Courier New" w:cs="Courier New" w:eastAsia="Courier New" w:hAnsi="Courier New"/>
          <w:sz w:val="15"/>
          <w:szCs w:val="15"/>
          <w:b w:val="1"/>
          <w:bCs w:val="1"/>
          <w:color w:val="auto"/>
        </w:rPr>
      </w:pPr>
    </w:p>
    <w:p>
      <w:pPr>
        <w:ind w:left="645" w:right="360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Effective March 2, 1994, the Company adopted the NN, Inc. Stock Incentive Plan under which 1,125 shares of the Company's Common Stock were reserved for issuance to officers and key employees of the Company. During 1999 and 2000,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w:t>
      </w:r>
    </w:p>
    <w:p>
      <w:pPr>
        <w:spacing w:after="0" w:line="18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59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3780"/>
        <w:spacing w:after="0" w:line="252" w:lineRule="auto"/>
        <w:rPr>
          <w:sz w:val="20"/>
          <w:szCs w:val="20"/>
          <w:color w:val="auto"/>
        </w:rPr>
      </w:pPr>
      <w:r>
        <w:rPr>
          <w:rFonts w:ascii="Courier New" w:cs="Courier New" w:eastAsia="Courier New" w:hAnsi="Courier New"/>
          <w:sz w:val="15"/>
          <w:szCs w:val="15"/>
          <w:color w:val="auto"/>
        </w:rPr>
        <w:t>grant. The awards or grants under the plan may have various vesting and expiration periods as determined at the discretion of the committee administering the plan.</w:t>
      </w:r>
    </w:p>
    <w:p>
      <w:pPr>
        <w:spacing w:after="0" w:line="175" w:lineRule="exact"/>
        <w:rPr>
          <w:sz w:val="20"/>
          <w:szCs w:val="20"/>
          <w:color w:val="auto"/>
        </w:rPr>
      </w:pPr>
    </w:p>
    <w:p>
      <w:pPr>
        <w:ind w:left="645" w:right="3780"/>
        <w:spacing w:after="0" w:line="252" w:lineRule="auto"/>
        <w:rPr>
          <w:sz w:val="20"/>
          <w:szCs w:val="20"/>
          <w:color w:val="auto"/>
        </w:rPr>
      </w:pPr>
      <w:r>
        <w:rPr>
          <w:rFonts w:ascii="Courier New" w:cs="Courier New" w:eastAsia="Courier New" w:hAnsi="Courier New"/>
          <w:sz w:val="15"/>
          <w:szCs w:val="15"/>
          <w:color w:val="auto"/>
        </w:rPr>
        <w:t>A summary of the status of the Company's stock option plan as described above as of December 31, 2001, 2000 and 1999, and changes during the years ending on those dates is presented below:</w:t>
      </w:r>
    </w:p>
    <w:p>
      <w:pPr>
        <w:spacing w:after="0" w:line="352" w:lineRule="exact"/>
        <w:rPr>
          <w:sz w:val="20"/>
          <w:szCs w:val="20"/>
          <w:color w:val="auto"/>
        </w:rPr>
      </w:pPr>
    </w:p>
    <w:p>
      <w:pPr>
        <w:ind w:left="3965"/>
        <w:spacing w:after="0"/>
        <w:tabs>
          <w:tab w:leader="none" w:pos="6725" w:val="left"/>
          <w:tab w:leader="none" w:pos="9385" w:val="left"/>
        </w:tabs>
        <w:rPr>
          <w:sz w:val="20"/>
          <w:szCs w:val="20"/>
          <w:color w:val="auto"/>
        </w:rPr>
      </w:pPr>
      <w:r>
        <w:rPr>
          <w:rFonts w:ascii="Courier New" w:cs="Courier New" w:eastAsia="Courier New" w:hAnsi="Courier New"/>
          <w:sz w:val="15"/>
          <w:szCs w:val="15"/>
          <w:b w:val="1"/>
          <w:bCs w:val="1"/>
          <w:color w:val="auto"/>
        </w:rPr>
        <w:t>2001</w:t>
      </w:r>
      <w:r>
        <w:rPr>
          <w:sz w:val="20"/>
          <w:szCs w:val="20"/>
          <w:color w:val="auto"/>
        </w:rPr>
        <w:tab/>
      </w:r>
      <w:r>
        <w:rPr>
          <w:rFonts w:ascii="Courier New" w:cs="Courier New" w:eastAsia="Courier New" w:hAnsi="Courier New"/>
          <w:sz w:val="15"/>
          <w:szCs w:val="15"/>
          <w:b w:val="1"/>
          <w:bCs w:val="1"/>
          <w:color w:val="auto"/>
        </w:rPr>
        <w:t>2000</w:t>
      </w:r>
      <w:r>
        <w:rPr>
          <w:sz w:val="20"/>
          <w:szCs w:val="20"/>
          <w:color w:val="auto"/>
        </w:rPr>
        <w:tab/>
      </w:r>
      <w:r>
        <w:rPr>
          <w:rFonts w:ascii="Courier New" w:cs="Courier New" w:eastAsia="Courier New" w:hAnsi="Courier New"/>
          <w:sz w:val="15"/>
          <w:szCs w:val="15"/>
          <w:b w:val="1"/>
          <w:bCs w:val="1"/>
          <w:color w:val="auto"/>
        </w:rPr>
        <w:t>1999</w:t>
      </w:r>
    </w:p>
    <w:p>
      <w:pPr>
        <w:spacing w:after="0" w:line="8" w:lineRule="exact"/>
        <w:rPr>
          <w:sz w:val="20"/>
          <w:szCs w:val="20"/>
          <w:color w:val="auto"/>
        </w:rPr>
      </w:pPr>
    </w:p>
    <w:p>
      <w:pPr>
        <w:ind w:left="2945"/>
        <w:spacing w:after="0"/>
        <w:tabs>
          <w:tab w:leader="none" w:pos="5705" w:val="left"/>
          <w:tab w:leader="none" w:pos="8465" w:val="left"/>
        </w:tabs>
        <w:rPr>
          <w:sz w:val="20"/>
          <w:szCs w:val="20"/>
          <w:color w:val="auto"/>
        </w:rPr>
      </w:pPr>
      <w:r>
        <w:rPr>
          <w:rFonts w:ascii="Courier New" w:cs="Courier New" w:eastAsia="Courier New" w:hAnsi="Courier New"/>
          <w:sz w:val="15"/>
          <w:szCs w:val="15"/>
          <w:b w:val="1"/>
          <w:bCs w:val="1"/>
          <w:color w:val="auto"/>
        </w:rPr>
        <w:t>----------------------------</w:t>
        <w:tab/>
        <w:t>----------------------------</w:t>
        <w:tab/>
        <w:t>---------------------------</w:t>
      </w:r>
    </w:p>
    <w:p>
      <w:pPr>
        <w:spacing w:after="0" w:line="8" w:lineRule="exact"/>
        <w:rPr>
          <w:sz w:val="20"/>
          <w:szCs w:val="20"/>
          <w:color w:val="auto"/>
        </w:rPr>
      </w:pPr>
    </w:p>
    <w:p>
      <w:pPr>
        <w:ind w:left="4145"/>
        <w:spacing w:after="0"/>
        <w:tabs>
          <w:tab w:leader="none" w:pos="6905" w:val="left"/>
          <w:tab w:leader="none" w:pos="9485" w:val="left"/>
        </w:tabs>
        <w:rPr>
          <w:sz w:val="20"/>
          <w:szCs w:val="20"/>
          <w:color w:val="auto"/>
        </w:rPr>
      </w:pPr>
      <w:r>
        <w:rPr>
          <w:rFonts w:ascii="Courier New" w:cs="Courier New" w:eastAsia="Courier New" w:hAnsi="Courier New"/>
          <w:sz w:val="15"/>
          <w:szCs w:val="15"/>
          <w:b w:val="1"/>
          <w:bCs w:val="1"/>
          <w:color w:val="auto"/>
        </w:rPr>
        <w:t>Weighted-average</w:t>
      </w:r>
      <w:r>
        <w:rPr>
          <w:sz w:val="20"/>
          <w:szCs w:val="20"/>
          <w:color w:val="auto"/>
        </w:rPr>
        <w:tab/>
      </w:r>
      <w:r>
        <w:rPr>
          <w:rFonts w:ascii="Courier New" w:cs="Courier New" w:eastAsia="Courier New" w:hAnsi="Courier New"/>
          <w:sz w:val="15"/>
          <w:szCs w:val="15"/>
          <w:b w:val="1"/>
          <w:bCs w:val="1"/>
          <w:color w:val="auto"/>
        </w:rPr>
        <w:t>Weighted-average</w:t>
      </w:r>
      <w:r>
        <w:rPr>
          <w:sz w:val="20"/>
          <w:szCs w:val="20"/>
          <w:color w:val="auto"/>
        </w:rPr>
        <w:tab/>
      </w:r>
      <w:r>
        <w:rPr>
          <w:rFonts w:ascii="Courier New" w:cs="Courier New" w:eastAsia="Courier New" w:hAnsi="Courier New"/>
          <w:sz w:val="15"/>
          <w:szCs w:val="15"/>
          <w:b w:val="1"/>
          <w:bCs w:val="1"/>
          <w:color w:val="auto"/>
        </w:rPr>
        <w:t>Weighted-average</w:t>
      </w:r>
    </w:p>
    <w:p>
      <w:pPr>
        <w:spacing w:after="0" w:line="8" w:lineRule="exact"/>
        <w:rPr>
          <w:sz w:val="20"/>
          <w:szCs w:val="20"/>
          <w:color w:val="auto"/>
        </w:rPr>
      </w:pPr>
    </w:p>
    <w:p>
      <w:pPr>
        <w:ind w:left="3145"/>
        <w:spacing w:after="0"/>
        <w:tabs>
          <w:tab w:leader="none" w:pos="4125" w:val="left"/>
          <w:tab w:leader="none" w:pos="5885" w:val="left"/>
          <w:tab w:leader="none" w:pos="6905" w:val="left"/>
          <w:tab w:leader="none" w:pos="8645" w:val="left"/>
          <w:tab w:leader="none" w:pos="9585" w:val="left"/>
        </w:tabs>
        <w:rPr>
          <w:sz w:val="20"/>
          <w:szCs w:val="20"/>
          <w:color w:val="auto"/>
        </w:rPr>
      </w:pP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p>
    <w:p>
      <w:pPr>
        <w:spacing w:after="0" w:line="8" w:lineRule="exact"/>
        <w:rPr>
          <w:sz w:val="20"/>
          <w:szCs w:val="20"/>
          <w:color w:val="auto"/>
        </w:rPr>
      </w:pPr>
    </w:p>
    <w:p>
      <w:pPr>
        <w:ind w:left="2945"/>
        <w:spacing w:after="0"/>
        <w:tabs>
          <w:tab w:leader="none" w:pos="4125" w:val="left"/>
          <w:tab w:leader="none" w:pos="5705" w:val="left"/>
          <w:tab w:leader="none" w:pos="6905" w:val="left"/>
          <w:tab w:leader="none" w:pos="8465" w:val="left"/>
          <w:tab w:leader="none" w:pos="9585" w:val="left"/>
        </w:tabs>
        <w:rPr>
          <w:sz w:val="20"/>
          <w:szCs w:val="20"/>
          <w:color w:val="auto"/>
        </w:rPr>
      </w:pPr>
      <w:r>
        <w:rPr>
          <w:rFonts w:ascii="Courier New" w:cs="Courier New" w:eastAsia="Courier New" w:hAnsi="Courier New"/>
          <w:sz w:val="15"/>
          <w:szCs w:val="15"/>
          <w:b w:val="1"/>
          <w:bCs w:val="1"/>
          <w:color w:val="auto"/>
        </w:rPr>
        <w:t>-----------</w:t>
        <w:tab/>
        <w:t>---------------</w:t>
        <w:tab/>
        <w:t>-----------</w:t>
        <w:tab/>
        <w:t>---------------</w:t>
        <w:tab/>
        <w:t>----------</w:t>
        <w:tab/>
        <w:t>---------------</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Outstanding at beginning</w:t>
      </w:r>
    </w:p>
    <w:p>
      <w:pPr>
        <w:sectPr>
          <w:pgSz w:w="11900" w:h="16838" w:orient="portrait"/>
          <w:cols w:equalWidth="0" w:num="1">
            <w:col w:w="10985"/>
          </w:cols>
          <w:pgMar w:left="235" w:top="142" w:right="679" w:bottom="0" w:gutter="0" w:footer="0" w:header="0"/>
        </w:sectPr>
      </w:pP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1,091</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8.53</w:t>
      </w:r>
    </w:p>
    <w:p>
      <w:pPr>
        <w:spacing w:after="0" w:line="20" w:lineRule="exact"/>
        <w:rPr>
          <w:sz w:val="20"/>
          <w:szCs w:val="20"/>
          <w:color w:val="auto"/>
        </w:rPr>
      </w:pPr>
      <w:r>
        <w:rPr>
          <w:sz w:val="20"/>
          <w:szCs w:val="20"/>
          <w:color w:val="auto"/>
        </w:rPr>
        <w:br w:type="column"/>
      </w:r>
    </w:p>
    <w:p>
      <w:pPr>
        <w:spacing w:after="0"/>
        <w:tabs>
          <w:tab w:leader="none" w:pos="900" w:val="left"/>
          <w:tab w:leader="none" w:pos="1260" w:val="left"/>
        </w:tabs>
        <w:rPr>
          <w:sz w:val="20"/>
          <w:szCs w:val="20"/>
          <w:color w:val="auto"/>
        </w:rPr>
      </w:pPr>
      <w:r>
        <w:rPr>
          <w:rFonts w:ascii="Courier New" w:cs="Courier New" w:eastAsia="Courier New" w:hAnsi="Courier New"/>
          <w:sz w:val="15"/>
          <w:szCs w:val="15"/>
          <w:color w:val="auto"/>
        </w:rPr>
        <w:t>548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11.53</w:t>
      </w:r>
    </w:p>
    <w:p>
      <w:pPr>
        <w:sectPr>
          <w:pgSz w:w="11900" w:h="16838" w:orient="portrait"/>
          <w:cols w:equalWidth="0" w:num="7">
            <w:col w:w="2605" w:space="720"/>
            <w:col w:w="460" w:space="640"/>
            <w:col w:w="740" w:space="380"/>
            <w:col w:w="660" w:space="720"/>
            <w:col w:w="80" w:space="380"/>
            <w:col w:w="760" w:space="720"/>
            <w:col w:w="2120"/>
          </w:cols>
          <w:pgMar w:left="235" w:top="142" w:right="67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Granted</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8.09</w:t>
            </w:r>
          </w:p>
        </w:tc>
        <w:tc>
          <w:tcPr>
            <w:tcW w:w="380" w:type="dxa"/>
            <w:vAlign w:val="bottom"/>
          </w:tcPr>
          <w:p>
            <w:pPr>
              <w:spacing w:after="0"/>
              <w:rPr>
                <w:sz w:val="14"/>
                <w:szCs w:val="14"/>
                <w:color w:val="auto"/>
              </w:rPr>
            </w:pPr>
          </w:p>
        </w:tc>
        <w:tc>
          <w:tcPr>
            <w:tcW w:w="1280" w:type="dxa"/>
            <w:vAlign w:val="bottom"/>
          </w:tcPr>
          <w:p>
            <w:pPr>
              <w:jc w:val="right"/>
              <w:ind w:right="923"/>
              <w:spacing w:after="0"/>
              <w:rPr>
                <w:sz w:val="20"/>
                <w:szCs w:val="20"/>
                <w:color w:val="auto"/>
              </w:rPr>
            </w:pPr>
            <w:r>
              <w:rPr>
                <w:rFonts w:ascii="Courier New" w:cs="Courier New" w:eastAsia="Courier New" w:hAnsi="Courier New"/>
                <w:sz w:val="15"/>
                <w:szCs w:val="15"/>
                <w:color w:val="auto"/>
                <w:w w:val="96"/>
              </w:rPr>
              <w:t>555</w:t>
            </w:r>
          </w:p>
        </w:tc>
        <w:tc>
          <w:tcPr>
            <w:tcW w:w="200" w:type="dxa"/>
            <w:vAlign w:val="bottom"/>
          </w:tcPr>
          <w:p>
            <w:pPr>
              <w:spacing w:after="0"/>
              <w:rPr>
                <w:sz w:val="14"/>
                <w:szCs w:val="14"/>
                <w:color w:val="auto"/>
              </w:rPr>
            </w:pPr>
          </w:p>
        </w:tc>
        <w:tc>
          <w:tcPr>
            <w:tcW w:w="152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7.63</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539</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5.93</w:t>
            </w:r>
          </w:p>
        </w:tc>
      </w:tr>
      <w:tr>
        <w:trPr>
          <w:trHeight w:val="355"/>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Exercised</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6.09</w:t>
            </w:r>
          </w:p>
        </w:tc>
        <w:tc>
          <w:tcPr>
            <w:tcW w:w="380" w:type="dxa"/>
            <w:vAlign w:val="bottom"/>
          </w:tcPr>
          <w:p>
            <w:pPr>
              <w:spacing w:after="0"/>
              <w:rPr>
                <w:sz w:val="24"/>
                <w:szCs w:val="24"/>
                <w:color w:val="auto"/>
              </w:rPr>
            </w:pPr>
          </w:p>
        </w:tc>
        <w:tc>
          <w:tcPr>
            <w:tcW w:w="12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w:t>
            </w:r>
          </w:p>
        </w:tc>
        <w:tc>
          <w:tcPr>
            <w:tcW w:w="200" w:type="dxa"/>
            <w:vAlign w:val="bottom"/>
          </w:tcPr>
          <w:p>
            <w:pPr>
              <w:spacing w:after="0"/>
              <w:rPr>
                <w:sz w:val="24"/>
                <w:szCs w:val="24"/>
                <w:color w:val="auto"/>
              </w:rPr>
            </w:pPr>
          </w:p>
        </w:tc>
        <w:tc>
          <w:tcPr>
            <w:tcW w:w="152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5.87</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Forfeited</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6.78</w:t>
            </w:r>
          </w:p>
        </w:tc>
        <w:tc>
          <w:tcPr>
            <w:tcW w:w="166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(511)</w:t>
            </w:r>
          </w:p>
        </w:tc>
        <w:tc>
          <w:tcPr>
            <w:tcW w:w="200" w:type="dxa"/>
            <w:vAlign w:val="bottom"/>
          </w:tcPr>
          <w:p>
            <w:pPr>
              <w:spacing w:after="0"/>
              <w:rPr>
                <w:sz w:val="24"/>
                <w:szCs w:val="24"/>
                <w:color w:val="auto"/>
              </w:rPr>
            </w:pPr>
          </w:p>
        </w:tc>
        <w:tc>
          <w:tcPr>
            <w:tcW w:w="15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10.95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12.28</w:t>
            </w:r>
          </w:p>
        </w:tc>
      </w:tr>
      <w:tr>
        <w:trPr>
          <w:trHeight w:val="177"/>
        </w:trPr>
        <w:tc>
          <w:tcPr>
            <w:tcW w:w="1880" w:type="dxa"/>
            <w:vAlign w:val="bottom"/>
          </w:tcPr>
          <w:p>
            <w:pPr>
              <w:spacing w:after="0"/>
              <w:rPr>
                <w:sz w:val="15"/>
                <w:szCs w:val="15"/>
                <w:color w:val="auto"/>
              </w:rPr>
            </w:pPr>
          </w:p>
        </w:tc>
        <w:tc>
          <w:tcPr>
            <w:tcW w:w="2080" w:type="dxa"/>
            <w:vAlign w:val="bottom"/>
          </w:tcPr>
          <w:p>
            <w:pPr>
              <w:jc w:val="center"/>
              <w:ind w:left="108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355"/>
        </w:trPr>
        <w:tc>
          <w:tcPr>
            <w:tcW w:w="39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Outstanding at end of</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1,373</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7.25</w:t>
            </w:r>
          </w:p>
        </w:tc>
        <w:tc>
          <w:tcPr>
            <w:tcW w:w="1660" w:type="dxa"/>
            <w:vAlign w:val="bottom"/>
            <w:gridSpan w:val="2"/>
          </w:tcPr>
          <w:p>
            <w:pPr>
              <w:jc w:val="right"/>
              <w:ind w:right="923"/>
              <w:spacing w:after="0"/>
              <w:rPr>
                <w:sz w:val="20"/>
                <w:szCs w:val="20"/>
                <w:color w:val="auto"/>
              </w:rPr>
            </w:pPr>
            <w:r>
              <w:rPr>
                <w:rFonts w:ascii="Courier New" w:cs="Courier New" w:eastAsia="Courier New" w:hAnsi="Courier New"/>
                <w:sz w:val="15"/>
                <w:szCs w:val="15"/>
                <w:color w:val="auto"/>
              </w:rPr>
              <w:t>1,091</w:t>
            </w:r>
          </w:p>
        </w:tc>
        <w:tc>
          <w:tcPr>
            <w:tcW w:w="200" w:type="dxa"/>
            <w:vAlign w:val="bottom"/>
          </w:tcPr>
          <w:p>
            <w:pPr>
              <w:spacing w:after="0"/>
              <w:rPr>
                <w:sz w:val="15"/>
                <w:szCs w:val="15"/>
                <w:color w:val="auto"/>
              </w:rPr>
            </w:pPr>
          </w:p>
        </w:tc>
        <w:tc>
          <w:tcPr>
            <w:tcW w:w="15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8.53</w:t>
            </w:r>
          </w:p>
        </w:tc>
      </w:tr>
      <w:tr>
        <w:trPr>
          <w:trHeight w:val="177"/>
        </w:trPr>
        <w:tc>
          <w:tcPr>
            <w:tcW w:w="1880" w:type="dxa"/>
            <w:vAlign w:val="bottom"/>
          </w:tcPr>
          <w:p>
            <w:pPr>
              <w:spacing w:after="0"/>
              <w:rPr>
                <w:sz w:val="15"/>
                <w:szCs w:val="15"/>
                <w:color w:val="auto"/>
              </w:rPr>
            </w:pPr>
          </w:p>
        </w:tc>
        <w:tc>
          <w:tcPr>
            <w:tcW w:w="2080" w:type="dxa"/>
            <w:vAlign w:val="bottom"/>
          </w:tcPr>
          <w:p>
            <w:pPr>
              <w:jc w:val="center"/>
              <w:ind w:left="108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spacing w:after="0"/>
              <w:rPr>
                <w:sz w:val="15"/>
                <w:szCs w:val="15"/>
                <w:color w:val="auto"/>
              </w:rPr>
            </w:pPr>
          </w:p>
        </w:tc>
        <w:tc>
          <w:tcPr>
            <w:tcW w:w="1660" w:type="dxa"/>
            <w:vAlign w:val="bottom"/>
            <w:gridSpan w:val="2"/>
          </w:tcPr>
          <w:p>
            <w:pPr>
              <w:jc w:val="right"/>
              <w:ind w:right="92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355"/>
        </w:trPr>
        <w:tc>
          <w:tcPr>
            <w:tcW w:w="39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Options exercisable at</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year-end</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6.59</w:t>
            </w:r>
          </w:p>
        </w:tc>
        <w:tc>
          <w:tcPr>
            <w:tcW w:w="380" w:type="dxa"/>
            <w:vAlign w:val="bottom"/>
          </w:tcPr>
          <w:p>
            <w:pPr>
              <w:spacing w:after="0"/>
              <w:rPr>
                <w:sz w:val="15"/>
                <w:szCs w:val="15"/>
                <w:color w:val="auto"/>
              </w:rPr>
            </w:pPr>
          </w:p>
        </w:tc>
        <w:tc>
          <w:tcPr>
            <w:tcW w:w="1280" w:type="dxa"/>
            <w:vAlign w:val="bottom"/>
          </w:tcPr>
          <w:p>
            <w:pPr>
              <w:jc w:val="right"/>
              <w:ind w:right="923"/>
              <w:spacing w:after="0"/>
              <w:rPr>
                <w:sz w:val="20"/>
                <w:szCs w:val="20"/>
                <w:color w:val="auto"/>
              </w:rPr>
            </w:pPr>
            <w:r>
              <w:rPr>
                <w:rFonts w:ascii="Courier New" w:cs="Courier New" w:eastAsia="Courier New" w:hAnsi="Courier New"/>
                <w:sz w:val="15"/>
                <w:szCs w:val="15"/>
                <w:color w:val="auto"/>
                <w:w w:val="96"/>
              </w:rPr>
              <w:t>290</w:t>
            </w:r>
          </w:p>
        </w:tc>
        <w:tc>
          <w:tcPr>
            <w:tcW w:w="200" w:type="dxa"/>
            <w:vAlign w:val="bottom"/>
          </w:tcPr>
          <w:p>
            <w:pPr>
              <w:jc w:val="right"/>
              <w:ind w:right="23"/>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6.09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11.53</w:t>
            </w:r>
          </w:p>
        </w:tc>
      </w:tr>
      <w:tr>
        <w:trPr>
          <w:trHeight w:val="355"/>
        </w:trPr>
        <w:tc>
          <w:tcPr>
            <w:tcW w:w="700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The following table summarizes information about stock options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December 31, 2001:</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5"/>
        </w:trPr>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gridSpan w:val="3"/>
          </w:tcPr>
          <w:p>
            <w:pPr>
              <w:jc w:val="right"/>
              <w:ind w:right="743"/>
              <w:spacing w:after="0"/>
              <w:rPr>
                <w:sz w:val="20"/>
                <w:szCs w:val="20"/>
                <w:color w:val="auto"/>
              </w:rPr>
            </w:pPr>
            <w:r>
              <w:rPr>
                <w:rFonts w:ascii="Courier New" w:cs="Courier New" w:eastAsia="Courier New" w:hAnsi="Courier New"/>
                <w:sz w:val="15"/>
                <w:szCs w:val="15"/>
                <w:b w:val="1"/>
                <w:bCs w:val="1"/>
                <w:color w:val="auto"/>
              </w:rPr>
              <w:t>Options outstanding</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60" w:type="dxa"/>
            <w:vAlign w:val="bottom"/>
            <w:gridSpan w:val="2"/>
          </w:tcPr>
          <w:p>
            <w:pPr>
              <w:jc w:val="center"/>
              <w:ind w:right="143"/>
              <w:spacing w:after="0"/>
              <w:rPr>
                <w:sz w:val="20"/>
                <w:szCs w:val="20"/>
                <w:color w:val="auto"/>
              </w:rPr>
            </w:pPr>
            <w:r>
              <w:rPr>
                <w:rFonts w:ascii="Courier New" w:cs="Courier New" w:eastAsia="Courier New" w:hAnsi="Courier New"/>
                <w:sz w:val="15"/>
                <w:szCs w:val="15"/>
                <w:b w:val="1"/>
                <w:bCs w:val="1"/>
                <w:color w:val="auto"/>
              </w:rPr>
              <w:t>Options exercisable</w:t>
            </w:r>
          </w:p>
        </w:tc>
      </w:tr>
      <w:tr>
        <w:trPr>
          <w:trHeight w:val="177"/>
        </w:trPr>
        <w:tc>
          <w:tcPr>
            <w:tcW w:w="1880" w:type="dxa"/>
            <w:vAlign w:val="bottom"/>
          </w:tcPr>
          <w:p>
            <w:pPr>
              <w:spacing w:after="0"/>
              <w:rPr>
                <w:sz w:val="15"/>
                <w:szCs w:val="15"/>
                <w:color w:val="auto"/>
              </w:rPr>
            </w:pPr>
          </w:p>
        </w:tc>
        <w:tc>
          <w:tcPr>
            <w:tcW w:w="3460" w:type="dxa"/>
            <w:vAlign w:val="bottom"/>
            <w:gridSpan w:val="2"/>
          </w:tcPr>
          <w:p>
            <w:pPr>
              <w:ind w:left="140"/>
              <w:spacing w:after="0"/>
              <w:rPr>
                <w:sz w:val="20"/>
                <w:szCs w:val="20"/>
                <w:color w:val="auto"/>
              </w:rPr>
            </w:pPr>
            <w:r>
              <w:rPr>
                <w:rFonts w:ascii="Courier New" w:cs="Courier New" w:eastAsia="Courier New" w:hAnsi="Courier New"/>
                <w:sz w:val="14"/>
                <w:szCs w:val="14"/>
                <w:b w:val="1"/>
                <w:bCs w:val="1"/>
                <w:color w:val="auto"/>
                <w:w w:val="72"/>
              </w:rPr>
              <w:t>------------------------------------------------------</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3"/>
          </w:tcPr>
          <w:p>
            <w:pPr>
              <w:ind w:left="80"/>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b w:val="1"/>
                <w:bCs w:val="1"/>
                <w:color w:val="auto"/>
              </w:rPr>
              <w:t>Weighted-</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b w:val="1"/>
                <w:bCs w:val="1"/>
                <w:color w:val="auto"/>
              </w:rPr>
              <w:t>average</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2080" w:type="dxa"/>
            <w:vAlign w:val="bottom"/>
          </w:tcPr>
          <w:p>
            <w:pPr>
              <w:ind w:left="600"/>
              <w:spacing w:after="0"/>
              <w:rPr>
                <w:sz w:val="20"/>
                <w:szCs w:val="20"/>
                <w:color w:val="auto"/>
              </w:rPr>
            </w:pPr>
            <w:r>
              <w:rPr>
                <w:rFonts w:ascii="Courier New" w:cs="Courier New" w:eastAsia="Courier New" w:hAnsi="Courier New"/>
                <w:sz w:val="15"/>
                <w:szCs w:val="15"/>
                <w:b w:val="1"/>
                <w:bCs w:val="1"/>
                <w:color w:val="auto"/>
              </w:rPr>
              <w:t>Number</w:t>
            </w: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b w:val="1"/>
                <w:bCs w:val="1"/>
                <w:color w:val="auto"/>
              </w:rPr>
              <w:t>remaining</w:t>
            </w:r>
          </w:p>
        </w:tc>
        <w:tc>
          <w:tcPr>
            <w:tcW w:w="38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w w:val="98"/>
              </w:rPr>
              <w:t>Weighted-</w:t>
            </w:r>
          </w:p>
        </w:tc>
        <w:tc>
          <w:tcPr>
            <w:tcW w:w="2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Number</w:t>
            </w:r>
          </w:p>
        </w:tc>
        <w:tc>
          <w:tcPr>
            <w:tcW w:w="2060" w:type="dxa"/>
            <w:vAlign w:val="bottom"/>
            <w:gridSpan w:val="2"/>
          </w:tcPr>
          <w:p>
            <w:pPr>
              <w:jc w:val="center"/>
              <w:ind w:right="143"/>
              <w:spacing w:after="0"/>
              <w:rPr>
                <w:sz w:val="20"/>
                <w:szCs w:val="20"/>
                <w:color w:val="auto"/>
              </w:rPr>
            </w:pPr>
            <w:r>
              <w:rPr>
                <w:rFonts w:ascii="Courier New" w:cs="Courier New" w:eastAsia="Courier New" w:hAnsi="Courier New"/>
                <w:sz w:val="15"/>
                <w:szCs w:val="15"/>
                <w:b w:val="1"/>
                <w:bCs w:val="1"/>
                <w:color w:val="auto"/>
              </w:rPr>
              <w:t>Weighted-</w:t>
            </w:r>
          </w:p>
        </w:tc>
      </w:tr>
      <w:tr>
        <w:trPr>
          <w:trHeight w:val="177"/>
        </w:trPr>
        <w:tc>
          <w:tcPr>
            <w:tcW w:w="188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Range of exercise</w:t>
            </w:r>
          </w:p>
        </w:tc>
        <w:tc>
          <w:tcPr>
            <w:tcW w:w="2080" w:type="dxa"/>
            <w:vAlign w:val="bottom"/>
          </w:tcPr>
          <w:p>
            <w:pPr>
              <w:jc w:val="center"/>
              <w:ind w:right="244"/>
              <w:spacing w:after="0"/>
              <w:rPr>
                <w:sz w:val="20"/>
                <w:szCs w:val="20"/>
                <w:color w:val="auto"/>
              </w:rPr>
            </w:pPr>
            <w:r>
              <w:rPr>
                <w:rFonts w:ascii="Courier New" w:cs="Courier New" w:eastAsia="Courier New" w:hAnsi="Courier New"/>
                <w:sz w:val="15"/>
                <w:szCs w:val="15"/>
                <w:b w:val="1"/>
                <w:bCs w:val="1"/>
                <w:color w:val="auto"/>
              </w:rPr>
              <w:t>outstanding at</w:t>
            </w: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b w:val="1"/>
                <w:bCs w:val="1"/>
                <w:color w:val="auto"/>
              </w:rPr>
              <w:t>contractual</w:t>
            </w:r>
          </w:p>
        </w:tc>
        <w:tc>
          <w:tcPr>
            <w:tcW w:w="380" w:type="dxa"/>
            <w:vAlign w:val="bottom"/>
          </w:tcPr>
          <w:p>
            <w:pPr>
              <w:spacing w:after="0"/>
              <w:rPr>
                <w:sz w:val="15"/>
                <w:szCs w:val="15"/>
                <w:color w:val="auto"/>
              </w:rPr>
            </w:pP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b w:val="1"/>
                <w:bCs w:val="1"/>
                <w:color w:val="auto"/>
              </w:rPr>
              <w:t>average</w:t>
            </w:r>
          </w:p>
        </w:tc>
        <w:tc>
          <w:tcPr>
            <w:tcW w:w="200" w:type="dxa"/>
            <w:vAlign w:val="bottom"/>
          </w:tcPr>
          <w:p>
            <w:pPr>
              <w:spacing w:after="0"/>
              <w:rPr>
                <w:sz w:val="15"/>
                <w:szCs w:val="15"/>
                <w:color w:val="auto"/>
              </w:rPr>
            </w:pP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b w:val="1"/>
                <w:bCs w:val="1"/>
                <w:color w:val="auto"/>
              </w:rPr>
              <w:t>exercisable</w:t>
            </w:r>
          </w:p>
        </w:tc>
        <w:tc>
          <w:tcPr>
            <w:tcW w:w="2060" w:type="dxa"/>
            <w:vAlign w:val="bottom"/>
            <w:gridSpan w:val="2"/>
          </w:tcPr>
          <w:p>
            <w:pPr>
              <w:jc w:val="right"/>
              <w:ind w:right="383"/>
              <w:spacing w:after="0"/>
              <w:rPr>
                <w:sz w:val="20"/>
                <w:szCs w:val="20"/>
                <w:color w:val="auto"/>
              </w:rPr>
            </w:pPr>
            <w:r>
              <w:rPr>
                <w:rFonts w:ascii="Courier New" w:cs="Courier New" w:eastAsia="Courier New" w:hAnsi="Courier New"/>
                <w:sz w:val="15"/>
                <w:szCs w:val="15"/>
                <w:b w:val="1"/>
                <w:bCs w:val="1"/>
                <w:color w:val="auto"/>
              </w:rPr>
              <w:t>average exercise</w:t>
            </w:r>
          </w:p>
        </w:tc>
      </w:tr>
      <w:tr>
        <w:trPr>
          <w:trHeight w:val="177"/>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b w:val="1"/>
                <w:bCs w:val="1"/>
                <w:color w:val="auto"/>
              </w:rPr>
              <w:t>prices</w:t>
            </w:r>
          </w:p>
        </w:tc>
        <w:tc>
          <w:tcPr>
            <w:tcW w:w="2080" w:type="dxa"/>
            <w:vAlign w:val="bottom"/>
          </w:tcPr>
          <w:p>
            <w:pPr>
              <w:jc w:val="right"/>
              <w:ind w:right="664"/>
              <w:spacing w:after="0"/>
              <w:rPr>
                <w:sz w:val="20"/>
                <w:szCs w:val="20"/>
                <w:color w:val="auto"/>
              </w:rPr>
            </w:pPr>
            <w:r>
              <w:rPr>
                <w:rFonts w:ascii="Courier New" w:cs="Courier New" w:eastAsia="Courier New" w:hAnsi="Courier New"/>
                <w:sz w:val="15"/>
                <w:szCs w:val="15"/>
                <w:b w:val="1"/>
                <w:bCs w:val="1"/>
                <w:color w:val="auto"/>
              </w:rPr>
              <w:t>12/31/2001</w:t>
            </w:r>
          </w:p>
        </w:tc>
        <w:tc>
          <w:tcPr>
            <w:tcW w:w="138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rPr>
              <w:t>life</w:t>
            </w:r>
          </w:p>
        </w:tc>
        <w:tc>
          <w:tcPr>
            <w:tcW w:w="1660" w:type="dxa"/>
            <w:vAlign w:val="bottom"/>
            <w:gridSpan w:val="2"/>
          </w:tcPr>
          <w:p>
            <w:pPr>
              <w:jc w:val="right"/>
              <w:ind w:right="103"/>
              <w:spacing w:after="0"/>
              <w:rPr>
                <w:sz w:val="20"/>
                <w:szCs w:val="20"/>
                <w:color w:val="auto"/>
              </w:rPr>
            </w:pPr>
            <w:r>
              <w:rPr>
                <w:rFonts w:ascii="Courier New" w:cs="Courier New" w:eastAsia="Courier New" w:hAnsi="Courier New"/>
                <w:sz w:val="15"/>
                <w:szCs w:val="15"/>
                <w:b w:val="1"/>
                <w:bCs w:val="1"/>
                <w:color w:val="auto"/>
              </w:rPr>
              <w:t>exercise price</w:t>
            </w:r>
          </w:p>
        </w:tc>
        <w:tc>
          <w:tcPr>
            <w:tcW w:w="200" w:type="dxa"/>
            <w:vAlign w:val="bottom"/>
          </w:tcPr>
          <w:p>
            <w:pPr>
              <w:spacing w:after="0"/>
              <w:rPr>
                <w:sz w:val="15"/>
                <w:szCs w:val="15"/>
                <w:color w:val="auto"/>
              </w:rPr>
            </w:pP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b w:val="1"/>
                <w:bCs w:val="1"/>
                <w:color w:val="auto"/>
              </w:rPr>
              <w:t>at 12/31/2001</w:t>
            </w:r>
          </w:p>
        </w:tc>
        <w:tc>
          <w:tcPr>
            <w:tcW w:w="640" w:type="dxa"/>
            <w:vAlign w:val="bottom"/>
          </w:tcPr>
          <w:p>
            <w:pPr>
              <w:spacing w:after="0"/>
              <w:rPr>
                <w:sz w:val="15"/>
                <w:szCs w:val="15"/>
                <w:color w:val="auto"/>
              </w:rPr>
            </w:pPr>
          </w:p>
        </w:tc>
        <w:tc>
          <w:tcPr>
            <w:tcW w:w="1420" w:type="dxa"/>
            <w:vAlign w:val="bottom"/>
          </w:tcPr>
          <w:p>
            <w:pPr>
              <w:jc w:val="center"/>
              <w:ind w:right="803"/>
              <w:spacing w:after="0"/>
              <w:rPr>
                <w:sz w:val="20"/>
                <w:szCs w:val="20"/>
                <w:color w:val="auto"/>
              </w:rPr>
            </w:pPr>
            <w:r>
              <w:rPr>
                <w:rFonts w:ascii="Courier New" w:cs="Courier New" w:eastAsia="Courier New" w:hAnsi="Courier New"/>
                <w:sz w:val="15"/>
                <w:szCs w:val="15"/>
                <w:b w:val="1"/>
                <w:bCs w:val="1"/>
                <w:color w:val="auto"/>
              </w:rPr>
              <w:t>price</w:t>
            </w:r>
          </w:p>
        </w:tc>
      </w:tr>
      <w:tr>
        <w:trPr>
          <w:trHeight w:val="177"/>
        </w:trPr>
        <w:tc>
          <w:tcPr>
            <w:tcW w:w="1880" w:type="dxa"/>
            <w:vAlign w:val="bottom"/>
          </w:tcPr>
          <w:p>
            <w:pPr>
              <w:spacing w:after="0"/>
              <w:rPr>
                <w:sz w:val="15"/>
                <w:szCs w:val="15"/>
                <w:color w:val="auto"/>
              </w:rPr>
            </w:pPr>
          </w:p>
        </w:tc>
        <w:tc>
          <w:tcPr>
            <w:tcW w:w="3460" w:type="dxa"/>
            <w:vAlign w:val="bottom"/>
            <w:gridSpan w:val="2"/>
          </w:tcPr>
          <w:p>
            <w:pPr>
              <w:ind w:left="140"/>
              <w:spacing w:after="0"/>
              <w:rPr>
                <w:sz w:val="20"/>
                <w:szCs w:val="20"/>
                <w:color w:val="auto"/>
              </w:rPr>
            </w:pPr>
            <w:r>
              <w:rPr>
                <w:rFonts w:ascii="Courier New" w:cs="Courier New" w:eastAsia="Courier New" w:hAnsi="Courier New"/>
                <w:sz w:val="15"/>
                <w:szCs w:val="15"/>
                <w:b w:val="1"/>
                <w:bCs w:val="1"/>
                <w:color w:val="auto"/>
              </w:rPr>
              <w:t>-----------------  ----------------</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200" w:type="dxa"/>
            <w:vAlign w:val="bottom"/>
          </w:tcPr>
          <w:p>
            <w:pPr>
              <w:spacing w:after="0"/>
              <w:rPr>
                <w:sz w:val="15"/>
                <w:szCs w:val="15"/>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5"/>
                <w:szCs w:val="15"/>
                <w:b w:val="1"/>
                <w:bCs w:val="1"/>
                <w:color w:val="auto"/>
              </w:rPr>
              <w:t>---------------</w:t>
            </w:r>
          </w:p>
        </w:tc>
        <w:tc>
          <w:tcPr>
            <w:tcW w:w="2060" w:type="dxa"/>
            <w:vAlign w:val="bottom"/>
            <w:gridSpan w:val="2"/>
          </w:tcPr>
          <w:p>
            <w:pPr>
              <w:jc w:val="center"/>
              <w:ind w:right="4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$5.94 - $6.50</w:t>
            </w:r>
          </w:p>
        </w:tc>
        <w:tc>
          <w:tcPr>
            <w:tcW w:w="2080" w:type="dxa"/>
            <w:vAlign w:val="bottom"/>
          </w:tcPr>
          <w:p>
            <w:pPr>
              <w:ind w:left="600"/>
              <w:spacing w:after="0"/>
              <w:rPr>
                <w:sz w:val="20"/>
                <w:szCs w:val="20"/>
                <w:color w:val="auto"/>
              </w:rPr>
            </w:pPr>
            <w:r>
              <w:rPr>
                <w:rFonts w:ascii="Courier New" w:cs="Courier New" w:eastAsia="Courier New" w:hAnsi="Courier New"/>
                <w:sz w:val="15"/>
                <w:szCs w:val="15"/>
                <w:color w:val="auto"/>
              </w:rPr>
              <w:t>431</w:t>
            </w: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color w:val="auto"/>
              </w:rPr>
              <w:t>7.5 years</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6.84</w:t>
            </w:r>
          </w:p>
        </w:tc>
        <w:tc>
          <w:tcPr>
            <w:tcW w:w="200" w:type="dxa"/>
            <w:vAlign w:val="bottom"/>
          </w:tcPr>
          <w:p>
            <w:pPr>
              <w:spacing w:after="0"/>
              <w:rPr>
                <w:sz w:val="24"/>
                <w:szCs w:val="24"/>
                <w:color w:val="auto"/>
              </w:rPr>
            </w:pP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341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703"/>
              <w:spacing w:after="0"/>
              <w:rPr>
                <w:sz w:val="20"/>
                <w:szCs w:val="20"/>
                <w:color w:val="auto"/>
              </w:rPr>
            </w:pPr>
            <w:r>
              <w:rPr>
                <w:rFonts w:ascii="Courier New" w:cs="Courier New" w:eastAsia="Courier New" w:hAnsi="Courier New"/>
                <w:sz w:val="15"/>
                <w:szCs w:val="15"/>
                <w:color w:val="auto"/>
                <w:w w:val="99"/>
              </w:rPr>
              <w:t>5.97</w:t>
            </w:r>
          </w:p>
        </w:tc>
      </w:tr>
      <w:tr>
        <w:trPr>
          <w:trHeight w:val="355"/>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$7.63 - $8.09</w:t>
            </w:r>
          </w:p>
        </w:tc>
        <w:tc>
          <w:tcPr>
            <w:tcW w:w="2080" w:type="dxa"/>
            <w:vAlign w:val="bottom"/>
          </w:tcPr>
          <w:p>
            <w:pPr>
              <w:ind w:left="600"/>
              <w:spacing w:after="0"/>
              <w:rPr>
                <w:sz w:val="20"/>
                <w:szCs w:val="20"/>
                <w:color w:val="auto"/>
              </w:rPr>
            </w:pPr>
            <w:r>
              <w:rPr>
                <w:rFonts w:ascii="Courier New" w:cs="Courier New" w:eastAsia="Courier New" w:hAnsi="Courier New"/>
                <w:sz w:val="15"/>
                <w:szCs w:val="15"/>
                <w:color w:val="auto"/>
              </w:rPr>
              <w:t>942</w:t>
            </w:r>
          </w:p>
        </w:tc>
        <w:tc>
          <w:tcPr>
            <w:tcW w:w="1380" w:type="dxa"/>
            <w:vAlign w:val="bottom"/>
          </w:tcPr>
          <w:p>
            <w:pPr>
              <w:jc w:val="center"/>
              <w:ind w:right="283"/>
              <w:spacing w:after="0"/>
              <w:rPr>
                <w:sz w:val="20"/>
                <w:szCs w:val="20"/>
                <w:color w:val="auto"/>
              </w:rPr>
            </w:pPr>
            <w:r>
              <w:rPr>
                <w:rFonts w:ascii="Courier New" w:cs="Courier New" w:eastAsia="Courier New" w:hAnsi="Courier New"/>
                <w:sz w:val="15"/>
                <w:szCs w:val="15"/>
                <w:color w:val="auto"/>
              </w:rPr>
              <w:t>9.2 years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10.38</w:t>
            </w:r>
          </w:p>
        </w:tc>
        <w:tc>
          <w:tcPr>
            <w:tcW w:w="200" w:type="dxa"/>
            <w:vAlign w:val="bottom"/>
          </w:tcPr>
          <w:p>
            <w:pPr>
              <w:spacing w:after="0"/>
              <w:rPr>
                <w:sz w:val="24"/>
                <w:szCs w:val="24"/>
                <w:color w:val="auto"/>
              </w:rPr>
            </w:pP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187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703"/>
              <w:spacing w:after="0"/>
              <w:rPr>
                <w:sz w:val="20"/>
                <w:szCs w:val="20"/>
                <w:color w:val="auto"/>
              </w:rPr>
            </w:pPr>
            <w:r>
              <w:rPr>
                <w:rFonts w:ascii="Courier New" w:cs="Courier New" w:eastAsia="Courier New" w:hAnsi="Courier New"/>
                <w:sz w:val="15"/>
                <w:szCs w:val="15"/>
                <w:color w:val="auto"/>
                <w:w w:val="99"/>
              </w:rPr>
              <w:t>7.71</w:t>
            </w:r>
          </w:p>
        </w:tc>
      </w:tr>
    </w:tbl>
    <w:p>
      <w:pPr>
        <w:spacing w:after="0" w:line="183" w:lineRule="exact"/>
        <w:rPr>
          <w:sz w:val="20"/>
          <w:szCs w:val="20"/>
          <w:color w:val="auto"/>
        </w:rPr>
      </w:pPr>
    </w:p>
    <w:p>
      <w:pPr>
        <w:ind w:left="640" w:right="3400"/>
        <w:spacing w:after="0" w:line="250" w:lineRule="auto"/>
        <w:rPr>
          <w:sz w:val="20"/>
          <w:szCs w:val="20"/>
          <w:color w:val="auto"/>
        </w:rPr>
      </w:pPr>
      <w:r>
        <w:rPr>
          <w:rFonts w:ascii="Courier New" w:cs="Courier New" w:eastAsia="Courier New" w:hAnsi="Courier New"/>
          <w:sz w:val="15"/>
          <w:szCs w:val="15"/>
          <w:color w:val="auto"/>
        </w:rPr>
        <w:t>On December 7, 1998, the Company granted a total of 20 options to the members of its Board of Directors. These options carry an exercise price equal to the market price on the date of issuance and vest equally over a period of three years, beginning one year from date of grant. The maximum term of these options is 10 years. On July 4, 1999, the Company granted and additional 20 options to the members of its Board of Directors. These options carry an exercise price equal to the market price on the date of issuance and vest six months from the date of grant. The maximum term of these options is 10 years. On October 10, 2000, the Company granted an additional 15 options to the members of its Board of Directors. These options carry an exercise price equal to the market price on the date of issuance and vest 100% one year from date of grant. The maximum term of these options is 10 years. On September 17, 2001, the Company granted an additional 50 options to the members of the Board of Directors. These options carry an exercise price equal to the market price on the date of issuance and vest 100% one year from date of grant. The maximum term of these options is 10 years.</w:t>
      </w:r>
    </w:p>
    <w:p>
      <w:pPr>
        <w:spacing w:after="0" w:line="185" w:lineRule="exact"/>
        <w:rPr>
          <w:sz w:val="20"/>
          <w:szCs w:val="20"/>
          <w:color w:val="auto"/>
        </w:rPr>
      </w:pPr>
    </w:p>
    <w:p>
      <w:pPr>
        <w:ind w:left="640" w:right="3400"/>
        <w:spacing w:after="0" w:line="251" w:lineRule="auto"/>
        <w:rPr>
          <w:sz w:val="20"/>
          <w:szCs w:val="20"/>
          <w:color w:val="auto"/>
        </w:rPr>
      </w:pPr>
      <w:r>
        <w:rPr>
          <w:rFonts w:ascii="Courier New" w:cs="Courier New" w:eastAsia="Courier New" w:hAnsi="Courier New"/>
          <w:sz w:val="15"/>
          <w:szCs w:val="15"/>
          <w:color w:val="auto"/>
        </w:rPr>
        <w:t>On August 4, 1998 the Company's Board of Directors authorized the repurchase of up to 740 shares of its Common Stock, equaling 5% of the company's issued and outstanding shares as of August 4, 1998. The program may be</w:t>
      </w:r>
    </w:p>
    <w:p>
      <w:pPr>
        <w:spacing w:after="0" w:line="17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extended or discontinued at any time, and there is no assurance</w:t>
      </w:r>
    </w:p>
    <w:p>
      <w:pPr>
        <w:spacing w:after="0" w:line="8" w:lineRule="exact"/>
        <w:rPr>
          <w:sz w:val="20"/>
          <w:szCs w:val="20"/>
          <w:color w:val="auto"/>
        </w:rPr>
      </w:pPr>
    </w:p>
    <w:p>
      <w:pPr>
        <w:ind w:left="640" w:right="3500"/>
        <w:spacing w:after="0" w:line="252" w:lineRule="auto"/>
        <w:rPr>
          <w:sz w:val="20"/>
          <w:szCs w:val="20"/>
          <w:color w:val="auto"/>
        </w:rPr>
      </w:pPr>
      <w:r>
        <w:rPr>
          <w:rFonts w:ascii="Courier New" w:cs="Courier New" w:eastAsia="Courier New" w:hAnsi="Courier New"/>
          <w:sz w:val="15"/>
          <w:szCs w:val="15"/>
          <w:color w:val="auto"/>
        </w:rPr>
        <w:t>that the Company will purchase any or all of the full amount authorized. The Company has not repurchased any shares under this program through December 31, 2001.</w:t>
      </w:r>
    </w:p>
    <w:p>
      <w:pPr>
        <w:spacing w:after="0" w:line="175" w:lineRule="exact"/>
        <w:rPr>
          <w:sz w:val="20"/>
          <w:szCs w:val="20"/>
          <w:color w:val="auto"/>
        </w:rPr>
      </w:pPr>
    </w:p>
    <w:p>
      <w:pPr>
        <w:ind w:left="640" w:right="3400"/>
        <w:spacing w:after="0" w:line="250" w:lineRule="auto"/>
        <w:rPr>
          <w:sz w:val="20"/>
          <w:szCs w:val="20"/>
          <w:color w:val="auto"/>
        </w:rPr>
      </w:pPr>
      <w:r>
        <w:rPr>
          <w:rFonts w:ascii="Courier New" w:cs="Courier New" w:eastAsia="Courier New" w:hAnsi="Courier New"/>
          <w:sz w:val="15"/>
          <w:szCs w:val="15"/>
          <w:color w:val="auto"/>
        </w:rPr>
        <w:t>All options granted in the period January 1, 1999 through December 31, 2001, except those granted to the Company's Board of Directors as described above,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 - 33%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compensation expense of $108 during 2001 related to these options.</w:t>
      </w:r>
    </w:p>
    <w:p>
      <w:pPr>
        <w:spacing w:after="0" w:line="362" w:lineRule="exact"/>
        <w:rPr>
          <w:sz w:val="20"/>
          <w:szCs w:val="20"/>
          <w:color w:val="auto"/>
        </w:rPr>
      </w:pPr>
    </w:p>
    <w:p>
      <w:pPr>
        <w:ind w:left="640" w:right="3580"/>
        <w:spacing w:after="0" w:line="252" w:lineRule="auto"/>
        <w:rPr>
          <w:sz w:val="20"/>
          <w:szCs w:val="20"/>
          <w:color w:val="auto"/>
        </w:rPr>
      </w:pPr>
      <w:r>
        <w:rPr>
          <w:rFonts w:ascii="Courier New" w:cs="Courier New" w:eastAsia="Courier New" w:hAnsi="Courier New"/>
          <w:sz w:val="15"/>
          <w:szCs w:val="15"/>
          <w:color w:val="auto"/>
        </w:rPr>
        <w:t>The Company has adopted the provisions of Statement of Financial Accounting Standards No. 123, "Accounting for Stock-Based Compensation" (SFAS 123). SFAS 123 encourages but does not require a fair value based</w:t>
      </w:r>
    </w:p>
    <w:p>
      <w:pPr>
        <w:sectPr>
          <w:pgSz w:w="11900" w:h="16838" w:orient="portrait"/>
          <w:cols w:equalWidth="0" w:num="1">
            <w:col w:w="10780"/>
          </w:cols>
          <w:pgMar w:left="240" w:top="319" w:right="879" w:bottom="0" w:gutter="0" w:footer="0" w:header="0"/>
        </w:sectPr>
      </w:pPr>
    </w:p>
    <w:bookmarkStart w:id="32" w:name="page33"/>
    <w:bookmarkEnd w:id="32"/>
    <w:p>
      <w:pPr>
        <w:ind w:left="645" w:right="4240"/>
        <w:spacing w:after="0" w:line="251" w:lineRule="auto"/>
        <w:rPr>
          <w:sz w:val="20"/>
          <w:szCs w:val="20"/>
          <w:color w:val="auto"/>
        </w:rPr>
      </w:pPr>
      <w:r>
        <w:rPr>
          <w:rFonts w:ascii="Courier New" w:cs="Courier New" w:eastAsia="Courier New" w:hAnsi="Courier New"/>
          <w:sz w:val="15"/>
          <w:szCs w:val="15"/>
          <w:color w:val="auto"/>
        </w:rPr>
        <w:t>method of accounting for stock compensation plans. The Company has elected to continue accounting for its stock compensation plan using the intrinsic value based method under APB Opinion No. 25 and, accordingly, has not recorded compensation expense for each of the three years ended December 31, 2001,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pacing w:after="0" w:line="175"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1100" w:type="dxa"/>
            <w:vAlign w:val="bottom"/>
          </w:tcPr>
          <w:p>
            <w:pPr>
              <w:spacing w:after="0"/>
              <w:rPr>
                <w:sz w:val="14"/>
                <w:szCs w:val="14"/>
                <w:color w:val="auto"/>
              </w:rPr>
            </w:pP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b w:val="1"/>
                <w:bCs w:val="1"/>
                <w:color w:val="auto"/>
                <w:w w:val="94"/>
              </w:rPr>
              <w:t>2001</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703"/>
              <w:spacing w:after="0"/>
              <w:rPr>
                <w:sz w:val="20"/>
                <w:szCs w:val="20"/>
                <w:color w:val="auto"/>
              </w:rPr>
            </w:pPr>
            <w:r>
              <w:rPr>
                <w:rFonts w:ascii="Courier New" w:cs="Courier New" w:eastAsia="Courier New" w:hAnsi="Courier New"/>
                <w:sz w:val="15"/>
                <w:szCs w:val="15"/>
                <w:b w:val="1"/>
                <w:bCs w:val="1"/>
                <w:color w:val="auto"/>
                <w:w w:val="94"/>
              </w:rPr>
              <w:t>2000</w:t>
            </w:r>
          </w:p>
        </w:tc>
        <w:tc>
          <w:tcPr>
            <w:tcW w:w="700" w:type="dxa"/>
            <w:vAlign w:val="bottom"/>
          </w:tcPr>
          <w:p>
            <w:pPr>
              <w:spacing w:after="0"/>
              <w:rPr>
                <w:sz w:val="15"/>
                <w:szCs w:val="15"/>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w w:val="94"/>
              </w:rPr>
              <w:t>1999</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0" w:type="dxa"/>
            <w:vAlign w:val="bottom"/>
            <w:gridSpan w:val="3"/>
          </w:tcPr>
          <w:p>
            <w:pPr>
              <w:ind w:left="240"/>
              <w:spacing w:after="0"/>
              <w:rPr>
                <w:sz w:val="20"/>
                <w:szCs w:val="20"/>
                <w:color w:val="auto"/>
              </w:rPr>
            </w:pPr>
            <w:r>
              <w:rPr>
                <w:rFonts w:ascii="Courier New" w:cs="Courier New" w:eastAsia="Courier New" w:hAnsi="Courier New"/>
                <w:sz w:val="15"/>
                <w:szCs w:val="15"/>
                <w:b w:val="1"/>
                <w:bCs w:val="1"/>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5"/>
                <w:szCs w:val="15"/>
                <w:b w:val="1"/>
                <w:bCs w:val="1"/>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4,662</w:t>
            </w:r>
          </w:p>
        </w:tc>
        <w:tc>
          <w:tcPr>
            <w:tcW w:w="5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9,987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7,759</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4,347</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9,804</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7,627</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5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0.66</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0.64</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0.51</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share-assuming</w:t>
            </w: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dilution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5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0.63</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0.51</w:t>
            </w:r>
          </w:p>
        </w:tc>
      </w:tr>
      <w:tr>
        <w:trPr>
          <w:trHeight w:val="355"/>
        </w:trPr>
        <w:tc>
          <w:tcPr>
            <w:tcW w:w="6100" w:type="dxa"/>
            <w:vAlign w:val="bottom"/>
            <w:gridSpan w:val="6"/>
          </w:tcPr>
          <w:p>
            <w:pPr>
              <w:spacing w:after="0"/>
              <w:rPr>
                <w:sz w:val="20"/>
                <w:szCs w:val="20"/>
                <w:color w:val="auto"/>
              </w:rPr>
            </w:pPr>
            <w:r>
              <w:rPr>
                <w:rFonts w:ascii="Courier New" w:cs="Courier New" w:eastAsia="Courier New" w:hAnsi="Courier New"/>
                <w:sz w:val="15"/>
                <w:szCs w:val="15"/>
                <w:color w:val="auto"/>
              </w:rPr>
              <w:t>The fair value of each option grant was estimated based on actual</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7240" w:type="dxa"/>
            <w:vAlign w:val="bottom"/>
            <w:gridSpan w:val="7"/>
          </w:tcPr>
          <w:p>
            <w:pPr>
              <w:spacing w:after="0"/>
              <w:rPr>
                <w:sz w:val="20"/>
                <w:szCs w:val="20"/>
                <w:color w:val="auto"/>
              </w:rPr>
            </w:pPr>
            <w:r>
              <w:rPr>
                <w:rFonts w:ascii="Courier New" w:cs="Courier New" w:eastAsia="Courier New" w:hAnsi="Courier New"/>
                <w:sz w:val="15"/>
                <w:szCs w:val="15"/>
                <w:color w:val="auto"/>
              </w:rPr>
              <w:t>information available through December 31, 2001, 2000 and 1999 using the</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6100" w:type="dxa"/>
            <w:vAlign w:val="bottom"/>
            <w:gridSpan w:val="6"/>
          </w:tcPr>
          <w:p>
            <w:pPr>
              <w:spacing w:after="0"/>
              <w:rPr>
                <w:sz w:val="20"/>
                <w:szCs w:val="20"/>
                <w:color w:val="auto"/>
              </w:rPr>
            </w:pPr>
            <w:r>
              <w:rPr>
                <w:rFonts w:ascii="Courier New" w:cs="Courier New" w:eastAsia="Courier New" w:hAnsi="Courier New"/>
                <w:sz w:val="15"/>
                <w:szCs w:val="15"/>
                <w:color w:val="auto"/>
              </w:rPr>
              <w:t>Black Scholes option-pricing model with the following assumptions:</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240" w:type="dxa"/>
            <w:vAlign w:val="bottom"/>
          </w:tcPr>
          <w:p>
            <w:pPr>
              <w:spacing w:after="0"/>
              <w:rPr>
                <w:sz w:val="24"/>
                <w:szCs w:val="24"/>
                <w:color w:val="auto"/>
              </w:rPr>
            </w:pPr>
          </w:p>
        </w:tc>
        <w:tc>
          <w:tcPr>
            <w:tcW w:w="200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Vesting Period</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1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3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6.5% for 2001, 2000 and 1999,</w:t>
            </w:r>
          </w:p>
        </w:tc>
        <w:tc>
          <w:tcPr>
            <w:tcW w:w="1100" w:type="dxa"/>
            <w:vAlign w:val="bottom"/>
          </w:tcPr>
          <w:p>
            <w:pPr>
              <w:spacing w:after="0"/>
              <w:rPr>
                <w:sz w:val="15"/>
                <w:szCs w:val="15"/>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respectively Dividend yield</w:t>
            </w:r>
          </w:p>
        </w:tc>
        <w:tc>
          <w:tcPr>
            <w:tcW w:w="4580" w:type="dxa"/>
            <w:vAlign w:val="bottom"/>
            <w:gridSpan w:val="6"/>
          </w:tcPr>
          <w:p>
            <w:pPr>
              <w:ind w:left="420"/>
              <w:spacing w:after="0"/>
              <w:rPr>
                <w:sz w:val="20"/>
                <w:szCs w:val="20"/>
                <w:color w:val="auto"/>
              </w:rPr>
            </w:pPr>
            <w:r>
              <w:rPr>
                <w:rFonts w:ascii="Courier New" w:cs="Courier New" w:eastAsia="Courier New" w:hAnsi="Courier New"/>
                <w:sz w:val="15"/>
                <w:szCs w:val="15"/>
                <w:color w:val="auto"/>
              </w:rPr>
              <w:t>2.8%, 3.6%, and 4.4% annually for 2001, 2000</w:t>
            </w:r>
          </w:p>
        </w:tc>
        <w:tc>
          <w:tcPr>
            <w:tcW w:w="1100" w:type="dxa"/>
            <w:vAlign w:val="bottom"/>
          </w:tcPr>
          <w:p>
            <w:pPr>
              <w:spacing w:after="0"/>
              <w:rPr>
                <w:sz w:val="15"/>
                <w:szCs w:val="15"/>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and 1999, respectively Volatility</w:t>
            </w:r>
          </w:p>
        </w:tc>
        <w:tc>
          <w:tcPr>
            <w:tcW w:w="3880" w:type="dxa"/>
            <w:vAlign w:val="bottom"/>
            <w:gridSpan w:val="5"/>
          </w:tcPr>
          <w:p>
            <w:pPr>
              <w:ind w:left="420"/>
              <w:spacing w:after="0"/>
              <w:rPr>
                <w:sz w:val="20"/>
                <w:szCs w:val="20"/>
                <w:color w:val="auto"/>
              </w:rPr>
            </w:pPr>
            <w:r>
              <w:rPr>
                <w:rFonts w:ascii="Courier New" w:cs="Courier New" w:eastAsia="Courier New" w:hAnsi="Courier New"/>
                <w:sz w:val="15"/>
                <w:szCs w:val="15"/>
                <w:color w:val="auto"/>
              </w:rPr>
              <w:t>40.7%, 39.5% and 39.5% for 2001, 2000</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and 1999, respectively</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3" w:lineRule="exact"/>
        <w:rPr>
          <w:sz w:val="20"/>
          <w:szCs w:val="20"/>
          <w:color w:val="auto"/>
        </w:rPr>
      </w:pPr>
    </w:p>
    <w:p>
      <w:pPr>
        <w:ind w:left="645" w:hanging="645"/>
        <w:spacing w:after="0"/>
        <w:tabs>
          <w:tab w:leader="none" w:pos="645" w:val="left"/>
        </w:tabs>
        <w:numPr>
          <w:ilvl w:val="0"/>
          <w:numId w:val="1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Segment Information</w:t>
      </w:r>
    </w:p>
    <w:p>
      <w:pPr>
        <w:spacing w:after="0" w:line="362" w:lineRule="exact"/>
        <w:rPr>
          <w:rFonts w:ascii="Courier New" w:cs="Courier New" w:eastAsia="Courier New" w:hAnsi="Courier New"/>
          <w:sz w:val="15"/>
          <w:szCs w:val="15"/>
          <w:b w:val="1"/>
          <w:bCs w:val="1"/>
          <w:color w:val="auto"/>
        </w:rPr>
      </w:pPr>
    </w:p>
    <w:p>
      <w:pPr>
        <w:ind w:left="645" w:right="414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w:t>
      </w:r>
    </w:p>
    <w:p>
      <w:pPr>
        <w:spacing w:after="0" w:line="18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13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413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4140"/>
        <w:spacing w:after="0" w:line="251" w:lineRule="auto"/>
        <w:rPr>
          <w:sz w:val="20"/>
          <w:szCs w:val="20"/>
          <w:color w:val="auto"/>
        </w:rPr>
      </w:pPr>
      <w:r>
        <w:rPr>
          <w:rFonts w:ascii="Courier New" w:cs="Courier New" w:eastAsia="Courier New" w:hAnsi="Courier New"/>
          <w:sz w:val="15"/>
          <w:szCs w:val="15"/>
          <w:color w:val="auto"/>
        </w:rPr>
        <w:t>is compromised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 NN-Arte business.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175" w:lineRule="exact"/>
        <w:rPr>
          <w:sz w:val="20"/>
          <w:szCs w:val="20"/>
          <w:color w:val="auto"/>
        </w:rPr>
      </w:pPr>
    </w:p>
    <w:p>
      <w:pPr>
        <w:ind w:left="645" w:right="4240"/>
        <w:spacing w:after="0" w:line="251"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2001, 2000 or 1999.</w:t>
      </w:r>
    </w:p>
    <w:p>
      <w:pPr>
        <w:sectPr>
          <w:pgSz w:w="11900" w:h="16838" w:orient="portrait"/>
          <w:cols w:equalWidth="0" w:num="1">
            <w:col w:w="11525"/>
          </w:cols>
          <w:pgMar w:left="235" w:top="14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5"/>
        <w:spacing w:after="0" w:line="251" w:lineRule="auto"/>
        <w:rPr>
          <w:sz w:val="20"/>
          <w:szCs w:val="20"/>
          <w:color w:val="auto"/>
        </w:rPr>
      </w:pPr>
      <w:r>
        <w:rPr>
          <w:rFonts w:ascii="Courier New" w:cs="Courier New" w:eastAsia="Courier New" w:hAnsi="Courier New"/>
          <w:sz w:val="15"/>
          <w:szCs w:val="15"/>
          <w:color w:val="auto"/>
        </w:rPr>
        <w:t>Net sales Interest expense Depreciation &amp; amortization Income tax expense Segment profit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40"/>
        <w:spacing w:after="0"/>
        <w:tabs>
          <w:tab w:leader="none" w:pos="4240" w:val="left"/>
          <w:tab w:leader="none" w:pos="7000" w:val="left"/>
        </w:tabs>
        <w:rPr>
          <w:sz w:val="20"/>
          <w:szCs w:val="20"/>
          <w:color w:val="auto"/>
        </w:rPr>
      </w:pPr>
      <w:r>
        <w:rPr>
          <w:rFonts w:ascii="Courier New" w:cs="Courier New" w:eastAsia="Courier New" w:hAnsi="Courier New"/>
          <w:sz w:val="15"/>
          <w:szCs w:val="15"/>
          <w:b w:val="1"/>
          <w:bCs w:val="1"/>
          <w:color w:val="auto"/>
        </w:rPr>
        <w:t>December 31, 2001</w:t>
      </w:r>
      <w:r>
        <w:rPr>
          <w:sz w:val="20"/>
          <w:szCs w:val="20"/>
          <w:color w:val="auto"/>
        </w:rPr>
        <w:tab/>
      </w:r>
      <w:r>
        <w:rPr>
          <w:rFonts w:ascii="Courier New" w:cs="Courier New" w:eastAsia="Courier New" w:hAnsi="Courier New"/>
          <w:sz w:val="15"/>
          <w:szCs w:val="15"/>
          <w:b w:val="1"/>
          <w:bCs w:val="1"/>
          <w:color w:val="auto"/>
        </w:rPr>
        <w:t>December 31, 2000</w:t>
      </w:r>
      <w:r>
        <w:rPr>
          <w:sz w:val="20"/>
          <w:szCs w:val="20"/>
          <w:color w:val="auto"/>
        </w:rPr>
        <w:tab/>
      </w:r>
      <w:r>
        <w:rPr>
          <w:rFonts w:ascii="Courier New" w:cs="Courier New" w:eastAsia="Courier New" w:hAnsi="Courier New"/>
          <w:sz w:val="15"/>
          <w:szCs w:val="15"/>
          <w:b w:val="1"/>
          <w:bCs w:val="1"/>
          <w:color w:val="auto"/>
        </w:rPr>
        <w:t>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 -------------------------------------------------------------</w:t>
      </w:r>
    </w:p>
    <w:p>
      <w:pPr>
        <w:spacing w:after="0" w:line="8" w:lineRule="exact"/>
        <w:rPr>
          <w:sz w:val="20"/>
          <w:szCs w:val="20"/>
          <w:color w:val="auto"/>
        </w:rPr>
      </w:pPr>
    </w:p>
    <w:p>
      <w:pPr>
        <w:spacing w:after="0"/>
        <w:tabs>
          <w:tab w:leader="none" w:pos="2300" w:val="left"/>
          <w:tab w:leader="none" w:pos="3300" w:val="left"/>
          <w:tab w:leader="none" w:pos="5620" w:val="left"/>
          <w:tab w:leader="none" w:pos="6620" w:val="left"/>
          <w:tab w:leader="none" w:pos="7920" w:val="left"/>
        </w:tabs>
        <w:rPr>
          <w:sz w:val="20"/>
          <w:szCs w:val="20"/>
          <w:color w:val="auto"/>
        </w:rPr>
      </w:pPr>
      <w:r>
        <w:rPr>
          <w:rFonts w:ascii="Courier New" w:cs="Courier New" w:eastAsia="Courier New" w:hAnsi="Courier New"/>
          <w:sz w:val="15"/>
          <w:szCs w:val="15"/>
          <w:b w:val="1"/>
          <w:bCs w:val="1"/>
          <w:color w:val="auto"/>
        </w:rPr>
        <w:t>DomesticBall Euroball</w:t>
      </w:r>
      <w:r>
        <w:rPr>
          <w:sz w:val="20"/>
          <w:szCs w:val="20"/>
          <w:color w:val="auto"/>
        </w:rPr>
        <w:tab/>
      </w:r>
      <w:r>
        <w:rPr>
          <w:rFonts w:ascii="Courier New" w:cs="Courier New" w:eastAsia="Courier New" w:hAnsi="Courier New"/>
          <w:sz w:val="15"/>
          <w:szCs w:val="15"/>
          <w:b w:val="1"/>
          <w:bCs w:val="1"/>
          <w:color w:val="auto"/>
        </w:rPr>
        <w:t>Plastics</w:t>
        <w:tab/>
        <w:t>DomesticBall Euroball</w:t>
      </w:r>
      <w:r>
        <w:rPr>
          <w:sz w:val="20"/>
          <w:szCs w:val="20"/>
          <w:color w:val="auto"/>
        </w:rPr>
        <w:tab/>
      </w:r>
      <w:r>
        <w:rPr>
          <w:rFonts w:ascii="Courier New" w:cs="Courier New" w:eastAsia="Courier New" w:hAnsi="Courier New"/>
          <w:sz w:val="15"/>
          <w:szCs w:val="15"/>
          <w:b w:val="1"/>
          <w:bCs w:val="1"/>
          <w:color w:val="auto"/>
        </w:rPr>
        <w:t>Plastics</w:t>
        <w:tab/>
        <w:t>DomesticBall</w:t>
        <w:tab/>
        <w:t>Plastics</w:t>
      </w:r>
    </w:p>
    <w:p>
      <w:pPr>
        <w:spacing w:after="0" w:line="8" w:lineRule="exact"/>
        <w:rPr>
          <w:sz w:val="20"/>
          <w:szCs w:val="20"/>
          <w:color w:val="auto"/>
        </w:rPr>
      </w:pPr>
    </w:p>
    <w:p>
      <w:pPr>
        <w:spacing w:after="0"/>
        <w:tabs>
          <w:tab w:leader="none" w:pos="3300" w:val="left"/>
          <w:tab w:leader="none" w:pos="6620" w:val="left"/>
        </w:tabs>
        <w:rPr>
          <w:sz w:val="20"/>
          <w:szCs w:val="20"/>
          <w:color w:val="auto"/>
        </w:rPr>
      </w:pPr>
      <w:r>
        <w:rPr>
          <w:rFonts w:ascii="Courier New" w:cs="Courier New" w:eastAsia="Courier New" w:hAnsi="Courier New"/>
          <w:sz w:val="15"/>
          <w:szCs w:val="15"/>
          <w:b w:val="1"/>
          <w:bCs w:val="1"/>
          <w:color w:val="auto"/>
        </w:rPr>
        <w:t>and Roller</w:t>
      </w:r>
      <w:r>
        <w:rPr>
          <w:sz w:val="20"/>
          <w:szCs w:val="20"/>
          <w:color w:val="auto"/>
        </w:rPr>
        <w:tab/>
      </w:r>
      <w:r>
        <w:rPr>
          <w:rFonts w:ascii="Courier New" w:cs="Courier New" w:eastAsia="Courier New" w:hAnsi="Courier New"/>
          <w:sz w:val="15"/>
          <w:szCs w:val="15"/>
          <w:b w:val="1"/>
          <w:bCs w:val="1"/>
          <w:color w:val="auto"/>
        </w:rPr>
        <w:t>and Roller</w:t>
      </w:r>
      <w:r>
        <w:rPr>
          <w:sz w:val="20"/>
          <w:szCs w:val="20"/>
          <w:color w:val="auto"/>
        </w:rPr>
        <w:tab/>
      </w:r>
      <w:r>
        <w:rPr>
          <w:rFonts w:ascii="Courier New" w:cs="Courier New" w:eastAsia="Courier New" w:hAnsi="Courier New"/>
          <w:sz w:val="15"/>
          <w:szCs w:val="15"/>
          <w:b w:val="1"/>
          <w:bCs w:val="1"/>
          <w:color w:val="auto"/>
        </w:rPr>
        <w:t>and 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w:t>
      </w:r>
    </w:p>
    <w:p>
      <w:pPr>
        <w:spacing w:after="0" w:line="8" w:lineRule="exact"/>
        <w:rPr>
          <w:sz w:val="20"/>
          <w:szCs w:val="20"/>
          <w:color w:val="auto"/>
        </w:rPr>
      </w:pPr>
    </w:p>
    <w:p>
      <w:pPr>
        <w:ind w:left="100"/>
        <w:spacing w:after="0"/>
        <w:tabs>
          <w:tab w:leader="none" w:pos="360" w:val="left"/>
          <w:tab w:leader="none" w:pos="1180" w:val="left"/>
          <w:tab w:leader="none" w:pos="1460" w:val="left"/>
          <w:tab w:leader="none" w:pos="2200" w:val="left"/>
          <w:tab w:leader="none" w:pos="2480" w:val="left"/>
          <w:tab w:leader="none" w:pos="3300" w:val="left"/>
          <w:tab w:leader="none" w:pos="4140" w:val="left"/>
          <w:tab w:leader="none" w:pos="4420" w:val="left"/>
          <w:tab w:leader="none" w:pos="5240" w:val="left"/>
          <w:tab w:leader="none" w:pos="5520" w:val="left"/>
          <w:tab w:leader="none" w:pos="6360" w:val="left"/>
          <w:tab w:leader="none" w:pos="6620" w:val="left"/>
          <w:tab w:leader="none" w:pos="7560" w:val="left"/>
          <w:tab w:leader="none" w:pos="7820" w:val="left"/>
        </w:tabs>
        <w:rPr>
          <w:sz w:val="20"/>
          <w:szCs w:val="20"/>
          <w:color w:val="auto"/>
        </w:rPr>
      </w:pPr>
      <w:r>
        <w:rPr>
          <w:rFonts w:ascii="Courier New" w:cs="Courier New" w:eastAsia="Courier New" w:hAnsi="Courier New"/>
          <w:sz w:val="15"/>
          <w:szCs w:val="15"/>
          <w:color w:val="auto"/>
        </w:rPr>
        <w:t>$</w:t>
        <w:tab/>
        <w:t>52,692</w:t>
      </w:r>
      <w:r>
        <w:rPr>
          <w:sz w:val="20"/>
          <w:szCs w:val="20"/>
          <w:color w:val="auto"/>
        </w:rPr>
        <w:tab/>
      </w:r>
      <w:r>
        <w:rPr>
          <w:rFonts w:ascii="Courier New" w:cs="Courier New" w:eastAsia="Courier New" w:hAnsi="Courier New"/>
          <w:sz w:val="15"/>
          <w:szCs w:val="15"/>
          <w:color w:val="auto"/>
        </w:rPr>
        <w:t>$</w:t>
        <w:tab/>
        <w:t>86,719</w:t>
        <w:tab/>
        <w:t>$</w:t>
        <w:tab/>
        <w:t>40,74$</w:t>
        <w:tab/>
        <w:t>67,637</w:t>
      </w:r>
      <w:r>
        <w:rPr>
          <w:sz w:val="20"/>
          <w:szCs w:val="20"/>
          <w:color w:val="auto"/>
        </w:rPr>
        <w:tab/>
      </w:r>
      <w:r>
        <w:rPr>
          <w:rFonts w:ascii="Courier New" w:cs="Courier New" w:eastAsia="Courier New" w:hAnsi="Courier New"/>
          <w:sz w:val="15"/>
          <w:szCs w:val="15"/>
          <w:color w:val="auto"/>
        </w:rPr>
        <w:t>$</w:t>
        <w:tab/>
        <w:t>33,988</w:t>
      </w:r>
      <w:r>
        <w:rPr>
          <w:sz w:val="20"/>
          <w:szCs w:val="20"/>
          <w:color w:val="auto"/>
        </w:rPr>
        <w:tab/>
      </w:r>
      <w:r>
        <w:rPr>
          <w:rFonts w:ascii="Courier New" w:cs="Courier New" w:eastAsia="Courier New" w:hAnsi="Courier New"/>
          <w:sz w:val="15"/>
          <w:szCs w:val="15"/>
          <w:color w:val="auto"/>
        </w:rPr>
        <w:t>$</w:t>
        <w:tab/>
        <w:t>30,504</w:t>
      </w:r>
      <w:r>
        <w:rPr>
          <w:sz w:val="20"/>
          <w:szCs w:val="20"/>
          <w:color w:val="auto"/>
        </w:rPr>
        <w:tab/>
      </w:r>
      <w:r>
        <w:rPr>
          <w:rFonts w:ascii="Courier New" w:cs="Courier New" w:eastAsia="Courier New" w:hAnsi="Courier New"/>
          <w:sz w:val="15"/>
          <w:szCs w:val="15"/>
          <w:color w:val="auto"/>
        </w:rPr>
        <w:t>$</w:t>
        <w:tab/>
        <w:t>67,736</w:t>
      </w:r>
      <w:r>
        <w:rPr>
          <w:sz w:val="20"/>
          <w:szCs w:val="20"/>
          <w:color w:val="auto"/>
        </w:rPr>
        <w:tab/>
      </w:r>
      <w:r>
        <w:rPr>
          <w:rFonts w:ascii="Courier New" w:cs="Courier New" w:eastAsia="Courier New" w:hAnsi="Courier New"/>
          <w:sz w:val="15"/>
          <w:szCs w:val="15"/>
          <w:color w:val="auto"/>
        </w:rPr>
        <w:t>$</w:t>
        <w:tab/>
        <w:t>17,558</w:t>
      </w:r>
    </w:p>
    <w:p>
      <w:pPr>
        <w:spacing w:after="0" w:line="8" w:lineRule="exact"/>
        <w:rPr>
          <w:sz w:val="20"/>
          <w:szCs w:val="20"/>
          <w:color w:val="auto"/>
        </w:rPr>
      </w:pPr>
    </w:p>
    <w:p>
      <w:pPr>
        <w:ind w:left="660"/>
        <w:spacing w:after="0"/>
        <w:tabs>
          <w:tab w:leader="none" w:pos="1560" w:val="left"/>
          <w:tab w:leader="none" w:pos="2560" w:val="left"/>
          <w:tab w:leader="none" w:pos="3580" w:val="left"/>
          <w:tab w:leader="none" w:pos="4700" w:val="left"/>
          <w:tab w:leader="none" w:pos="5800" w:val="left"/>
          <w:tab w:leader="none" w:pos="7000" w:val="left"/>
          <w:tab w:leader="none" w:pos="81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1,574</w:t>
      </w:r>
      <w:r>
        <w:rPr>
          <w:sz w:val="20"/>
          <w:szCs w:val="20"/>
          <w:color w:val="auto"/>
        </w:rPr>
        <w:tab/>
      </w:r>
      <w:r>
        <w:rPr>
          <w:rFonts w:ascii="Courier New" w:cs="Courier New" w:eastAsia="Courier New" w:hAnsi="Courier New"/>
          <w:sz w:val="15"/>
          <w:szCs w:val="15"/>
          <w:color w:val="auto"/>
        </w:rPr>
        <w:t>2,194</w:t>
      </w:r>
      <w:r>
        <w:rPr>
          <w:sz w:val="20"/>
          <w:szCs w:val="20"/>
          <w:color w:val="auto"/>
        </w:rPr>
        <w:tab/>
      </w:r>
      <w:r>
        <w:rPr>
          <w:rFonts w:ascii="Courier New" w:cs="Courier New" w:eastAsia="Courier New" w:hAnsi="Courier New"/>
          <w:sz w:val="15"/>
          <w:szCs w:val="15"/>
          <w:color w:val="auto"/>
        </w:rPr>
        <w:t>385</w:t>
      </w:r>
      <w:r>
        <w:rPr>
          <w:sz w:val="20"/>
          <w:szCs w:val="20"/>
          <w:color w:val="auto"/>
        </w:rPr>
        <w:tab/>
      </w:r>
      <w:r>
        <w:rPr>
          <w:rFonts w:ascii="Courier New" w:cs="Courier New" w:eastAsia="Courier New" w:hAnsi="Courier New"/>
          <w:sz w:val="15"/>
          <w:szCs w:val="15"/>
          <w:color w:val="auto"/>
        </w:rPr>
        <w:t>622</w:t>
      </w:r>
      <w:r>
        <w:rPr>
          <w:sz w:val="20"/>
          <w:szCs w:val="20"/>
          <w:color w:val="auto"/>
        </w:rPr>
        <w:tab/>
      </w:r>
      <w:r>
        <w:rPr>
          <w:rFonts w:ascii="Courier New" w:cs="Courier New" w:eastAsia="Courier New" w:hAnsi="Courier New"/>
          <w:sz w:val="15"/>
          <w:szCs w:val="15"/>
          <w:color w:val="auto"/>
        </w:rPr>
        <w:t>766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523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tabs>
          <w:tab w:leader="none" w:pos="1560" w:val="left"/>
          <w:tab w:leader="none" w:pos="2560" w:val="left"/>
          <w:tab w:leader="none" w:pos="3400" w:val="left"/>
          <w:tab w:leader="none" w:pos="4500" w:val="left"/>
          <w:tab w:leader="none" w:pos="5620" w:val="left"/>
          <w:tab w:leader="none" w:pos="6720" w:val="left"/>
          <w:tab w:leader="none" w:pos="7920" w:val="left"/>
        </w:tabs>
        <w:rPr>
          <w:sz w:val="20"/>
          <w:szCs w:val="20"/>
          <w:color w:val="auto"/>
        </w:rPr>
      </w:pPr>
      <w:r>
        <w:rPr>
          <w:rFonts w:ascii="Courier New" w:cs="Courier New" w:eastAsia="Courier New" w:hAnsi="Courier New"/>
          <w:sz w:val="15"/>
          <w:szCs w:val="15"/>
          <w:color w:val="auto"/>
        </w:rPr>
        <w:t>4,439</w:t>
      </w:r>
      <w:r>
        <w:rPr>
          <w:sz w:val="20"/>
          <w:szCs w:val="20"/>
          <w:color w:val="auto"/>
        </w:rPr>
        <w:tab/>
      </w:r>
      <w:r>
        <w:rPr>
          <w:rFonts w:ascii="Courier New" w:cs="Courier New" w:eastAsia="Courier New" w:hAnsi="Courier New"/>
          <w:sz w:val="15"/>
          <w:szCs w:val="15"/>
          <w:color w:val="auto"/>
        </w:rPr>
        <w:t>5,426</w:t>
      </w:r>
      <w:r>
        <w:rPr>
          <w:sz w:val="20"/>
          <w:szCs w:val="20"/>
          <w:color w:val="auto"/>
        </w:rPr>
        <w:tab/>
      </w:r>
      <w:r>
        <w:rPr>
          <w:rFonts w:ascii="Courier New" w:cs="Courier New" w:eastAsia="Courier New" w:hAnsi="Courier New"/>
          <w:sz w:val="15"/>
          <w:szCs w:val="15"/>
          <w:color w:val="auto"/>
        </w:rPr>
        <w:t>3 475</w:t>
      </w:r>
      <w:r>
        <w:rPr>
          <w:sz w:val="20"/>
          <w:szCs w:val="20"/>
          <w:color w:val="auto"/>
        </w:rPr>
        <w:tab/>
      </w:r>
      <w:r>
        <w:rPr>
          <w:rFonts w:ascii="Courier New" w:cs="Courier New" w:eastAsia="Courier New" w:hAnsi="Courier New"/>
          <w:sz w:val="15"/>
          <w:szCs w:val="15"/>
          <w:color w:val="auto"/>
        </w:rPr>
        <w:t>4,796</w:t>
      </w:r>
      <w:r>
        <w:rPr>
          <w:sz w:val="20"/>
          <w:szCs w:val="20"/>
          <w:color w:val="auto"/>
        </w:rPr>
        <w:tab/>
      </w:r>
      <w:r>
        <w:rPr>
          <w:rFonts w:ascii="Courier New" w:cs="Courier New" w:eastAsia="Courier New" w:hAnsi="Courier New"/>
          <w:sz w:val="15"/>
          <w:szCs w:val="15"/>
          <w:color w:val="auto"/>
        </w:rPr>
        <w:t>2,123</w:t>
      </w:r>
      <w:r>
        <w:rPr>
          <w:sz w:val="20"/>
          <w:szCs w:val="20"/>
          <w:color w:val="auto"/>
        </w:rPr>
        <w:tab/>
      </w:r>
      <w:r>
        <w:rPr>
          <w:rFonts w:ascii="Courier New" w:cs="Courier New" w:eastAsia="Courier New" w:hAnsi="Courier New"/>
          <w:sz w:val="15"/>
          <w:szCs w:val="15"/>
          <w:color w:val="auto"/>
        </w:rPr>
        <w:t>2,246</w:t>
      </w:r>
      <w:r>
        <w:rPr>
          <w:sz w:val="20"/>
          <w:szCs w:val="20"/>
          <w:color w:val="auto"/>
        </w:rPr>
        <w:tab/>
      </w:r>
      <w:r>
        <w:rPr>
          <w:rFonts w:ascii="Courier New" w:cs="Courier New" w:eastAsia="Courier New" w:hAnsi="Courier New"/>
          <w:sz w:val="15"/>
          <w:szCs w:val="15"/>
          <w:color w:val="auto"/>
        </w:rPr>
        <w:t>4,932</w:t>
      </w:r>
      <w:r>
        <w:rPr>
          <w:sz w:val="20"/>
          <w:szCs w:val="20"/>
          <w:color w:val="auto"/>
        </w:rPr>
        <w:tab/>
      </w:r>
      <w:r>
        <w:rPr>
          <w:rFonts w:ascii="Courier New" w:cs="Courier New" w:eastAsia="Courier New" w:hAnsi="Courier New"/>
          <w:sz w:val="15"/>
          <w:szCs w:val="15"/>
          <w:color w:val="auto"/>
        </w:rPr>
        <w:t>1,199</w:t>
      </w:r>
    </w:p>
    <w:p>
      <w:pPr>
        <w:spacing w:after="0" w:line="8" w:lineRule="exact"/>
        <w:rPr>
          <w:sz w:val="20"/>
          <w:szCs w:val="20"/>
          <w:color w:val="auto"/>
        </w:rPr>
      </w:pPr>
    </w:p>
    <w:p>
      <w:pPr>
        <w:ind w:left="460"/>
        <w:spacing w:after="0"/>
        <w:tabs>
          <w:tab w:leader="none" w:pos="1560" w:val="left"/>
          <w:tab w:leader="none" w:pos="2660" w:val="left"/>
          <w:tab w:leader="none" w:pos="3400" w:val="left"/>
          <w:tab w:leader="none" w:pos="4500" w:val="left"/>
          <w:tab w:leader="none" w:pos="5800" w:val="left"/>
          <w:tab w:leader="none" w:pos="6720" w:val="left"/>
          <w:tab w:leader="none" w:pos="8100" w:val="left"/>
        </w:tabs>
        <w:rPr>
          <w:sz w:val="20"/>
          <w:szCs w:val="20"/>
          <w:color w:val="auto"/>
        </w:rPr>
      </w:pPr>
      <w:r>
        <w:rPr>
          <w:rFonts w:ascii="Courier New" w:cs="Courier New" w:eastAsia="Courier New" w:hAnsi="Courier New"/>
          <w:sz w:val="15"/>
          <w:szCs w:val="15"/>
          <w:color w:val="auto"/>
        </w:rPr>
        <w:t>2,435</w:t>
      </w:r>
      <w:r>
        <w:rPr>
          <w:sz w:val="20"/>
          <w:szCs w:val="20"/>
          <w:color w:val="auto"/>
        </w:rPr>
        <w:tab/>
      </w:r>
      <w:r>
        <w:rPr>
          <w:rFonts w:ascii="Courier New" w:cs="Courier New" w:eastAsia="Courier New" w:hAnsi="Courier New"/>
          <w:sz w:val="15"/>
          <w:szCs w:val="15"/>
          <w:color w:val="auto"/>
        </w:rPr>
        <w:t>2,474</w:t>
      </w:r>
      <w:r>
        <w:rPr>
          <w:sz w:val="20"/>
          <w:szCs w:val="20"/>
          <w:color w:val="auto"/>
        </w:rPr>
        <w:tab/>
      </w: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5"/>
          <w:szCs w:val="15"/>
          <w:color w:val="auto"/>
        </w:rPr>
        <w:t>4,284</w:t>
      </w:r>
      <w:r>
        <w:rPr>
          <w:sz w:val="20"/>
          <w:szCs w:val="20"/>
          <w:color w:val="auto"/>
        </w:rPr>
        <w:tab/>
      </w:r>
      <w:r>
        <w:rPr>
          <w:rFonts w:ascii="Courier New" w:cs="Courier New" w:eastAsia="Courier New" w:hAnsi="Courier New"/>
          <w:sz w:val="15"/>
          <w:szCs w:val="15"/>
          <w:color w:val="auto"/>
        </w:rPr>
        <w:t>1,408</w:t>
      </w:r>
      <w:r>
        <w:rPr>
          <w:sz w:val="20"/>
          <w:szCs w:val="20"/>
          <w:color w:val="auto"/>
        </w:rPr>
        <w:tab/>
      </w:r>
      <w:r>
        <w:rPr>
          <w:rFonts w:ascii="Courier New" w:cs="Courier New" w:eastAsia="Courier New" w:hAnsi="Courier New"/>
          <w:sz w:val="15"/>
          <w:szCs w:val="15"/>
          <w:color w:val="auto"/>
        </w:rPr>
        <w:t>267</w:t>
      </w:r>
      <w:r>
        <w:rPr>
          <w:sz w:val="20"/>
          <w:szCs w:val="20"/>
          <w:color w:val="auto"/>
        </w:rPr>
        <w:tab/>
      </w:r>
      <w:r>
        <w:rPr>
          <w:rFonts w:ascii="Courier New" w:cs="Courier New" w:eastAsia="Courier New" w:hAnsi="Courier New"/>
          <w:sz w:val="15"/>
          <w:szCs w:val="15"/>
          <w:color w:val="auto"/>
        </w:rPr>
        <w:t>3,816</w:t>
      </w:r>
      <w:r>
        <w:rPr>
          <w:sz w:val="20"/>
          <w:szCs w:val="20"/>
          <w:color w:val="auto"/>
        </w:rPr>
        <w:tab/>
      </w:r>
      <w:r>
        <w:rPr>
          <w:rFonts w:ascii="Courier New" w:cs="Courier New" w:eastAsia="Courier New" w:hAnsi="Courier New"/>
          <w:sz w:val="15"/>
          <w:szCs w:val="15"/>
          <w:color w:val="auto"/>
        </w:rPr>
        <w:t>244</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2305" w:space="180"/>
            <w:col w:w="9040"/>
          </w:cols>
          <w:pgMar w:left="235" w:top="142" w:right="139" w:bottom="0" w:gutter="0" w:footer="0" w:header="0"/>
          <w:type w:val="continuous"/>
        </w:sectPr>
      </w:pPr>
    </w:p>
    <w:bookmarkStart w:id="33" w:name="page34"/>
    <w:bookmarkEnd w:id="33"/>
    <w:tbl>
      <w:tblPr>
        <w:tblLayout w:type="fixed"/>
        <w:tblInd w:w="465" w:type="dxa"/>
        <w:tblCellMar>
          <w:top w:w="0" w:type="dxa"/>
          <w:left w:w="0" w:type="dxa"/>
          <w:bottom w:w="0" w:type="dxa"/>
          <w:right w:w="0" w:type="dxa"/>
        </w:tblCellMar>
      </w:tblPr>
      <w:tr>
        <w:trPr>
          <w:trHeight w:val="172"/>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4,498</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1,962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(1 798)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8,314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898</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7,293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7"/>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Segment assets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62,978</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68,288</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55,721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62,574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91,392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33,842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58,557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31,811</w:t>
            </w:r>
          </w:p>
        </w:tc>
      </w:tr>
      <w:tr>
        <w:trPr>
          <w:trHeight w:val="177"/>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Expenditures for</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long- lived</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3,537</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1 660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9,319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3,737</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4,854</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1,723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r>
        <w:trPr>
          <w:trHeight w:val="355"/>
        </w:trPr>
        <w:tc>
          <w:tcPr>
            <w:tcW w:w="706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Sales to external customers and long-lived assets utilized by the Company</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53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were concentrated in the following geographical regions:</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2"/>
          </w:tcPr>
          <w:p>
            <w:pPr>
              <w:jc w:val="right"/>
              <w:ind w:right="523"/>
              <w:spacing w:after="0"/>
              <w:rPr>
                <w:sz w:val="20"/>
                <w:szCs w:val="20"/>
                <w:color w:val="auto"/>
              </w:rPr>
            </w:pPr>
            <w:r>
              <w:rPr>
                <w:rFonts w:ascii="Courier New" w:cs="Courier New" w:eastAsia="Courier New" w:hAnsi="Courier New"/>
                <w:sz w:val="15"/>
                <w:szCs w:val="15"/>
                <w:b w:val="1"/>
                <w:bCs w:val="1"/>
                <w:color w:val="auto"/>
              </w:rPr>
              <w:t>December 31, 2001</w:t>
            </w:r>
          </w:p>
        </w:tc>
        <w:tc>
          <w:tcPr>
            <w:tcW w:w="2580" w:type="dxa"/>
            <w:vAlign w:val="bottom"/>
            <w:gridSpan w:val="3"/>
          </w:tcPr>
          <w:p>
            <w:pPr>
              <w:jc w:val="right"/>
              <w:ind w:right="343"/>
              <w:spacing w:after="0"/>
              <w:rPr>
                <w:sz w:val="20"/>
                <w:szCs w:val="20"/>
                <w:color w:val="auto"/>
              </w:rPr>
            </w:pPr>
            <w:r>
              <w:rPr>
                <w:rFonts w:ascii="Courier New" w:cs="Courier New" w:eastAsia="Courier New" w:hAnsi="Courier New"/>
                <w:sz w:val="15"/>
                <w:szCs w:val="15"/>
                <w:b w:val="1"/>
                <w:bCs w:val="1"/>
                <w:color w:val="auto"/>
              </w:rPr>
              <w:t>December 31, 2000</w:t>
            </w:r>
          </w:p>
        </w:tc>
        <w:tc>
          <w:tcPr>
            <w:tcW w:w="2620" w:type="dxa"/>
            <w:vAlign w:val="bottom"/>
            <w:gridSpan w:val="2"/>
          </w:tcPr>
          <w:p>
            <w:pPr>
              <w:jc w:val="right"/>
              <w:ind w:right="563"/>
              <w:spacing w:after="0"/>
              <w:rPr>
                <w:sz w:val="20"/>
                <w:szCs w:val="20"/>
                <w:color w:val="auto"/>
              </w:rPr>
            </w:pPr>
            <w:r>
              <w:rPr>
                <w:rFonts w:ascii="Courier New" w:cs="Courier New" w:eastAsia="Courier New" w:hAnsi="Courier New"/>
                <w:sz w:val="15"/>
                <w:szCs w:val="15"/>
                <w:b w:val="1"/>
                <w:bCs w:val="1"/>
                <w:color w:val="auto"/>
              </w:rPr>
              <w:t>December 31, 1999</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7980" w:type="dxa"/>
            <w:vAlign w:val="bottom"/>
            <w:gridSpan w:val="8"/>
          </w:tcPr>
          <w:p>
            <w:pPr>
              <w:jc w:val="right"/>
              <w:ind w:right="103"/>
              <w:spacing w:after="0"/>
              <w:rPr>
                <w:sz w:val="20"/>
                <w:szCs w:val="20"/>
                <w:color w:val="auto"/>
              </w:rPr>
            </w:pPr>
            <w:r>
              <w:rPr>
                <w:rFonts w:ascii="Courier New" w:cs="Courier New" w:eastAsia="Courier New" w:hAnsi="Courier New"/>
                <w:sz w:val="15"/>
                <w:szCs w:val="15"/>
                <w:b w:val="1"/>
                <w:bCs w:val="1"/>
                <w:color w:val="auto"/>
              </w:rPr>
              <w:t>------------------------------- -------------------------- -------------------------</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jc w:val="right"/>
              <w:ind w:right="263"/>
              <w:spacing w:after="0"/>
              <w:rPr>
                <w:sz w:val="20"/>
                <w:szCs w:val="20"/>
                <w:color w:val="auto"/>
              </w:rPr>
            </w:pPr>
            <w:r>
              <w:rPr>
                <w:rFonts w:ascii="Courier New" w:cs="Courier New" w:eastAsia="Courier New" w:hAnsi="Courier New"/>
                <w:sz w:val="15"/>
                <w:szCs w:val="15"/>
                <w:b w:val="1"/>
                <w:bCs w:val="1"/>
                <w:color w:val="auto"/>
              </w:rPr>
              <w:t>Long-lived</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b w:val="1"/>
                <w:bCs w:val="1"/>
                <w:color w:val="auto"/>
              </w:rPr>
              <w:t>Long-lived</w:t>
            </w:r>
          </w:p>
        </w:tc>
        <w:tc>
          <w:tcPr>
            <w:tcW w:w="114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Long-lived</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43"/>
              <w:spacing w:after="0"/>
              <w:rPr>
                <w:sz w:val="20"/>
                <w:szCs w:val="20"/>
                <w:color w:val="auto"/>
              </w:rPr>
            </w:pPr>
            <w:r>
              <w:rPr>
                <w:rFonts w:ascii="Courier New" w:cs="Courier New" w:eastAsia="Courier New" w:hAnsi="Courier New"/>
                <w:sz w:val="15"/>
                <w:szCs w:val="15"/>
                <w:b w:val="1"/>
                <w:bCs w:val="1"/>
                <w:color w:val="auto"/>
                <w:w w:val="97"/>
              </w:rPr>
              <w:t>Sales</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b w:val="1"/>
                <w:bCs w:val="1"/>
                <w:color w:val="auto"/>
              </w:rPr>
              <w:t>assets</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b w:val="1"/>
                <w:bCs w:val="1"/>
                <w:color w:val="auto"/>
              </w:rPr>
              <w:t>Sales</w:t>
            </w:r>
          </w:p>
        </w:tc>
        <w:tc>
          <w:tcPr>
            <w:tcW w:w="560" w:type="dxa"/>
            <w:vAlign w:val="bottom"/>
          </w:tcPr>
          <w:p>
            <w:pPr>
              <w:spacing w:after="0"/>
              <w:rPr>
                <w:sz w:val="15"/>
                <w:szCs w:val="15"/>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b w:val="1"/>
                <w:bCs w:val="1"/>
                <w:color w:val="auto"/>
              </w:rPr>
              <w:t>assets</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Sales</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assets</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b w:val="1"/>
                <w:bCs w:val="1"/>
                <w:color w:val="auto"/>
              </w:rPr>
              <w:t>-------------</w:t>
            </w:r>
          </w:p>
        </w:tc>
        <w:tc>
          <w:tcPr>
            <w:tcW w:w="2300" w:type="dxa"/>
            <w:vAlign w:val="bottom"/>
            <w:gridSpan w:val="2"/>
          </w:tcPr>
          <w:p>
            <w:pPr>
              <w:jc w:val="right"/>
              <w:ind w:right="183"/>
              <w:spacing w:after="0"/>
              <w:rPr>
                <w:sz w:val="20"/>
                <w:szCs w:val="20"/>
                <w:color w:val="auto"/>
              </w:rPr>
            </w:pPr>
            <w:r>
              <w:rPr>
                <w:rFonts w:ascii="Courier New" w:cs="Courier New" w:eastAsia="Courier New" w:hAnsi="Courier New"/>
                <w:sz w:val="15"/>
                <w:szCs w:val="15"/>
                <w:b w:val="1"/>
                <w:bCs w:val="1"/>
                <w:color w:val="auto"/>
              </w:rPr>
              <w:t>------------- --------</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59,813</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$ 38,900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$ 62,094</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$ 44,137</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$ 52,907</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$ 36,842</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88,649</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42,799</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46,697</w:t>
            </w:r>
          </w:p>
        </w:tc>
        <w:tc>
          <w:tcPr>
            <w:tcW w:w="560" w:type="dxa"/>
            <w:vAlign w:val="bottom"/>
          </w:tcPr>
          <w:p>
            <w:pPr>
              <w:spacing w:after="0"/>
              <w:rPr>
                <w:sz w:val="24"/>
                <w:szCs w:val="24"/>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46,216</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21,064</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6,610</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8,278</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6,449</w:t>
            </w:r>
          </w:p>
        </w:tc>
        <w:tc>
          <w:tcPr>
            <w:tcW w:w="56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5,918</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Latin/S.America</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8,157</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1,071</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6,100</w:t>
            </w:r>
          </w:p>
        </w:tc>
        <w:tc>
          <w:tcPr>
            <w:tcW w:w="560" w:type="dxa"/>
            <w:vAlign w:val="bottom"/>
          </w:tcPr>
          <w:p>
            <w:pPr>
              <w:spacing w:after="0"/>
              <w:rPr>
                <w:sz w:val="24"/>
                <w:szCs w:val="24"/>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1,340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2,903</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15,254</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10,789</w:t>
            </w:r>
          </w:p>
        </w:tc>
        <w:tc>
          <w:tcPr>
            <w:tcW w:w="56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2,502</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All foreign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countries</w:t>
            </w:r>
          </w:p>
        </w:tc>
        <w:tc>
          <w:tcPr>
            <w:tcW w:w="3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120,338</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43,870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70,035</w:t>
            </w:r>
          </w:p>
        </w:tc>
        <w:tc>
          <w:tcPr>
            <w:tcW w:w="560" w:type="dxa"/>
            <w:vAlign w:val="bottom"/>
          </w:tcPr>
          <w:p>
            <w:pPr>
              <w:spacing w:after="0"/>
              <w:rPr>
                <w:sz w:val="15"/>
                <w:szCs w:val="15"/>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47,556</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32,387</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6,610</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180,151</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$ 82,770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$132,129</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$ 91,693</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$ 85,294</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$ 43,452</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bl>
    <w:p>
      <w:pPr>
        <w:spacing w:after="0" w:line="183" w:lineRule="exact"/>
        <w:rPr>
          <w:sz w:val="20"/>
          <w:szCs w:val="20"/>
          <w:color w:val="auto"/>
        </w:rPr>
      </w:pPr>
    </w:p>
    <w:p>
      <w:pPr>
        <w:jc w:val="both"/>
        <w:ind w:left="645" w:right="3600"/>
        <w:spacing w:after="0" w:line="252" w:lineRule="auto"/>
        <w:rPr>
          <w:sz w:val="20"/>
          <w:szCs w:val="20"/>
          <w:color w:val="auto"/>
        </w:rPr>
      </w:pPr>
      <w:r>
        <w:rPr>
          <w:rFonts w:ascii="Courier New" w:cs="Courier New" w:eastAsia="Courier New" w:hAnsi="Courier New"/>
          <w:sz w:val="15"/>
          <w:szCs w:val="15"/>
          <w:color w:val="auto"/>
        </w:rPr>
        <w:t>Two customers comprised 49%, 49% and 46% of the Domestic Ball and Roller Segments sales during the years ended December 31, 2001, 2000, and 1999, respectively (see Note 18). Two customers comprised 76% of the</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2891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49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9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3500"/>
        <w:spacing w:after="0" w:line="251" w:lineRule="auto"/>
        <w:rPr>
          <w:sz w:val="20"/>
          <w:szCs w:val="20"/>
          <w:color w:val="auto"/>
        </w:rPr>
      </w:pPr>
      <w:r>
        <w:rPr>
          <w:rFonts w:ascii="Courier New" w:cs="Courier New" w:eastAsia="Courier New" w:hAnsi="Courier New"/>
          <w:sz w:val="15"/>
          <w:szCs w:val="15"/>
          <w:color w:val="auto"/>
        </w:rPr>
        <w:t>Euroball Segments sales during the year ended December 31, 2001. One customer comprised 5% and 20% of IMC's sales for the years ended December 31, 2001 and 2000, respectively. Accounts receivable concentrations as of December 31, 2001 are generally reflective of sales concentrations during 2001.</w:t>
      </w:r>
    </w:p>
    <w:p>
      <w:pPr>
        <w:spacing w:after="0" w:line="176" w:lineRule="exact"/>
        <w:rPr>
          <w:sz w:val="20"/>
          <w:szCs w:val="20"/>
          <w:color w:val="auto"/>
        </w:rPr>
      </w:pPr>
    </w:p>
    <w:p>
      <w:pPr>
        <w:ind w:left="745" w:hanging="745"/>
        <w:spacing w:after="0"/>
        <w:tabs>
          <w:tab w:leader="none" w:pos="745" w:val="left"/>
        </w:tabs>
        <w:numPr>
          <w:ilvl w:val="0"/>
          <w:numId w:val="1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Income Taxes</w:t>
      </w:r>
    </w:p>
    <w:p>
      <w:pPr>
        <w:spacing w:after="0" w:line="184" w:lineRule="exact"/>
        <w:rPr>
          <w:rFonts w:ascii="Courier New" w:cs="Courier New" w:eastAsia="Courier New" w:hAnsi="Courier New"/>
          <w:sz w:val="15"/>
          <w:szCs w:val="15"/>
          <w:b w:val="1"/>
          <w:bCs w:val="1"/>
          <w:color w:val="auto"/>
        </w:rPr>
      </w:pPr>
    </w:p>
    <w:p>
      <w:pPr>
        <w:ind w:left="745" w:right="388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Total income taxes (benefits) for the years ended December 31, 2001, 2000, and 1999 are allocated as follows:</w:t>
      </w:r>
    </w:p>
    <w:p>
      <w:pPr>
        <w:spacing w:after="0" w:line="1"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0" w:type="dxa"/>
            <w:vAlign w:val="bottom"/>
            <w:gridSpan w:val="3"/>
          </w:tcPr>
          <w:p>
            <w:pPr>
              <w:jc w:val="right"/>
              <w:ind w:right="763"/>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820" w:type="dxa"/>
            <w:vAlign w:val="bottom"/>
          </w:tcPr>
          <w:p>
            <w:pPr>
              <w:spacing w:after="0"/>
              <w:rPr>
                <w:sz w:val="14"/>
                <w:szCs w:val="14"/>
                <w:color w:val="auto"/>
              </w:rPr>
            </w:pPr>
          </w:p>
        </w:tc>
      </w:tr>
      <w:tr>
        <w:trPr>
          <w:trHeight w:val="177"/>
        </w:trPr>
        <w:tc>
          <w:tcPr>
            <w:tcW w:w="3880" w:type="dxa"/>
            <w:vAlign w:val="bottom"/>
          </w:tcPr>
          <w:p>
            <w:pPr>
              <w:spacing w:after="0"/>
              <w:rPr>
                <w:sz w:val="15"/>
                <w:szCs w:val="15"/>
                <w:color w:val="auto"/>
              </w:rPr>
            </w:pPr>
          </w:p>
        </w:tc>
        <w:tc>
          <w:tcPr>
            <w:tcW w:w="2260" w:type="dxa"/>
            <w:vAlign w:val="bottom"/>
            <w:gridSpan w:val="2"/>
          </w:tcPr>
          <w:p>
            <w:pPr>
              <w:jc w:val="right"/>
              <w:ind w:right="723"/>
              <w:spacing w:after="0"/>
              <w:rPr>
                <w:sz w:val="20"/>
                <w:szCs w:val="20"/>
                <w:color w:val="auto"/>
              </w:rPr>
            </w:pPr>
            <w:r>
              <w:rPr>
                <w:rFonts w:ascii="Courier New" w:cs="Courier New" w:eastAsia="Courier New" w:hAnsi="Courier New"/>
                <w:sz w:val="15"/>
                <w:szCs w:val="15"/>
                <w:b w:val="1"/>
                <w:bCs w:val="1"/>
                <w:color w:val="auto"/>
              </w:rPr>
              <w:t>2001</w:t>
            </w:r>
          </w:p>
        </w:tc>
        <w:tc>
          <w:tcPr>
            <w:tcW w:w="960" w:type="dxa"/>
            <w:vAlign w:val="bottom"/>
          </w:tcPr>
          <w:p>
            <w:pPr>
              <w:spacing w:after="0"/>
              <w:rPr>
                <w:sz w:val="15"/>
                <w:szCs w:val="15"/>
                <w:color w:val="auto"/>
              </w:rPr>
            </w:pPr>
          </w:p>
        </w:tc>
        <w:tc>
          <w:tcPr>
            <w:tcW w:w="1020" w:type="dxa"/>
            <w:vAlign w:val="bottom"/>
          </w:tcPr>
          <w:p>
            <w:pPr>
              <w:jc w:val="right"/>
              <w:ind w:right="583"/>
              <w:spacing w:after="0"/>
              <w:rPr>
                <w:sz w:val="20"/>
                <w:szCs w:val="20"/>
                <w:color w:val="auto"/>
              </w:rPr>
            </w:pPr>
            <w:r>
              <w:rPr>
                <w:rFonts w:ascii="Courier New" w:cs="Courier New" w:eastAsia="Courier New" w:hAnsi="Courier New"/>
                <w:sz w:val="15"/>
                <w:szCs w:val="15"/>
                <w:b w:val="1"/>
                <w:bCs w:val="1"/>
                <w:color w:val="auto"/>
                <w:w w:val="94"/>
              </w:rPr>
              <w:t>2000</w:t>
            </w:r>
          </w:p>
        </w:tc>
        <w:tc>
          <w:tcPr>
            <w:tcW w:w="102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38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980" w:type="dxa"/>
            <w:vAlign w:val="bottom"/>
            <w:gridSpan w:val="2"/>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Income from continuing operations: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4,094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5,959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4,060</w:t>
            </w:r>
          </w:p>
        </w:tc>
      </w:tr>
      <w:tr>
        <w:trPr>
          <w:trHeight w:val="177"/>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460"/>
              <w:spacing w:after="0"/>
              <w:rPr>
                <w:sz w:val="20"/>
                <w:szCs w:val="20"/>
                <w:color w:val="auto"/>
              </w:rPr>
            </w:pPr>
            <w:r>
              <w:rPr>
                <w:rFonts w:ascii="Courier New" w:cs="Courier New" w:eastAsia="Courier New" w:hAnsi="Courier New"/>
                <w:sz w:val="15"/>
                <w:szCs w:val="15"/>
                <w:color w:val="auto"/>
              </w:rPr>
              <w:t>principle</w:t>
            </w:r>
          </w:p>
        </w:tc>
        <w:tc>
          <w:tcPr>
            <w:tcW w:w="128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w:t>
            </w:r>
          </w:p>
        </w:tc>
        <w:tc>
          <w:tcPr>
            <w:tcW w:w="96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Accumulated other comprehensive income</w:t>
            </w:r>
          </w:p>
        </w:tc>
        <w:tc>
          <w:tcPr>
            <w:tcW w:w="128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8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3,951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5,959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4,060</w:t>
            </w:r>
          </w:p>
        </w:tc>
      </w:tr>
      <w:tr>
        <w:trPr>
          <w:trHeight w:val="177"/>
        </w:trPr>
        <w:tc>
          <w:tcPr>
            <w:tcW w:w="38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Income tax expense attributable to income from continuing operations</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consists of:</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5"/>
        </w:trPr>
        <w:tc>
          <w:tcPr>
            <w:tcW w:w="3880" w:type="dxa"/>
            <w:vAlign w:val="bottom"/>
          </w:tcPr>
          <w:p>
            <w:pPr>
              <w:spacing w:after="0"/>
              <w:rPr>
                <w:sz w:val="24"/>
                <w:szCs w:val="24"/>
                <w:color w:val="auto"/>
              </w:rPr>
            </w:pPr>
          </w:p>
        </w:tc>
        <w:tc>
          <w:tcPr>
            <w:tcW w:w="3220" w:type="dxa"/>
            <w:vAlign w:val="bottom"/>
            <w:gridSpan w:val="3"/>
          </w:tcPr>
          <w:p>
            <w:pPr>
              <w:jc w:val="right"/>
              <w:ind w:right="483"/>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rPr>
              <w:t>2001</w:t>
            </w: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2000</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rPr>
              <w:t>----</w:t>
            </w: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U.S. Federal</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$ 1,025</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$ 3,496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$ 3,960</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146</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452</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469</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Non-U.S</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2,490</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826</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3,661</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4,774</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4,429</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U.S. Federal</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557</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Non-U.S</w:t>
            </w:r>
          </w:p>
        </w:tc>
        <w:tc>
          <w:tcPr>
            <w:tcW w:w="12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626</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5"/>
        </w:trPr>
        <w:tc>
          <w:tcPr>
            <w:tcW w:w="3880" w:type="dxa"/>
            <w:vAlign w:val="bottom"/>
          </w:tcPr>
          <w:p>
            <w:pPr>
              <w:ind w:left="1280"/>
              <w:spacing w:after="0"/>
              <w:rPr>
                <w:sz w:val="20"/>
                <w:szCs w:val="20"/>
                <w:color w:val="auto"/>
              </w:rPr>
            </w:pPr>
            <w:r>
              <w:rPr>
                <w:rFonts w:ascii="Courier New" w:cs="Courier New" w:eastAsia="Courier New" w:hAnsi="Courier New"/>
                <w:sz w:val="15"/>
                <w:szCs w:val="15"/>
                <w:color w:val="auto"/>
              </w:rPr>
              <w:t>Total deferred expense</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433</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88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8"/>
              </w:rPr>
              <w:t>$ 4,094</w:t>
            </w:r>
          </w:p>
        </w:tc>
        <w:tc>
          <w:tcPr>
            <w:tcW w:w="9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8"/>
              </w:rPr>
              <w:t>$ 5,959</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$ 4,060</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ectPr>
          <w:pgSz w:w="11900" w:h="16838" w:orient="portrait"/>
          <w:cols w:equalWidth="0" w:num="1">
            <w:col w:w="10885"/>
          </w:cols>
          <w:pgMar w:left="235" w:top="142" w:right="779" w:bottom="0" w:gutter="0" w:footer="0" w:header="0"/>
        </w:sectPr>
      </w:pPr>
    </w:p>
    <w:bookmarkStart w:id="34" w:name="page35"/>
    <w:bookmarkEnd w:id="34"/>
    <w:p>
      <w:pPr>
        <w:jc w:val="both"/>
        <w:ind w:left="4340"/>
        <w:spacing w:after="0"/>
        <w:tabs>
          <w:tab w:leader="none" w:pos="5600" w:val="left"/>
          <w:tab w:leader="none" w:pos="6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6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0" w:right="2839"/>
        <w:spacing w:after="0" w:line="252" w:lineRule="auto"/>
        <w:rPr>
          <w:sz w:val="20"/>
          <w:szCs w:val="20"/>
          <w:color w:val="auto"/>
        </w:rPr>
      </w:pPr>
      <w:r>
        <w:rPr>
          <w:rFonts w:ascii="Courier New" w:cs="Courier New" w:eastAsia="Courier New" w:hAnsi="Courier New"/>
          <w:sz w:val="15"/>
          <w:szCs w:val="15"/>
          <w:color w:val="auto"/>
        </w:rPr>
        <w:t>A reconciliation of taxes based on the U.S. federal statutory rate of 34% for the years ended December 31, 2001, 2000 and 1999 is summarized as follows:</w:t>
      </w: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74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560" w:type="dxa"/>
            <w:vAlign w:val="bottom"/>
          </w:tcPr>
          <w:p>
            <w:pPr>
              <w:jc w:val="right"/>
              <w:ind w:right="643"/>
              <w:spacing w:after="0"/>
              <w:rPr>
                <w:sz w:val="20"/>
                <w:szCs w:val="20"/>
                <w:color w:val="auto"/>
              </w:rPr>
            </w:pPr>
            <w:r>
              <w:rPr>
                <w:rFonts w:ascii="Courier New" w:cs="Courier New" w:eastAsia="Courier New" w:hAnsi="Courier New"/>
                <w:sz w:val="15"/>
                <w:szCs w:val="15"/>
                <w:b w:val="1"/>
                <w:bCs w:val="1"/>
                <w:color w:val="auto"/>
              </w:rPr>
              <w:t>2000</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1560" w:type="dxa"/>
            <w:vAlign w:val="bottom"/>
          </w:tcPr>
          <w:p>
            <w:pPr>
              <w:jc w:val="right"/>
              <w:ind w:right="643"/>
              <w:spacing w:after="0"/>
              <w:rPr>
                <w:sz w:val="20"/>
                <w:szCs w:val="20"/>
                <w:color w:val="auto"/>
              </w:rPr>
            </w:pPr>
            <w:r>
              <w:rPr>
                <w:rFonts w:ascii="Courier New" w:cs="Courier New" w:eastAsia="Courier New" w:hAnsi="Courier New"/>
                <w:sz w:val="15"/>
                <w:szCs w:val="15"/>
                <w:b w:val="1"/>
                <w:bCs w:val="1"/>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 at the federal statutory rate</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$ 3,606</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$ 5,646</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$ 4,006</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134</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340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289</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sales corporation benefit, net of</w:t>
            </w:r>
          </w:p>
        </w:tc>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liability</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Non-US earnings taxed at different rates</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395</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(181)</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203</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$ 4,094</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$ 5,959</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$ 4,060</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tax effects of the temporary differences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2001</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280" w:type="dxa"/>
            <w:vAlign w:val="bottom"/>
          </w:tcPr>
          <w:p>
            <w:pPr>
              <w:spacing w:after="0"/>
              <w:rPr>
                <w:sz w:val="15"/>
                <w:szCs w:val="15"/>
                <w:color w:val="auto"/>
              </w:rPr>
            </w:pPr>
          </w:p>
        </w:tc>
        <w:tc>
          <w:tcPr>
            <w:tcW w:w="2360" w:type="dxa"/>
            <w:vAlign w:val="bottom"/>
            <w:gridSpan w:val="2"/>
          </w:tcPr>
          <w:p>
            <w:pPr>
              <w:jc w:val="right"/>
              <w:ind w:right="203"/>
              <w:spacing w:after="0"/>
              <w:rPr>
                <w:sz w:val="20"/>
                <w:szCs w:val="20"/>
                <w:color w:val="auto"/>
              </w:rPr>
            </w:pPr>
            <w:r>
              <w:rPr>
                <w:rFonts w:ascii="Courier New" w:cs="Courier New" w:eastAsia="Courier New" w:hAnsi="Courier New"/>
                <w:sz w:val="15"/>
                <w:szCs w:val="15"/>
                <w:b w:val="1"/>
                <w:bCs w:val="1"/>
                <w:color w:val="auto"/>
              </w:rPr>
              <w:t>-------- ----------</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Tax in excess of book depreciation</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$5,692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$5,050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Duty drawback receivable</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69</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Goodwill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Other deferred tax liabilities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4280" w:type="dxa"/>
            <w:vAlign w:val="bottom"/>
          </w:tcPr>
          <w:p>
            <w:pPr>
              <w:ind w:left="540"/>
              <w:spacing w:after="0"/>
              <w:rPr>
                <w:sz w:val="20"/>
                <w:szCs w:val="20"/>
                <w:color w:val="auto"/>
              </w:rPr>
            </w:pPr>
            <w:r>
              <w:rPr>
                <w:rFonts w:ascii="Courier New" w:cs="Courier New" w:eastAsia="Courier New" w:hAnsi="Courier New"/>
                <w:sz w:val="15"/>
                <w:szCs w:val="15"/>
                <w:color w:val="auto"/>
              </w:rPr>
              <w:t>Gross deferred income tax liability</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6,334</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5,452</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182</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Allowance for bad debts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279</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Vacation accrual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264</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287</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Health insurance accrual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83</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Other working capital accruals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358</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Euroball net operating loss carryforward</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ind w:left="540"/>
              <w:spacing w:after="0"/>
              <w:rPr>
                <w:sz w:val="20"/>
                <w:szCs w:val="20"/>
                <w:color w:val="auto"/>
              </w:rPr>
            </w:pPr>
            <w:r>
              <w:rPr>
                <w:rFonts w:ascii="Courier New" w:cs="Courier New" w:eastAsia="Courier New" w:hAnsi="Courier New"/>
                <w:sz w:val="15"/>
                <w:szCs w:val="15"/>
                <w:color w:val="auto"/>
              </w:rPr>
              <w:t>Gross deferred income tax assets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1,827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Net deferred income tax liability</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$4,391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3019" w:firstLine="646"/>
        <w:spacing w:after="0" w:line="253" w:lineRule="auto"/>
        <w:rPr>
          <w:sz w:val="20"/>
          <w:szCs w:val="20"/>
          <w:color w:val="auto"/>
        </w:rPr>
      </w:pPr>
      <w:r>
        <w:rPr>
          <w:rFonts w:ascii="Courier New" w:cs="Courier New" w:eastAsia="Courier New" w:hAnsi="Courier New"/>
          <w:sz w:val="15"/>
          <w:szCs w:val="15"/>
          <w:color w:val="auto"/>
        </w:rPr>
        <w:t>Deferred income tax expense differs from the change in the net deferred income tax liability due to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4700" w:type="dxa"/>
            <w:vAlign w:val="bottom"/>
          </w:tcPr>
          <w:p>
            <w:pPr>
              <w:spacing w:after="0"/>
              <w:rPr>
                <w:sz w:val="15"/>
                <w:szCs w:val="15"/>
                <w:color w:val="auto"/>
              </w:rPr>
            </w:pPr>
          </w:p>
        </w:tc>
        <w:tc>
          <w:tcPr>
            <w:tcW w:w="14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color w:val="auto"/>
              </w:rPr>
              <w:t>Change in net deferred income tax liability</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$ 1,780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comprehensive income adjustment</w:t>
            </w:r>
          </w:p>
        </w:tc>
        <w:tc>
          <w:tcPr>
            <w:tcW w:w="74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Acquisition of deferred tax asset (liability)</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under purchase accounting</w:t>
            </w:r>
          </w:p>
        </w:tc>
        <w:tc>
          <w:tcPr>
            <w:tcW w:w="74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Effect of currency translation</w:t>
            </w:r>
          </w:p>
        </w:tc>
        <w:tc>
          <w:tcPr>
            <w:tcW w:w="74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ind w:left="1280"/>
              <w:spacing w:after="0"/>
              <w:rPr>
                <w:sz w:val="20"/>
                <w:szCs w:val="20"/>
                <w:color w:val="auto"/>
              </w:rPr>
            </w:pPr>
            <w:r>
              <w:rPr>
                <w:rFonts w:ascii="Courier New" w:cs="Courier New" w:eastAsia="Courier New" w:hAnsi="Courier New"/>
                <w:sz w:val="15"/>
                <w:szCs w:val="15"/>
                <w:color w:val="auto"/>
              </w:rPr>
              <w:t>Deferred income tax expense</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$ 1,185</w:t>
            </w:r>
          </w:p>
        </w:tc>
      </w:tr>
      <w:tr>
        <w:trPr>
          <w:trHeight w:val="177"/>
        </w:trPr>
        <w:tc>
          <w:tcPr>
            <w:tcW w:w="4700" w:type="dxa"/>
            <w:vAlign w:val="bottom"/>
          </w:tcPr>
          <w:p>
            <w:pPr>
              <w:spacing w:after="0"/>
              <w:rPr>
                <w:sz w:val="15"/>
                <w:szCs w:val="15"/>
                <w:color w:val="auto"/>
              </w:rPr>
            </w:pP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0" w:right="3019"/>
        <w:spacing w:after="0" w:line="251" w:lineRule="auto"/>
        <w:rPr>
          <w:sz w:val="20"/>
          <w:szCs w:val="20"/>
          <w:color w:val="auto"/>
        </w:rPr>
      </w:pPr>
      <w:r>
        <w:rPr>
          <w:rFonts w:ascii="Courier New" w:cs="Courier New" w:eastAsia="Courier New" w:hAnsi="Courier New"/>
          <w:sz w:val="15"/>
          <w:szCs w:val="15"/>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ectPr>
          <w:pgSz w:w="11900" w:h="16838" w:orient="portrait"/>
          <w:cols w:equalWidth="0" w:num="1">
            <w:col w:w="10219"/>
          </w:cols>
          <w:pgMar w:left="240" w:top="142" w:right="1440" w:bottom="0" w:gutter="0" w:footer="0" w:header="0"/>
        </w:sectPr>
      </w:pPr>
    </w:p>
    <w:bookmarkStart w:id="35" w:name="page36"/>
    <w:bookmarkEnd w:id="35"/>
    <w:p>
      <w:pPr>
        <w:ind w:left="645" w:right="2839"/>
        <w:spacing w:after="0" w:line="250" w:lineRule="auto"/>
        <w:rPr>
          <w:sz w:val="20"/>
          <w:szCs w:val="20"/>
          <w:color w:val="auto"/>
        </w:rPr>
      </w:pPr>
      <w:r>
        <w:rPr>
          <w:rFonts w:ascii="Courier New" w:cs="Courier New" w:eastAsia="Courier New" w:hAnsi="Courier New"/>
          <w:sz w:val="15"/>
          <w:szCs w:val="15"/>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82" w:lineRule="exact"/>
        <w:rPr>
          <w:sz w:val="20"/>
          <w:szCs w:val="20"/>
          <w:color w:val="auto"/>
        </w:rPr>
      </w:pPr>
    </w:p>
    <w:p>
      <w:pPr>
        <w:ind w:left="645" w:right="3119"/>
        <w:spacing w:after="0" w:line="252" w:lineRule="auto"/>
        <w:rPr>
          <w:sz w:val="20"/>
          <w:szCs w:val="20"/>
          <w:color w:val="auto"/>
        </w:rPr>
      </w:pPr>
      <w:r>
        <w:rPr>
          <w:rFonts w:ascii="Courier New" w:cs="Courier New" w:eastAsia="Courier New" w:hAnsi="Courier New"/>
          <w:sz w:val="15"/>
          <w:szCs w:val="15"/>
          <w:color w:val="auto"/>
        </w:rPr>
        <w:t>At December 31, 2001, the Company has net operating loss carryforwards for foreign income tax purposes of approximately $1,500, which are available to offset future foreign taxable income indefinitely.</w:t>
      </w:r>
    </w:p>
    <w:p>
      <w:pPr>
        <w:spacing w:after="0" w:line="175" w:lineRule="exact"/>
        <w:rPr>
          <w:sz w:val="20"/>
          <w:szCs w:val="20"/>
          <w:color w:val="auto"/>
        </w:rPr>
      </w:pPr>
    </w:p>
    <w:p>
      <w:pPr>
        <w:ind w:left="645" w:right="2839"/>
        <w:spacing w:after="0" w:line="253" w:lineRule="auto"/>
        <w:rPr>
          <w:sz w:val="20"/>
          <w:szCs w:val="20"/>
          <w:color w:val="auto"/>
        </w:rPr>
      </w:pPr>
      <w:r>
        <w:rPr>
          <w:rFonts w:ascii="Courier New" w:cs="Courier New" w:eastAsia="Courier New" w:hAnsi="Courier New"/>
          <w:sz w:val="15"/>
          <w:szCs w:val="15"/>
          <w:color w:val="auto"/>
        </w:rPr>
        <w:t>Income tax payments were approximately $2,845, $5,207 and $3,123 in 2001, 2000, 1999, respectively.</w:t>
      </w:r>
    </w:p>
    <w:p>
      <w:pPr>
        <w:spacing w:after="0" w:line="174" w:lineRule="exact"/>
        <w:rPr>
          <w:sz w:val="20"/>
          <w:szCs w:val="20"/>
          <w:color w:val="auto"/>
        </w:rPr>
      </w:pPr>
    </w:p>
    <w:p>
      <w:pPr>
        <w:ind w:left="85"/>
        <w:spacing w:after="0"/>
        <w:tabs>
          <w:tab w:leader="none" w:pos="625" w:val="left"/>
        </w:tabs>
        <w:rPr>
          <w:sz w:val="20"/>
          <w:szCs w:val="20"/>
          <w:color w:val="auto"/>
        </w:rPr>
      </w:pPr>
      <w:r>
        <w:rPr>
          <w:rFonts w:ascii="Courier New" w:cs="Courier New" w:eastAsia="Courier New" w:hAnsi="Courier New"/>
          <w:sz w:val="15"/>
          <w:szCs w:val="15"/>
          <w:b w:val="1"/>
          <w:bCs w:val="1"/>
          <w:color w:val="auto"/>
        </w:rPr>
        <w:t>(13)</w:t>
        <w:tab/>
        <w:t>Reconciliation of Net Income Per Share</w:t>
      </w:r>
    </w:p>
    <w:p>
      <w:pPr>
        <w:spacing w:after="0" w:line="185"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gridSpan w:val="5"/>
          </w:tcPr>
          <w:p>
            <w:pPr>
              <w:jc w:val="right"/>
              <w:ind w:right="923"/>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3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2001</w:t>
            </w:r>
          </w:p>
        </w:tc>
        <w:tc>
          <w:tcPr>
            <w:tcW w:w="380" w:type="dxa"/>
            <w:vAlign w:val="bottom"/>
          </w:tcPr>
          <w:p>
            <w:pPr>
              <w:spacing w:after="0"/>
              <w:rPr>
                <w:sz w:val="15"/>
                <w:szCs w:val="15"/>
                <w:color w:val="auto"/>
              </w:rPr>
            </w:pPr>
          </w:p>
        </w:tc>
        <w:tc>
          <w:tcPr>
            <w:tcW w:w="7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w w:val="94"/>
              </w:rPr>
              <w:t>2000</w:t>
            </w:r>
          </w:p>
        </w:tc>
        <w:tc>
          <w:tcPr>
            <w:tcW w:w="420" w:type="dxa"/>
            <w:vAlign w:val="bottom"/>
          </w:tcPr>
          <w:p>
            <w:pPr>
              <w:spacing w:after="0"/>
              <w:rPr>
                <w:sz w:val="15"/>
                <w:szCs w:val="15"/>
                <w:color w:val="auto"/>
              </w:rPr>
            </w:pPr>
          </w:p>
        </w:tc>
        <w:tc>
          <w:tcPr>
            <w:tcW w:w="1180" w:type="dxa"/>
            <w:vAlign w:val="bottom"/>
          </w:tcPr>
          <w:p>
            <w:pPr>
              <w:jc w:val="right"/>
              <w:ind w:right="743"/>
              <w:spacing w:after="0"/>
              <w:rPr>
                <w:sz w:val="20"/>
                <w:szCs w:val="20"/>
                <w:color w:val="auto"/>
              </w:rPr>
            </w:pPr>
            <w:r>
              <w:rPr>
                <w:rFonts w:ascii="Courier New" w:cs="Courier New" w:eastAsia="Courier New" w:hAnsi="Courier New"/>
                <w:sz w:val="15"/>
                <w:szCs w:val="15"/>
                <w:b w:val="1"/>
                <w:bCs w:val="1"/>
                <w:color w:val="auto"/>
                <w:w w:val="94"/>
              </w:rPr>
              <w:t>1999</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b w:val="1"/>
                <w:bCs w:val="1"/>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$ 4,662</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$ 9,987</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$ 7,759</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20" w:type="dxa"/>
            <w:vAlign w:val="bottom"/>
          </w:tcPr>
          <w:p>
            <w:pPr>
              <w:spacing w:after="0"/>
              <w:rPr>
                <w:sz w:val="24"/>
                <w:szCs w:val="2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15,259</w:t>
            </w:r>
          </w:p>
        </w:tc>
        <w:tc>
          <w:tcPr>
            <w:tcW w:w="38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15,247</w:t>
            </w:r>
          </w:p>
        </w:tc>
        <w:tc>
          <w:tcPr>
            <w:tcW w:w="420" w:type="dxa"/>
            <w:vAlign w:val="bottom"/>
          </w:tcPr>
          <w:p>
            <w:pPr>
              <w:spacing w:after="0"/>
              <w:rPr>
                <w:sz w:val="24"/>
                <w:szCs w:val="24"/>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6"/>
              </w:rPr>
              <w:t>15,021</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Effective of dilutive stock options</w:t>
            </w:r>
          </w:p>
        </w:tc>
        <w:tc>
          <w:tcPr>
            <w:tcW w:w="52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281</w:t>
            </w:r>
          </w:p>
        </w:tc>
        <w:tc>
          <w:tcPr>
            <w:tcW w:w="380" w:type="dxa"/>
            <w:vAlign w:val="bottom"/>
          </w:tcPr>
          <w:p>
            <w:pPr>
              <w:spacing w:after="0"/>
              <w:rPr>
                <w:sz w:val="15"/>
                <w:szCs w:val="15"/>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284</w:t>
            </w:r>
          </w:p>
        </w:tc>
        <w:tc>
          <w:tcPr>
            <w:tcW w:w="42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17</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Dilutive shares outstanding</w:t>
            </w:r>
          </w:p>
        </w:tc>
        <w:tc>
          <w:tcPr>
            <w:tcW w:w="520" w:type="dxa"/>
            <w:vAlign w:val="bottom"/>
          </w:tcPr>
          <w:p>
            <w:pPr>
              <w:spacing w:after="0"/>
              <w:rPr>
                <w:sz w:val="24"/>
                <w:szCs w:val="2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15,540</w:t>
            </w:r>
          </w:p>
        </w:tc>
        <w:tc>
          <w:tcPr>
            <w:tcW w:w="38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15,531</w:t>
            </w:r>
          </w:p>
        </w:tc>
        <w:tc>
          <w:tcPr>
            <w:tcW w:w="420" w:type="dxa"/>
            <w:vAlign w:val="bottom"/>
          </w:tcPr>
          <w:p>
            <w:pPr>
              <w:spacing w:after="0"/>
              <w:rPr>
                <w:sz w:val="24"/>
                <w:szCs w:val="24"/>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6"/>
              </w:rPr>
              <w:t>15,038</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right="3219"/>
        <w:spacing w:after="0" w:line="251" w:lineRule="auto"/>
        <w:rPr>
          <w:sz w:val="20"/>
          <w:szCs w:val="20"/>
          <w:color w:val="auto"/>
        </w:rPr>
      </w:pPr>
      <w:r>
        <w:rPr>
          <w:rFonts w:ascii="Courier New" w:cs="Courier New" w:eastAsia="Courier New" w:hAnsi="Courier New"/>
          <w:sz w:val="15"/>
          <w:szCs w:val="15"/>
          <w:color w:val="auto"/>
        </w:rPr>
        <w:t>Excluded from the shares outstanding for the years ended December 31, 2001, 2000 and 1999 were 0, 10 and 525 antidilutive options, respectively, which had exercise prices ranging from $9.75 to $11.50, during 2000 and $6.38 to $15.50 during 1999.</w:t>
      </w:r>
    </w:p>
    <w:p>
      <w:pPr>
        <w:spacing w:after="0" w:line="176" w:lineRule="exact"/>
        <w:rPr>
          <w:sz w:val="20"/>
          <w:szCs w:val="20"/>
          <w:color w:val="auto"/>
        </w:rPr>
      </w:pPr>
    </w:p>
    <w:p>
      <w:pPr>
        <w:ind w:left="645" w:right="3119"/>
        <w:spacing w:after="0" w:line="253" w:lineRule="auto"/>
        <w:rPr>
          <w:sz w:val="20"/>
          <w:szCs w:val="20"/>
          <w:color w:val="auto"/>
        </w:rPr>
      </w:pPr>
      <w:r>
        <w:rPr>
          <w:rFonts w:ascii="Courier New" w:cs="Courier New" w:eastAsia="Courier New" w:hAnsi="Courier New"/>
          <w:sz w:val="15"/>
          <w:szCs w:val="15"/>
          <w:color w:val="auto"/>
        </w:rPr>
        <w:t>The Company has declared a dividend of $ 0.32 per share in each of the years ended December 31, 2001, 2000 and 1999.</w:t>
      </w:r>
    </w:p>
    <w:p>
      <w:pPr>
        <w:spacing w:after="0" w:line="35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5" w:hanging="645"/>
        <w:spacing w:after="0"/>
        <w:tabs>
          <w:tab w:leader="none" w:pos="645" w:val="left"/>
        </w:tabs>
        <w:numPr>
          <w:ilvl w:val="0"/>
          <w:numId w:val="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Commitments and Contingencies</w:t>
      </w:r>
    </w:p>
    <w:p>
      <w:pPr>
        <w:spacing w:after="0" w:line="184" w:lineRule="exact"/>
        <w:rPr>
          <w:rFonts w:ascii="Courier New" w:cs="Courier New" w:eastAsia="Courier New" w:hAnsi="Courier New"/>
          <w:sz w:val="15"/>
          <w:szCs w:val="15"/>
          <w:b w:val="1"/>
          <w:bCs w:val="1"/>
          <w:color w:val="auto"/>
        </w:rPr>
      </w:pPr>
    </w:p>
    <w:p>
      <w:pPr>
        <w:ind w:left="64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has operating lease commitments for machinery, office equipment, manufacturing and office space which expire on varying dates. Rent expense for 2001, 2000 and 1999 was $1,650, $767 and $376, respectively. The following is a schedule by year of future minimum lease payments as of December 31, 2001 under operating leases that have initial or remaining noncancelable lease terms in excess of one year.</w:t>
      </w:r>
    </w:p>
    <w:p>
      <w:pPr>
        <w:spacing w:after="0" w:line="353" w:lineRule="exact"/>
        <w:rPr>
          <w:sz w:val="20"/>
          <w:szCs w:val="20"/>
          <w:color w:val="auto"/>
        </w:rPr>
      </w:pPr>
    </w:p>
    <w:tbl>
      <w:tblPr>
        <w:tblLayout w:type="fixed"/>
        <w:tblInd w:w="745" w:type="dxa"/>
        <w:tblCellMar>
          <w:top w:w="0" w:type="dxa"/>
          <w:left w:w="0" w:type="dxa"/>
          <w:bottom w:w="0" w:type="dxa"/>
          <w:right w:w="0" w:type="dxa"/>
        </w:tblCellMar>
      </w:tblPr>
      <w:tr>
        <w:trPr>
          <w:trHeight w:val="172"/>
        </w:trPr>
        <w:tc>
          <w:tcPr>
            <w:tcW w:w="3680" w:type="dxa"/>
            <w:vAlign w:val="bottom"/>
          </w:tcPr>
          <w:p>
            <w:pPr>
              <w:ind w:left="1280"/>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5160" w:type="dxa"/>
            <w:vAlign w:val="bottom"/>
            <w:gridSpan w:val="3"/>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1,473</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1,345</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1,311</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1,280</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1,204</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12,005</w:t>
            </w:r>
          </w:p>
        </w:tc>
      </w:tr>
      <w:tr>
        <w:trPr>
          <w:trHeight w:val="177"/>
        </w:trPr>
        <w:tc>
          <w:tcPr>
            <w:tcW w:w="36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Total minimum lease payments</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18,619</w:t>
            </w:r>
          </w:p>
        </w:tc>
      </w:tr>
      <w:tr>
        <w:trPr>
          <w:trHeight w:val="177"/>
        </w:trPr>
        <w:tc>
          <w:tcPr>
            <w:tcW w:w="36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right="2939"/>
        <w:spacing w:after="0" w:line="251" w:lineRule="auto"/>
        <w:rPr>
          <w:sz w:val="20"/>
          <w:szCs w:val="20"/>
          <w:color w:val="auto"/>
        </w:rPr>
      </w:pPr>
      <w:r>
        <w:rPr>
          <w:rFonts w:ascii="Courier New" w:cs="Courier New" w:eastAsia="Courier New" w:hAnsi="Courier New"/>
          <w:sz w:val="15"/>
          <w:szCs w:val="15"/>
          <w:color w:val="auto"/>
        </w:rPr>
        <w:t>The Kilkenny operation of the Euroball Segment has received certain grants from the Ireland government. These grants are based upon the Kilkenny facility hiring and retaining certain employment levels. At December 31, 2001, actual employment levels are less than those required by certain grant covenants. As of December 31, 2001, the Company anticipates the grant agreement and employment level thresholds will be restructured.</w:t>
      </w:r>
    </w:p>
    <w:p>
      <w:pPr>
        <w:spacing w:after="0" w:line="353" w:lineRule="exact"/>
        <w:rPr>
          <w:sz w:val="20"/>
          <w:szCs w:val="20"/>
          <w:color w:val="auto"/>
        </w:rPr>
      </w:pPr>
    </w:p>
    <w:p>
      <w:pPr>
        <w:ind w:left="645" w:right="3119"/>
        <w:spacing w:after="0" w:line="253" w:lineRule="auto"/>
        <w:rPr>
          <w:sz w:val="20"/>
          <w:szCs w:val="20"/>
          <w:color w:val="auto"/>
        </w:rPr>
      </w:pPr>
      <w:r>
        <w:rPr>
          <w:rFonts w:ascii="Courier New" w:cs="Courier New" w:eastAsia="Courier New" w:hAnsi="Courier New"/>
          <w:sz w:val="15"/>
          <w:szCs w:val="15"/>
          <w:color w:val="auto"/>
        </w:rPr>
        <w:t>The Euroball Segment has entered into certain consignment arrangements with Ascometals for the purchase of steel for ball production, whereby</w:t>
      </w:r>
    </w:p>
    <w:p>
      <w:pPr>
        <w:sectPr>
          <w:pgSz w:w="11900" w:h="16838" w:orient="portrait"/>
          <w:cols w:equalWidth="0" w:num="1">
            <w:col w:w="10225"/>
          </w:cols>
          <w:pgMar w:left="235" w:top="319" w:right="1440" w:bottom="0" w:gutter="0" w:footer="0" w:header="0"/>
        </w:sectPr>
      </w:pPr>
    </w:p>
    <w:bookmarkStart w:id="36" w:name="page37"/>
    <w:bookmarkEnd w:id="36"/>
    <w:p>
      <w:pPr>
        <w:ind w:left="645" w:right="3119"/>
        <w:spacing w:after="0" w:line="253" w:lineRule="auto"/>
        <w:rPr>
          <w:sz w:val="20"/>
          <w:szCs w:val="20"/>
          <w:color w:val="auto"/>
        </w:rPr>
      </w:pPr>
      <w:r>
        <w:rPr>
          <w:rFonts w:ascii="Courier New" w:cs="Courier New" w:eastAsia="Courier New" w:hAnsi="Courier New"/>
          <w:sz w:val="15"/>
          <w:szCs w:val="15"/>
          <w:color w:val="auto"/>
        </w:rPr>
        <w:t>the Euroball Kilkenny operation maintains steel on a consignment basis for a period of up to three months.</w:t>
      </w:r>
    </w:p>
    <w:p>
      <w:pPr>
        <w:spacing w:after="0" w:line="352" w:lineRule="exact"/>
        <w:rPr>
          <w:sz w:val="20"/>
          <w:szCs w:val="20"/>
          <w:color w:val="auto"/>
        </w:rPr>
      </w:pPr>
    </w:p>
    <w:p>
      <w:pPr>
        <w:ind w:left="645" w:right="3119"/>
        <w:spacing w:after="0" w:line="251" w:lineRule="auto"/>
        <w:rPr>
          <w:sz w:val="20"/>
          <w:szCs w:val="20"/>
          <w:color w:val="auto"/>
        </w:rPr>
      </w:pPr>
      <w:r>
        <w:rPr>
          <w:rFonts w:ascii="Courier New" w:cs="Courier New" w:eastAsia="Courier New" w:hAnsi="Courier New"/>
          <w:sz w:val="15"/>
          <w:szCs w:val="15"/>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 using Euroball's historical cash flow, the exact amount of the put cannot be determined until the put right is exercised.</w:t>
      </w:r>
    </w:p>
    <w:p>
      <w:pPr>
        <w:spacing w:after="0" w:line="35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p>
      <w:pPr>
        <w:ind w:left="645" w:hanging="645"/>
        <w:spacing w:after="0"/>
        <w:tabs>
          <w:tab w:leader="none" w:pos="645" w:val="left"/>
        </w:tabs>
        <w:numPr>
          <w:ilvl w:val="0"/>
          <w:numId w:val="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Quarterly Results of Operations (Unaudited)</w:t>
      </w:r>
    </w:p>
    <w:p>
      <w:pPr>
        <w:spacing w:after="0" w:line="184" w:lineRule="exact"/>
        <w:rPr>
          <w:rFonts w:ascii="Courier New" w:cs="Courier New" w:eastAsia="Courier New" w:hAnsi="Courier New"/>
          <w:sz w:val="15"/>
          <w:szCs w:val="15"/>
          <w:b w:val="1"/>
          <w:bCs w:val="1"/>
          <w:color w:val="auto"/>
        </w:rPr>
      </w:pPr>
    </w:p>
    <w:p>
      <w:pPr>
        <w:ind w:left="645" w:right="3119"/>
        <w:spacing w:after="0" w:line="253"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following summarizes the unaudited quarterly results of operations for the years ended December 31, 2001 and 2000.</w:t>
      </w:r>
    </w:p>
    <w:p>
      <w:pPr>
        <w:spacing w:after="0" w:line="174"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2"/>
          </w:tcPr>
          <w:p>
            <w:pPr>
              <w:jc w:val="right"/>
              <w:ind w:right="63"/>
              <w:spacing w:after="0"/>
              <w:rPr>
                <w:sz w:val="20"/>
                <w:szCs w:val="20"/>
                <w:color w:val="auto"/>
              </w:rPr>
            </w:pPr>
            <w:r>
              <w:rPr>
                <w:rFonts w:ascii="Courier New" w:cs="Courier New" w:eastAsia="Courier New" w:hAnsi="Courier New"/>
                <w:sz w:val="15"/>
                <w:szCs w:val="15"/>
                <w:b w:val="1"/>
                <w:bCs w:val="1"/>
                <w:color w:val="auto"/>
              </w:rPr>
              <w:t>Year ended December 31, 2001</w:t>
            </w:r>
          </w:p>
        </w:tc>
        <w:tc>
          <w:tcPr>
            <w:tcW w:w="960" w:type="dxa"/>
            <w:vAlign w:val="bottom"/>
          </w:tcPr>
          <w:p>
            <w:pPr>
              <w:spacing w:after="0"/>
              <w:rPr>
                <w:sz w:val="14"/>
                <w:szCs w:val="14"/>
                <w:color w:val="auto"/>
              </w:rPr>
            </w:pPr>
          </w:p>
        </w:tc>
      </w:tr>
      <w:tr>
        <w:trPr>
          <w:trHeight w:val="177"/>
        </w:trPr>
        <w:tc>
          <w:tcPr>
            <w:tcW w:w="346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March 31</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June 30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Sept. 30</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Dec. 31</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$ 50,227</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$ 47,350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$ 42,576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$ 39,998</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12,043</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12,030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9,687</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8,800</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3,506</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0.23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Dilutive net income (loss) per share</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0.23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Basic number of shares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15,247</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15,253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15,286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15,302</w:t>
            </w: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Effect of dilutive stock</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279</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298</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377</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number of shares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15,396</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15,532</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15,584</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15,679</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gridSpan w:val="2"/>
          </w:tcPr>
          <w:p>
            <w:pPr>
              <w:jc w:val="right"/>
              <w:ind w:right="23"/>
              <w:spacing w:after="0"/>
              <w:rPr>
                <w:sz w:val="20"/>
                <w:szCs w:val="20"/>
                <w:color w:val="auto"/>
              </w:rPr>
            </w:pPr>
            <w:r>
              <w:rPr>
                <w:rFonts w:ascii="Courier New" w:cs="Courier New" w:eastAsia="Courier New" w:hAnsi="Courier New"/>
                <w:sz w:val="15"/>
                <w:szCs w:val="15"/>
                <w:b w:val="1"/>
                <w:bCs w:val="1"/>
                <w:color w:val="auto"/>
              </w:rPr>
              <w:t>Year ended December 31, 2000</w:t>
            </w:r>
          </w:p>
        </w:tc>
        <w:tc>
          <w:tcPr>
            <w:tcW w:w="720" w:type="dxa"/>
            <w:vAlign w:val="bottom"/>
          </w:tcPr>
          <w:p>
            <w:pPr>
              <w:spacing w:after="0"/>
              <w:rPr>
                <w:sz w:val="14"/>
                <w:szCs w:val="14"/>
                <w:color w:val="auto"/>
              </w:rPr>
            </w:pPr>
          </w:p>
        </w:tc>
      </w:tr>
      <w:tr>
        <w:trPr>
          <w:trHeight w:val="177"/>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March 31</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b w:val="1"/>
                <w:bCs w:val="1"/>
                <w:color w:val="auto"/>
              </w:rPr>
              <w:t>June 30</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Sept. 30</w:t>
            </w:r>
          </w:p>
        </w:tc>
        <w:tc>
          <w:tcPr>
            <w:tcW w:w="7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Dec. 31</w:t>
            </w:r>
          </w:p>
        </w:tc>
      </w:tr>
      <w:tr>
        <w:trPr>
          <w:trHeight w:val="177"/>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b w:val="1"/>
                <w:bCs w:val="1"/>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$28,002</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$25,643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$37,075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$41,409</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7,656</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7,678</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10,972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2,110</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2,242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2,443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0.15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0.15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Basic number of shares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15,244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15,244</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15,245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15,247</w:t>
            </w: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Effect of dilutive stock</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7"/>
        </w:trPr>
        <w:tc>
          <w:tcPr>
            <w:tcW w:w="2940" w:type="dxa"/>
            <w:vAlign w:val="bottom"/>
          </w:tcPr>
          <w:p>
            <w:pPr>
              <w:spacing w:after="0"/>
              <w:rPr>
                <w:sz w:val="15"/>
                <w:szCs w:val="15"/>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Diluted number of shares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15,458</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15,436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15,424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15,482</w:t>
            </w:r>
          </w:p>
        </w:tc>
      </w:tr>
      <w:tr>
        <w:trPr>
          <w:trHeight w:val="177"/>
        </w:trPr>
        <w:tc>
          <w:tcPr>
            <w:tcW w:w="2940" w:type="dxa"/>
            <w:vAlign w:val="bottom"/>
          </w:tcPr>
          <w:p>
            <w:pPr>
              <w:spacing w:after="0"/>
              <w:rPr>
                <w:sz w:val="15"/>
                <w:szCs w:val="15"/>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465" w:right="3119"/>
        <w:spacing w:after="0" w:line="251" w:lineRule="auto"/>
        <w:rPr>
          <w:sz w:val="20"/>
          <w:szCs w:val="20"/>
          <w:color w:val="auto"/>
        </w:rPr>
      </w:pPr>
      <w:r>
        <w:rPr>
          <w:rFonts w:ascii="Courier New" w:cs="Courier New" w:eastAsia="Courier New" w:hAnsi="Courier New"/>
          <w:sz w:val="15"/>
          <w:szCs w:val="15"/>
          <w:color w:val="auto"/>
        </w:rPr>
        <w:t>Fourth quarter results in 2001 include pre-tax charges of $1,405 ($913 after-tax) related to $1,086 of asset write downs on the Company's Walterboro, SC production facility and $319 of NN Arte minority interest losses absorbed by the Company. Without these nonrecurring charges, the fourth quarter 2001 loss per share would have been ($.01) rather than ($.07).</w:t>
      </w:r>
    </w:p>
    <w:p>
      <w:pPr>
        <w:spacing w:after="0" w:line="35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5"/>
          </w:cols>
          <w:pgMar w:left="235" w:top="142" w:right="1440" w:bottom="0" w:gutter="0" w:footer="0" w:header="0"/>
        </w:sectPr>
      </w:pPr>
    </w:p>
    <w:p>
      <w:pPr>
        <w:spacing w:after="0" w:line="362" w:lineRule="exact"/>
        <w:rPr>
          <w:sz w:val="20"/>
          <w:szCs w:val="20"/>
          <w:color w:val="auto"/>
        </w:rPr>
      </w:pPr>
    </w:p>
    <w:p>
      <w:pPr>
        <w:ind w:left="85"/>
        <w:spacing w:after="0"/>
        <w:tabs>
          <w:tab w:leader="none" w:pos="625" w:val="left"/>
        </w:tabs>
        <w:rPr>
          <w:sz w:val="20"/>
          <w:szCs w:val="20"/>
          <w:color w:val="auto"/>
        </w:rPr>
      </w:pPr>
      <w:r>
        <w:rPr>
          <w:rFonts w:ascii="Courier New" w:cs="Courier New" w:eastAsia="Courier New" w:hAnsi="Courier New"/>
          <w:sz w:val="15"/>
          <w:szCs w:val="15"/>
          <w:b w:val="1"/>
          <w:bCs w:val="1"/>
          <w:color w:val="auto"/>
        </w:rPr>
        <w:t>(16)</w:t>
        <w:tab/>
        <w:t>Fair Value of Financial Instruments</w:t>
      </w:r>
    </w:p>
    <w:p>
      <w:pPr>
        <w:sectPr>
          <w:pgSz w:w="11900" w:h="16838" w:orient="portrait"/>
          <w:cols w:equalWidth="0" w:num="1">
            <w:col w:w="10225"/>
          </w:cols>
          <w:pgMar w:left="235" w:top="142" w:right="1440" w:bottom="0" w:gutter="0" w:footer="0" w:header="0"/>
          <w:type w:val="continuous"/>
        </w:sectPr>
      </w:pPr>
    </w:p>
    <w:bookmarkStart w:id="37" w:name="page38"/>
    <w:bookmarkEnd w:id="37"/>
    <w:p>
      <w:pPr>
        <w:ind w:left="645" w:right="3119"/>
        <w:spacing w:after="0" w:line="251" w:lineRule="auto"/>
        <w:rPr>
          <w:sz w:val="20"/>
          <w:szCs w:val="20"/>
          <w:color w:val="auto"/>
        </w:rPr>
      </w:pPr>
      <w:r>
        <w:rPr>
          <w:rFonts w:ascii="Courier New" w:cs="Courier New" w:eastAsia="Courier New" w:hAnsi="Courier New"/>
          <w:sz w:val="15"/>
          <w:szCs w:val="15"/>
          <w:color w:val="auto"/>
        </w:rPr>
        <w:t>Management believes the fair value of financial instruments approximate their carrying value due to the short maturity of these instruments or in the case of the Company's notes receivable and debt, due to the variable interest rates. The following table presents the carrying amounts and estimated fair values of the Company's financial instruments at December 31, 2001 and 2000:</w:t>
      </w:r>
    </w:p>
    <w:p>
      <w:pPr>
        <w:spacing w:after="0" w:line="176"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923"/>
              <w:spacing w:after="0"/>
              <w:rPr>
                <w:sz w:val="20"/>
                <w:szCs w:val="20"/>
                <w:color w:val="auto"/>
              </w:rPr>
            </w:pPr>
            <w:r>
              <w:rPr>
                <w:rFonts w:ascii="Courier New" w:cs="Courier New" w:eastAsia="Courier New" w:hAnsi="Courier New"/>
                <w:sz w:val="15"/>
                <w:szCs w:val="15"/>
                <w:b w:val="1"/>
                <w:bCs w:val="1"/>
                <w:color w:val="auto"/>
                <w:w w:val="99"/>
              </w:rPr>
              <w:t>2001</w:t>
            </w:r>
          </w:p>
        </w:tc>
        <w:tc>
          <w:tcPr>
            <w:tcW w:w="148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2000</w:t>
            </w:r>
          </w:p>
        </w:tc>
        <w:tc>
          <w:tcPr>
            <w:tcW w:w="920" w:type="dxa"/>
            <w:vAlign w:val="bottom"/>
          </w:tcPr>
          <w:p>
            <w:pPr>
              <w:spacing w:after="0"/>
              <w:rPr>
                <w:sz w:val="14"/>
                <w:szCs w:val="14"/>
                <w:color w:val="auto"/>
              </w:rPr>
            </w:pPr>
          </w:p>
        </w:tc>
      </w:tr>
      <w:tr>
        <w:trPr>
          <w:trHeight w:val="177"/>
        </w:trPr>
        <w:tc>
          <w:tcPr>
            <w:tcW w:w="3640" w:type="dxa"/>
            <w:vAlign w:val="bottom"/>
          </w:tcPr>
          <w:p>
            <w:pPr>
              <w:spacing w:after="0"/>
              <w:rPr>
                <w:sz w:val="15"/>
                <w:szCs w:val="15"/>
                <w:color w:val="auto"/>
              </w:rPr>
            </w:pPr>
          </w:p>
        </w:tc>
        <w:tc>
          <w:tcPr>
            <w:tcW w:w="2440" w:type="dxa"/>
            <w:vAlign w:val="bottom"/>
            <w:gridSpan w:val="2"/>
          </w:tcPr>
          <w:p>
            <w:pPr>
              <w:jc w:val="right"/>
              <w:ind w:right="3"/>
              <w:spacing w:after="0"/>
              <w:rPr>
                <w:sz w:val="20"/>
                <w:szCs w:val="20"/>
                <w:color w:val="auto"/>
              </w:rPr>
            </w:pPr>
            <w:r>
              <w:rPr>
                <w:rFonts w:ascii="Courier New" w:cs="Courier New" w:eastAsia="Courier New" w:hAnsi="Courier New"/>
                <w:sz w:val="15"/>
                <w:szCs w:val="15"/>
                <w:b w:val="1"/>
                <w:bCs w:val="1"/>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64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Carrying</w:t>
            </w:r>
          </w:p>
        </w:tc>
        <w:tc>
          <w:tcPr>
            <w:tcW w:w="1380" w:type="dxa"/>
            <w:vAlign w:val="bottom"/>
          </w:tcPr>
          <w:p>
            <w:pPr>
              <w:ind w:left="640"/>
              <w:spacing w:after="0"/>
              <w:rPr>
                <w:sz w:val="20"/>
                <w:szCs w:val="20"/>
                <w:color w:val="auto"/>
              </w:rPr>
            </w:pPr>
            <w:r>
              <w:rPr>
                <w:rFonts w:ascii="Courier New" w:cs="Courier New" w:eastAsia="Courier New" w:hAnsi="Courier New"/>
                <w:sz w:val="15"/>
                <w:szCs w:val="15"/>
                <w:b w:val="1"/>
                <w:bCs w:val="1"/>
                <w:color w:val="auto"/>
              </w:rPr>
              <w:t>Fair</w:t>
            </w:r>
          </w:p>
        </w:tc>
        <w:tc>
          <w:tcPr>
            <w:tcW w:w="14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Carrying</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Fair</w:t>
            </w:r>
          </w:p>
        </w:tc>
      </w:tr>
      <w:tr>
        <w:trPr>
          <w:trHeight w:val="177"/>
        </w:trPr>
        <w:tc>
          <w:tcPr>
            <w:tcW w:w="364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amount</w:t>
            </w:r>
          </w:p>
        </w:tc>
        <w:tc>
          <w:tcPr>
            <w:tcW w:w="1380" w:type="dxa"/>
            <w:vAlign w:val="bottom"/>
          </w:tcPr>
          <w:p>
            <w:pPr>
              <w:ind w:left="640"/>
              <w:spacing w:after="0"/>
              <w:rPr>
                <w:sz w:val="20"/>
                <w:szCs w:val="20"/>
                <w:color w:val="auto"/>
              </w:rPr>
            </w:pPr>
            <w:r>
              <w:rPr>
                <w:rFonts w:ascii="Courier New" w:cs="Courier New" w:eastAsia="Courier New" w:hAnsi="Courier New"/>
                <w:sz w:val="15"/>
                <w:szCs w:val="15"/>
                <w:b w:val="1"/>
                <w:bCs w:val="1"/>
                <w:color w:val="auto"/>
              </w:rPr>
              <w:t>value</w:t>
            </w:r>
          </w:p>
        </w:tc>
        <w:tc>
          <w:tcPr>
            <w:tcW w:w="14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amount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value</w:t>
            </w:r>
          </w:p>
        </w:tc>
      </w:tr>
      <w:tr>
        <w:trPr>
          <w:trHeight w:val="177"/>
        </w:trPr>
        <w:tc>
          <w:tcPr>
            <w:tcW w:w="3640" w:type="dxa"/>
            <w:vAlign w:val="bottom"/>
          </w:tcPr>
          <w:p>
            <w:pPr>
              <w:spacing w:after="0"/>
              <w:rPr>
                <w:sz w:val="15"/>
                <w:szCs w:val="15"/>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$ 3,024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$ 3,024</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$ 8,273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$ 8,273</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 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24,832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24,832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29,549</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3,034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3,034</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1,512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1,512</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Other non-current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4,862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4,862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4,212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4,212</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Financial liabilities:</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 and bank overdraft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16,970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16,970</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17,337</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17,337</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Accrued expenses and other payables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13,716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13,716</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14,839</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14,839</w:t>
            </w:r>
          </w:p>
        </w:tc>
      </w:tr>
      <w:tr>
        <w:trPr>
          <w:trHeight w:val="177"/>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Short-term loan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7,000</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47,661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47,661</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50,515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rate swap liability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374</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w:t>
            </w:r>
          </w:p>
        </w:tc>
      </w:tr>
    </w:tbl>
    <w:p>
      <w:pPr>
        <w:spacing w:after="0" w:line="183" w:lineRule="exact"/>
        <w:rPr>
          <w:sz w:val="20"/>
          <w:szCs w:val="20"/>
          <w:color w:val="auto"/>
        </w:rPr>
      </w:pPr>
    </w:p>
    <w:p>
      <w:pPr>
        <w:ind w:left="645" w:hanging="553"/>
        <w:spacing w:after="0"/>
        <w:tabs>
          <w:tab w:leader="none" w:pos="645" w:val="left"/>
        </w:tabs>
        <w:numPr>
          <w:ilvl w:val="1"/>
          <w:numId w:val="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Involuntary Conversion</w:t>
      </w:r>
    </w:p>
    <w:p>
      <w:pPr>
        <w:spacing w:after="0" w:line="184" w:lineRule="exact"/>
        <w:rPr>
          <w:rFonts w:ascii="Courier New" w:cs="Courier New" w:eastAsia="Courier New" w:hAnsi="Courier New"/>
          <w:sz w:val="15"/>
          <w:szCs w:val="15"/>
          <w:b w:val="1"/>
          <w:bCs w:val="1"/>
          <w:color w:val="auto"/>
        </w:rPr>
      </w:pPr>
    </w:p>
    <w:p>
      <w:pPr>
        <w:ind w:left="645" w:right="29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2001 and 2000, the net gain on involuntary conversion of $3,901 and $728, respectively, represents insurance proceeds received in excess of costs incurred.</w:t>
      </w:r>
    </w:p>
    <w:p>
      <w:pPr>
        <w:spacing w:after="0" w:line="182" w:lineRule="exact"/>
        <w:rPr>
          <w:rFonts w:ascii="Courier New" w:cs="Courier New" w:eastAsia="Courier New" w:hAnsi="Courier New"/>
          <w:sz w:val="15"/>
          <w:szCs w:val="15"/>
          <w:b w:val="1"/>
          <w:bCs w:val="1"/>
          <w:color w:val="auto"/>
        </w:rPr>
      </w:pPr>
    </w:p>
    <w:p>
      <w:pPr>
        <w:ind w:left="645" w:hanging="645"/>
        <w:spacing w:after="0"/>
        <w:tabs>
          <w:tab w:leader="none" w:pos="645" w:val="left"/>
        </w:tabs>
        <w:numPr>
          <w:ilvl w:val="0"/>
          <w:numId w:val="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Related Party Transactions</w:t>
      </w:r>
    </w:p>
    <w:p>
      <w:pPr>
        <w:spacing w:after="0" w:line="184" w:lineRule="exact"/>
        <w:rPr>
          <w:rFonts w:ascii="Courier New" w:cs="Courier New" w:eastAsia="Courier New" w:hAnsi="Courier New"/>
          <w:sz w:val="15"/>
          <w:szCs w:val="15"/>
          <w:b w:val="1"/>
          <w:bCs w:val="1"/>
          <w:color w:val="auto"/>
        </w:rPr>
      </w:pPr>
    </w:p>
    <w:p>
      <w:pPr>
        <w:ind w:left="645" w:right="31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minority shareholders of NN Euroball ApS, SKF and FAG, are significant customers of the Company. For the years ended December 31, 2001 and 2000, combined sales to SKF and FAG amounted to $97,270 and $64,064, respectively. At December 31, 2001 and 2000, accounts receivable from SKF and FAG amounted to $11,360 and $4,983, respectively.</w:t>
      </w:r>
    </w:p>
    <w:p>
      <w:pPr>
        <w:spacing w:after="0" w:line="175" w:lineRule="exact"/>
        <w:rPr>
          <w:rFonts w:ascii="Courier New" w:cs="Courier New" w:eastAsia="Courier New" w:hAnsi="Courier New"/>
          <w:sz w:val="15"/>
          <w:szCs w:val="15"/>
          <w:b w:val="1"/>
          <w:bCs w:val="1"/>
          <w:color w:val="auto"/>
        </w:rPr>
      </w:pPr>
    </w:p>
    <w:p>
      <w:pPr>
        <w:ind w:left="645" w:right="29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 connection with the Euroball transaction described in note 2, SKF and FAG provided administrative services to NN Euroball ApS. Charges for these services amounted to approximately $2,262 and $1,150 for the years ended December 31, 2001 and 2000, respectively. At December 31, 2001 and 2000, amounts payable to SKF and FAG amounted to $1,277 and $1,762, respectively.</w:t>
      </w:r>
    </w:p>
    <w:p>
      <w:pPr>
        <w:spacing w:after="0" w:line="175" w:lineRule="exact"/>
        <w:rPr>
          <w:rFonts w:ascii="Courier New" w:cs="Courier New" w:eastAsia="Courier New" w:hAnsi="Courier New"/>
          <w:sz w:val="15"/>
          <w:szCs w:val="15"/>
          <w:b w:val="1"/>
          <w:bCs w:val="1"/>
          <w:color w:val="auto"/>
        </w:rPr>
      </w:pPr>
    </w:p>
    <w:p>
      <w:pPr>
        <w:ind w:left="645"/>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Certain sales agreements are in effect with SKF and FAG, which provide</w:t>
      </w:r>
    </w:p>
    <w:p>
      <w:pPr>
        <w:spacing w:after="0" w:line="7" w:lineRule="exact"/>
        <w:rPr>
          <w:rFonts w:ascii="Courier New" w:cs="Courier New" w:eastAsia="Courier New" w:hAnsi="Courier New"/>
          <w:sz w:val="15"/>
          <w:szCs w:val="15"/>
          <w:b w:val="1"/>
          <w:bCs w:val="1"/>
          <w:color w:val="auto"/>
        </w:rPr>
      </w:pPr>
    </w:p>
    <w:p>
      <w:pPr>
        <w:ind w:left="645" w:right="247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for minimum purchase quantities and specified, annual sales price adjustments that may be modified up or down for changes in material costs. These agreements expire during 2006.</w:t>
      </w:r>
    </w:p>
    <w:p>
      <w:pPr>
        <w:spacing w:after="0" w:line="174" w:lineRule="exact"/>
        <w:rPr>
          <w:rFonts w:ascii="Courier New" w:cs="Courier New" w:eastAsia="Courier New" w:hAnsi="Courier New"/>
          <w:sz w:val="15"/>
          <w:szCs w:val="15"/>
          <w:b w:val="1"/>
          <w:bCs w:val="1"/>
          <w:color w:val="auto"/>
        </w:rPr>
      </w:pPr>
    </w:p>
    <w:p>
      <w:pPr>
        <w:ind w:left="645" w:right="265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leases the Eltmann, Germany facility, of the Euroball division, from FAG. Annual minimum lease payments are Euro 944 ($885). The lease expires in 2020.</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b w:val="1"/>
          <w:bCs w:val="1"/>
          <w:color w:val="auto"/>
        </w:rPr>
        <w:t>Item 9. Changes in and Disagreements with Accountants on Accounting and</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b w:val="1"/>
          <w:bCs w:val="1"/>
          <w:color w:val="auto"/>
        </w:rPr>
        <w:t>Financial Disclosure</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firm of KPMG LLP has been selected by the Board of Directors as the Company's outside auditors for 2002. On November 27, 2000, the Company retained the services of KPMG LLP as its principle accountant to audit the Company's consolidated financial statements, replacing PricewaterhouseCoopers LLP. The decision to retain KPMG was based on a reevaluation by the Company of its current professional relationships and was approved by the Company's Board of Directors at the recommendation of the Company's Audit Committee. Although it is not required to do so, the Board has determined that it is desirable to seek stockholders' ratification of the selection of KPMG LLP.</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During the Company's most recent fiscal year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during 1999 contained no adverse opinion or disclaimer of opinion and were not qualified or modified as to uncertainty, audit scope or accounting principles.</w:t>
      </w:r>
    </w:p>
    <w:p>
      <w:pPr>
        <w:sectPr>
          <w:pgSz w:w="11900" w:h="16838" w:orient="portrait"/>
          <w:cols w:equalWidth="0" w:num="1">
            <w:col w:w="10225"/>
          </w:cols>
          <w:pgMar w:left="235" w:top="319" w:right="1440" w:bottom="0" w:gutter="0" w:footer="0" w:header="0"/>
        </w:sectPr>
      </w:pPr>
    </w:p>
    <w:bookmarkStart w:id="38" w:name="page39"/>
    <w:bookmarkEnd w:id="38"/>
    <w:p>
      <w:pPr>
        <w:ind w:right="2839" w:firstLine="830"/>
        <w:spacing w:after="0" w:line="251" w:lineRule="auto"/>
        <w:rPr>
          <w:sz w:val="20"/>
          <w:szCs w:val="20"/>
          <w:color w:val="auto"/>
        </w:rPr>
      </w:pPr>
      <w:r>
        <w:rPr>
          <w:rFonts w:ascii="Courier New" w:cs="Courier New" w:eastAsia="Courier New" w:hAnsi="Courier New"/>
          <w:sz w:val="15"/>
          <w:szCs w:val="15"/>
          <w:color w:val="auto"/>
        </w:rPr>
        <w:t>During the Company's most recent fiscal year and since November 27, 2000, there have been no disagreements with KPMG LLP on any matter of accounting principles or practices, financial statement disclosure, or auditing scope or procedure. KPMG LLP reports on the financial statements of the Company for the past two years contained no adverse opinion or disclaimer of opinion and were not qualified or modified as to uncertainty, audit scope or accounting principles.</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Part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10. Directors and Executive Officers of the Registrant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2001, in accordance with General Instruction G to Form 10-K, is hereby incorporated herein by reference.</w:t>
      </w:r>
    </w:p>
    <w:p>
      <w:pPr>
        <w:spacing w:after="0" w:line="176" w:lineRule="exact"/>
        <w:rPr>
          <w:sz w:val="20"/>
          <w:szCs w:val="20"/>
          <w:color w:val="auto"/>
        </w:rPr>
      </w:pPr>
    </w:p>
    <w:p>
      <w:pPr>
        <w:jc w:val="both"/>
        <w:ind w:right="2939" w:firstLine="830"/>
        <w:spacing w:after="0" w:line="252" w:lineRule="auto"/>
        <w:rPr>
          <w:sz w:val="20"/>
          <w:szCs w:val="20"/>
          <w:color w:val="auto"/>
        </w:rPr>
      </w:pPr>
      <w:r>
        <w:rPr>
          <w:rFonts w:ascii="Courier New" w:cs="Courier New" w:eastAsia="Courier New" w:hAnsi="Courier New"/>
          <w:sz w:val="15"/>
          <w:szCs w:val="15"/>
          <w:color w:val="auto"/>
        </w:rPr>
        <w:t>Executive Officers. Information required by Item 401 of Regulation S-K concerning the Company's executive officers is set forth in Item 1 hereof under the caption "Executive Officers of the Registrant."</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11. Executive Compensation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12. Security Ownership of Certain Beneficial Owners and Management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13. Related Party Relationships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Part IV</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14. Exhibits Financial Statement Schedules, and Reports on Form 8-K</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w:t>
            </w:r>
          </w:p>
        </w:tc>
        <w:tc>
          <w:tcPr>
            <w:tcW w:w="5980" w:type="dxa"/>
            <w:vAlign w:val="bottom"/>
          </w:tcPr>
          <w:p>
            <w:pPr>
              <w:jc w:val="right"/>
              <w:ind w:right="1583"/>
              <w:spacing w:after="0"/>
              <w:rPr>
                <w:sz w:val="20"/>
                <w:szCs w:val="20"/>
                <w:color w:val="auto"/>
              </w:rPr>
            </w:pPr>
            <w:r>
              <w:rPr>
                <w:rFonts w:ascii="Courier New" w:cs="Courier New" w:eastAsia="Courier New" w:hAnsi="Courier New"/>
                <w:sz w:val="15"/>
                <w:szCs w:val="15"/>
                <w:color w:val="auto"/>
              </w:rPr>
              <w:t>Auditors for the years ended December 31, 2001</w:t>
            </w:r>
          </w:p>
        </w:tc>
        <w:tc>
          <w:tcPr>
            <w:tcW w:w="380" w:type="dxa"/>
            <w:vAlign w:val="bottom"/>
          </w:tcPr>
          <w:p>
            <w:pPr>
              <w:spacing w:after="0"/>
              <w:rPr>
                <w:sz w:val="24"/>
                <w:szCs w:val="24"/>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and December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31, 2000</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Auditors for the years ended December 31, 1999....................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Balance Sheets at December 31, 2001 and 2000...............................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Statements of Income and Comprehensive Income for the Three Years</w:t>
            </w:r>
          </w:p>
        </w:tc>
        <w:tc>
          <w:tcPr>
            <w:tcW w:w="380" w:type="dxa"/>
            <w:vAlign w:val="bottom"/>
          </w:tcPr>
          <w:p>
            <w:pPr>
              <w:spacing w:after="0"/>
              <w:rPr>
                <w:sz w:val="24"/>
                <w:szCs w:val="24"/>
                <w:color w:val="auto"/>
              </w:rPr>
            </w:pPr>
          </w:p>
        </w:tc>
      </w:tr>
      <w:tr>
        <w:trPr>
          <w:trHeight w:val="177"/>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Statements of Changes in Stockholders' Equity for the Three Years</w:t>
            </w:r>
          </w:p>
        </w:tc>
        <w:tc>
          <w:tcPr>
            <w:tcW w:w="380" w:type="dxa"/>
            <w:vAlign w:val="bottom"/>
          </w:tcPr>
          <w:p>
            <w:pPr>
              <w:spacing w:after="0"/>
              <w:rPr>
                <w:sz w:val="24"/>
                <w:szCs w:val="24"/>
                <w:color w:val="auto"/>
              </w:rPr>
            </w:pPr>
          </w:p>
        </w:tc>
      </w:tr>
      <w:tr>
        <w:trPr>
          <w:trHeight w:val="177"/>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Statements of Cash Flows for the Three Years 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18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Exhibits Required by Item 601 of Regulation S-K</w:t>
      </w:r>
    </w:p>
    <w:p>
      <w:pPr>
        <w:spacing w:after="0" w:line="185" w:lineRule="exact"/>
        <w:rPr>
          <w:sz w:val="20"/>
          <w:szCs w:val="20"/>
          <w:color w:val="auto"/>
        </w:rPr>
      </w:pPr>
    </w:p>
    <w:p>
      <w:pPr>
        <w:jc w:val="both"/>
        <w:ind w:left="920" w:right="2839" w:hanging="460"/>
        <w:spacing w:after="0" w:line="252" w:lineRule="auto"/>
        <w:tabs>
          <w:tab w:leader="none" w:pos="900" w:val="left"/>
        </w:tabs>
        <w:rPr>
          <w:sz w:val="20"/>
          <w:szCs w:val="20"/>
          <w:color w:val="auto"/>
        </w:rPr>
      </w:pPr>
      <w:r>
        <w:rPr>
          <w:rFonts w:ascii="Courier New" w:cs="Courier New" w:eastAsia="Courier New" w:hAnsi="Courier New"/>
          <w:sz w:val="15"/>
          <w:szCs w:val="15"/>
          <w:color w:val="auto"/>
        </w:rPr>
        <w:t>3.1</w:t>
        <w:tab/>
        <w:t>Certificate of Incorporation of the Company, as amended (incorporated by reference to Exhibit 3.1 to the Company's Registration Statement on Form S-1--File No. 33-74694).</w:t>
      </w:r>
    </w:p>
    <w:p>
      <w:pPr>
        <w:spacing w:after="0" w:line="175" w:lineRule="exact"/>
        <w:rPr>
          <w:sz w:val="20"/>
          <w:szCs w:val="20"/>
          <w:color w:val="auto"/>
        </w:rPr>
      </w:pPr>
    </w:p>
    <w:p>
      <w:pPr>
        <w:jc w:val="both"/>
        <w:ind w:left="920" w:right="2839" w:hanging="460"/>
        <w:spacing w:after="0" w:line="253" w:lineRule="auto"/>
        <w:tabs>
          <w:tab w:leader="none" w:pos="900" w:val="left"/>
        </w:tabs>
        <w:rPr>
          <w:sz w:val="20"/>
          <w:szCs w:val="20"/>
          <w:color w:val="auto"/>
        </w:rPr>
      </w:pPr>
      <w:r>
        <w:rPr>
          <w:rFonts w:ascii="Courier New" w:cs="Courier New" w:eastAsia="Courier New" w:hAnsi="Courier New"/>
          <w:sz w:val="15"/>
          <w:szCs w:val="15"/>
          <w:color w:val="auto"/>
        </w:rPr>
        <w:t>3.2</w:t>
        <w:tab/>
        <w:t>Bylaws of the Company, as amended (incorporated by reference to Exhibit 3.2 to the Company's registration Statement on Form S-1 - File</w:t>
      </w:r>
    </w:p>
    <w:p>
      <w:pPr>
        <w:sectPr>
          <w:pgSz w:w="11900" w:h="16838" w:orient="portrait"/>
          <w:cols w:equalWidth="0" w:num="1">
            <w:col w:w="10219"/>
          </w:cols>
          <w:pgMar w:left="240" w:top="142" w:right="1440" w:bottom="0" w:gutter="0" w:footer="0" w:header="0"/>
        </w:sectPr>
      </w:pPr>
    </w:p>
    <w:bookmarkStart w:id="39" w:name="page40"/>
    <w:bookmarkEnd w:id="39"/>
    <w:p>
      <w:pPr>
        <w:ind w:left="460"/>
        <w:spacing w:after="0"/>
        <w:rPr>
          <w:sz w:val="20"/>
          <w:szCs w:val="20"/>
          <w:color w:val="auto"/>
        </w:rPr>
      </w:pPr>
      <w:r>
        <w:rPr>
          <w:rFonts w:ascii="Courier New" w:cs="Courier New" w:eastAsia="Courier New" w:hAnsi="Courier New"/>
          <w:sz w:val="15"/>
          <w:szCs w:val="15"/>
          <w:color w:val="auto"/>
        </w:rPr>
        <w:t>No. 33-74694).</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4.1</w:t>
        <w:tab/>
        <w:t>Form of Common Stock certificate (incorporated by reference to Exhibit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 to the Company's Registration Statement on Form S-1 - File No.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33-74694).</w:t>
      </w:r>
    </w:p>
    <w:p>
      <w:pPr>
        <w:spacing w:after="0" w:line="185" w:lineRule="exact"/>
        <w:rPr>
          <w:sz w:val="20"/>
          <w:szCs w:val="20"/>
          <w:color w:val="auto"/>
        </w:rPr>
      </w:pPr>
    </w:p>
    <w:p>
      <w:pPr>
        <w:ind w:left="460" w:right="3019" w:hanging="460"/>
        <w:spacing w:after="0" w:line="252" w:lineRule="auto"/>
        <w:rPr>
          <w:sz w:val="20"/>
          <w:szCs w:val="20"/>
          <w:color w:val="auto"/>
        </w:rPr>
      </w:pPr>
      <w:r>
        <w:rPr>
          <w:rFonts w:ascii="Courier New" w:cs="Courier New" w:eastAsia="Courier New" w:hAnsi="Courier New"/>
          <w:sz w:val="15"/>
          <w:szCs w:val="15"/>
          <w:color w:val="auto"/>
        </w:rPr>
        <w:t>10.1* NN Ball &amp; Roller, Inc. Stock Incentive Plan (incorporated by reference to Exhibit 10.1 to the Company's Registration Statement on Form S-1 - File No. 33-74694).</w:t>
      </w:r>
    </w:p>
    <w:p>
      <w:pPr>
        <w:spacing w:after="0" w:line="175" w:lineRule="exact"/>
        <w:rPr>
          <w:sz w:val="20"/>
          <w:szCs w:val="20"/>
          <w:color w:val="auto"/>
        </w:rPr>
      </w:pPr>
    </w:p>
    <w:p>
      <w:pPr>
        <w:ind w:left="460" w:right="3019" w:hanging="460"/>
        <w:spacing w:after="0" w:line="251" w:lineRule="auto"/>
        <w:rPr>
          <w:sz w:val="20"/>
          <w:szCs w:val="20"/>
          <w:color w:val="auto"/>
        </w:rPr>
      </w:pPr>
      <w:r>
        <w:rPr>
          <w:rFonts w:ascii="Courier New" w:cs="Courier New" w:eastAsia="Courier New" w:hAnsi="Courier New"/>
          <w:sz w:val="15"/>
          <w:szCs w:val="15"/>
          <w:color w:val="auto"/>
        </w:rPr>
        <w:t>10.3* $1.2 million Life Insurance Policy purchased by Mr. Ennen, the premiums of which are paid for by the Company (incorporated by reference to Exhibit 10.3 to the Company's Registration Statement on Form S-1-File No. 33-74694).</w:t>
      </w:r>
    </w:p>
    <w:p>
      <w:pPr>
        <w:spacing w:after="0" w:line="176" w:lineRule="exact"/>
        <w:rPr>
          <w:sz w:val="20"/>
          <w:szCs w:val="20"/>
          <w:color w:val="auto"/>
        </w:rPr>
      </w:pPr>
    </w:p>
    <w:p>
      <w:pPr>
        <w:ind w:left="460" w:right="2839" w:hanging="460"/>
        <w:spacing w:after="0" w:line="252" w:lineRule="auto"/>
        <w:rPr>
          <w:sz w:val="20"/>
          <w:szCs w:val="20"/>
          <w:color w:val="auto"/>
        </w:rPr>
      </w:pPr>
      <w:r>
        <w:rPr>
          <w:rFonts w:ascii="Courier New" w:cs="Courier New" w:eastAsia="Courier New" w:hAnsi="Courier New"/>
          <w:sz w:val="15"/>
          <w:szCs w:val="15"/>
          <w:color w:val="auto"/>
        </w:rPr>
        <w:t>10.5 Form of Confidentiality and Non-Compete Agreements for Executive Officers of the Company (incorporated by reference to Exhibit 10.17 to the Company's Registration Statement on Form S-1 - File No. 33-74694).</w:t>
      </w:r>
    </w:p>
    <w:p>
      <w:pPr>
        <w:spacing w:after="0" w:line="175" w:lineRule="exact"/>
        <w:rPr>
          <w:sz w:val="20"/>
          <w:szCs w:val="20"/>
          <w:color w:val="auto"/>
        </w:rPr>
      </w:pPr>
    </w:p>
    <w:p>
      <w:pPr>
        <w:ind w:left="460" w:right="3299" w:hanging="460"/>
        <w:spacing w:after="0" w:line="250" w:lineRule="auto"/>
        <w:rPr>
          <w:sz w:val="20"/>
          <w:szCs w:val="20"/>
          <w:color w:val="auto"/>
        </w:rPr>
      </w:pPr>
      <w:r>
        <w:rPr>
          <w:rFonts w:ascii="Courier New" w:cs="Courier New" w:eastAsia="Courier New" w:hAnsi="Courier New"/>
          <w:sz w:val="15"/>
          <w:szCs w:val="15"/>
          <w:color w:val="auto"/>
        </w:rPr>
        <w:t>10.6 Stockholder Agreement dated February 22, 1994, among certain stockholders of the Company (incorporated by reference to Exhibit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10.18 to the Company's Registration Statement on Form S-1 - File No.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33-74694).</w:t>
      </w:r>
    </w:p>
    <w:p>
      <w:pPr>
        <w:spacing w:after="0" w:line="185" w:lineRule="exact"/>
        <w:rPr>
          <w:sz w:val="20"/>
          <w:szCs w:val="20"/>
          <w:color w:val="auto"/>
        </w:rPr>
      </w:pPr>
    </w:p>
    <w:p>
      <w:pPr>
        <w:jc w:val="both"/>
        <w:ind w:left="460" w:right="3019" w:hanging="460"/>
        <w:spacing w:after="0" w:line="252" w:lineRule="auto"/>
        <w:rPr>
          <w:sz w:val="20"/>
          <w:szCs w:val="20"/>
          <w:color w:val="auto"/>
        </w:rPr>
      </w:pPr>
      <w:r>
        <w:rPr>
          <w:rFonts w:ascii="Courier New" w:cs="Courier New" w:eastAsia="Courier New" w:hAnsi="Courier New"/>
          <w:sz w:val="15"/>
          <w:szCs w:val="15"/>
          <w:color w:val="auto"/>
        </w:rPr>
        <w:t>10.7 Form of Indemnification Agreement for officers and directors of the Company (incorporated by reference to Exhibit 10.19 to the Company's Registration Statement on Form S-1 - File No. 33-74694).</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10.8 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76" w:lineRule="exact"/>
        <w:rPr>
          <w:sz w:val="20"/>
          <w:szCs w:val="20"/>
          <w:color w:val="auto"/>
        </w:rPr>
      </w:pPr>
    </w:p>
    <w:p>
      <w:pPr>
        <w:ind w:left="460" w:right="2939" w:hanging="460"/>
        <w:spacing w:after="0" w:line="251" w:lineRule="auto"/>
        <w:rPr>
          <w:sz w:val="20"/>
          <w:szCs w:val="20"/>
          <w:color w:val="auto"/>
        </w:rPr>
      </w:pPr>
      <w:r>
        <w:rPr>
          <w:rFonts w:ascii="Courier New" w:cs="Courier New" w:eastAsia="Courier New" w:hAnsi="Courier New"/>
          <w:sz w:val="15"/>
          <w:szCs w:val="15"/>
          <w:color w:val="auto"/>
        </w:rPr>
        <w:t>10.9 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76" w:lineRule="exact"/>
        <w:rPr>
          <w:sz w:val="20"/>
          <w:szCs w:val="20"/>
          <w:color w:val="auto"/>
        </w:rPr>
      </w:pPr>
    </w:p>
    <w:p>
      <w:pPr>
        <w:ind w:left="460" w:right="3219" w:hanging="460"/>
        <w:spacing w:after="0" w:line="250" w:lineRule="auto"/>
        <w:rPr>
          <w:sz w:val="20"/>
          <w:szCs w:val="20"/>
          <w:color w:val="auto"/>
        </w:rPr>
      </w:pPr>
      <w:r>
        <w:rPr>
          <w:rFonts w:ascii="Courier New" w:cs="Courier New" w:eastAsia="Courier New" w:hAnsi="Courier New"/>
          <w:sz w:val="15"/>
          <w:szCs w:val="15"/>
          <w:color w:val="auto"/>
        </w:rPr>
        <w:t>10.10* Stock Option Agreement, dated as of July 3, 1995, between the Company and Roderick R. Baty (incorporated by reference to Exhibit</w:t>
      </w:r>
    </w:p>
    <w:p>
      <w:pPr>
        <w:spacing w:after="0" w:line="1" w:lineRule="exact"/>
        <w:rPr>
          <w:sz w:val="20"/>
          <w:szCs w:val="20"/>
          <w:color w:val="auto"/>
        </w:rPr>
      </w:pPr>
    </w:p>
    <w:p>
      <w:pPr>
        <w:ind w:left="460" w:right="2939"/>
        <w:spacing w:after="0" w:line="253" w:lineRule="auto"/>
        <w:rPr>
          <w:sz w:val="20"/>
          <w:szCs w:val="20"/>
          <w:color w:val="auto"/>
        </w:rPr>
      </w:pPr>
      <w:r>
        <w:rPr>
          <w:rFonts w:ascii="Courier New" w:cs="Courier New" w:eastAsia="Courier New" w:hAnsi="Courier New"/>
          <w:sz w:val="15"/>
          <w:szCs w:val="15"/>
          <w:color w:val="auto"/>
        </w:rPr>
        <w:t>10.11 of the Company's Annual Report on Form 10-K for the fiscal year ended December 31, 1995).</w:t>
      </w:r>
    </w:p>
    <w:p>
      <w:pPr>
        <w:spacing w:after="0" w:line="174" w:lineRule="exact"/>
        <w:rPr>
          <w:sz w:val="20"/>
          <w:szCs w:val="20"/>
          <w:color w:val="auto"/>
        </w:rPr>
      </w:pPr>
    </w:p>
    <w:p>
      <w:pPr>
        <w:ind w:left="460" w:right="3119" w:hanging="460"/>
        <w:spacing w:after="0" w:line="250" w:lineRule="auto"/>
        <w:rPr>
          <w:sz w:val="20"/>
          <w:szCs w:val="20"/>
          <w:color w:val="auto"/>
        </w:rPr>
      </w:pPr>
      <w:r>
        <w:rPr>
          <w:rFonts w:ascii="Courier New" w:cs="Courier New" w:eastAsia="Courier New" w:hAnsi="Courier New"/>
          <w:sz w:val="15"/>
          <w:szCs w:val="15"/>
          <w:color w:val="auto"/>
        </w:rPr>
        <w:t>10.11 Loan Agreement, dated as of July 25, 1997, between the Company and First American National Bank (incorporated by reference to Exhibit</w:t>
      </w:r>
    </w:p>
    <w:p>
      <w:pPr>
        <w:spacing w:after="0" w:line="1"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10.13 of the Company's Quarterly Report on Form 10-Q for the quarterly period ended June 30, 1997).</w:t>
      </w:r>
    </w:p>
    <w:p>
      <w:pPr>
        <w:spacing w:after="0" w:line="174"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176" w:lineRule="exact"/>
        <w:rPr>
          <w:sz w:val="20"/>
          <w:szCs w:val="20"/>
          <w:color w:val="auto"/>
        </w:rPr>
      </w:pPr>
    </w:p>
    <w:p>
      <w:pPr>
        <w:ind w:left="460" w:right="3219" w:hanging="460"/>
        <w:spacing w:after="0" w:line="253" w:lineRule="auto"/>
        <w:rPr>
          <w:sz w:val="20"/>
          <w:szCs w:val="20"/>
          <w:color w:val="auto"/>
        </w:rPr>
      </w:pPr>
      <w:r>
        <w:rPr>
          <w:rFonts w:ascii="Courier New" w:cs="Courier New" w:eastAsia="Courier New" w:hAnsi="Courier New"/>
          <w:sz w:val="15"/>
          <w:szCs w:val="15"/>
          <w:color w:val="auto"/>
        </w:rPr>
        <w:t>10.13* Employment Agreement, dated May 7, 1998, between the Company and Frank T. Gentry.</w:t>
      </w:r>
    </w:p>
    <w:p>
      <w:pPr>
        <w:spacing w:after="0" w:line="174"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10.14* Form of Stock Option Agreement, dated December 7, 1998, between the Company and the non-employee directors of the Company (incorporated by reference to Exhibit 10.15 of the Company's Quarterly Report on Form 10-K for the fiscal year ended December 31, 1999).</w:t>
      </w:r>
    </w:p>
    <w:p>
      <w:pPr>
        <w:spacing w:after="0" w:line="176" w:lineRule="exact"/>
        <w:rPr>
          <w:sz w:val="20"/>
          <w:szCs w:val="20"/>
          <w:color w:val="auto"/>
        </w:rPr>
      </w:pPr>
    </w:p>
    <w:p>
      <w:pPr>
        <w:ind w:left="460" w:right="3119" w:hanging="460"/>
        <w:spacing w:after="0" w:line="252" w:lineRule="auto"/>
        <w:rPr>
          <w:sz w:val="20"/>
          <w:szCs w:val="20"/>
          <w:color w:val="auto"/>
        </w:rPr>
      </w:pPr>
      <w:r>
        <w:rPr>
          <w:rFonts w:ascii="Courier New" w:cs="Courier New" w:eastAsia="Courier New" w:hAnsi="Courier New"/>
          <w:sz w:val="15"/>
          <w:szCs w:val="15"/>
          <w:color w:val="auto"/>
        </w:rPr>
        <w:t>10.15* Elective Deferred Compensation Plan, dated February 26, 1999 (incorporated by reference to Exhibit 10.16 of the Company's Annual Report on Form 10-K for the fiscal year ended December 31, 1999).</w:t>
      </w:r>
    </w:p>
    <w:p>
      <w:pPr>
        <w:spacing w:after="0" w:line="175" w:lineRule="exact"/>
        <w:rPr>
          <w:sz w:val="20"/>
          <w:szCs w:val="20"/>
          <w:color w:val="auto"/>
        </w:rPr>
      </w:pPr>
    </w:p>
    <w:p>
      <w:pPr>
        <w:ind w:left="460" w:right="3299" w:hanging="460"/>
        <w:spacing w:after="0" w:line="253" w:lineRule="auto"/>
        <w:rPr>
          <w:sz w:val="20"/>
          <w:szCs w:val="20"/>
          <w:color w:val="auto"/>
        </w:rPr>
      </w:pPr>
      <w:r>
        <w:rPr>
          <w:rFonts w:ascii="Courier New" w:cs="Courier New" w:eastAsia="Courier New" w:hAnsi="Courier New"/>
          <w:sz w:val="15"/>
          <w:szCs w:val="15"/>
          <w:color w:val="auto"/>
        </w:rPr>
        <w:t>10.16* Amendment No. 1 dated January 21, 2002, to Employment Agreement between the Company and Frank T. Gentry.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Frank T. Gentry.</w:t>
      </w:r>
    </w:p>
    <w:p>
      <w:pPr>
        <w:spacing w:after="0" w:line="185" w:lineRule="exact"/>
        <w:rPr>
          <w:sz w:val="20"/>
          <w:szCs w:val="20"/>
          <w:color w:val="auto"/>
        </w:rPr>
      </w:pPr>
    </w:p>
    <w:p>
      <w:pPr>
        <w:ind w:left="460" w:right="3299" w:hanging="460"/>
        <w:spacing w:after="0" w:line="253" w:lineRule="auto"/>
        <w:rPr>
          <w:sz w:val="20"/>
          <w:szCs w:val="20"/>
          <w:color w:val="auto"/>
        </w:rPr>
      </w:pPr>
      <w:r>
        <w:rPr>
          <w:rFonts w:ascii="Courier New" w:cs="Courier New" w:eastAsia="Courier New" w:hAnsi="Courier New"/>
          <w:sz w:val="15"/>
          <w:szCs w:val="15"/>
          <w:color w:val="auto"/>
        </w:rPr>
        <w:t>10.18* Amendment No. 1 dated January 21, 2002, to Employment Agreement between the Company and Roderick R. Baty.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10.19*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Roderick R. Baty.</w:t>
      </w:r>
    </w:p>
    <w:p>
      <w:pPr>
        <w:spacing w:after="0" w:line="185" w:lineRule="exact"/>
        <w:rPr>
          <w:sz w:val="20"/>
          <w:szCs w:val="20"/>
          <w:color w:val="auto"/>
        </w:rPr>
      </w:pPr>
    </w:p>
    <w:p>
      <w:pPr>
        <w:ind w:left="460" w:right="2839" w:hanging="460"/>
        <w:spacing w:after="0" w:line="253" w:lineRule="auto"/>
        <w:rPr>
          <w:sz w:val="20"/>
          <w:szCs w:val="20"/>
          <w:color w:val="auto"/>
        </w:rPr>
      </w:pPr>
      <w:r>
        <w:rPr>
          <w:rFonts w:ascii="Courier New" w:cs="Courier New" w:eastAsia="Courier New" w:hAnsi="Courier New"/>
          <w:sz w:val="15"/>
          <w:szCs w:val="15"/>
          <w:color w:val="auto"/>
        </w:rPr>
        <w:t>10.20* Employment Agreement dated January 21, 2002, between the Company and Robert R. Sams.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10.21*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Robert R. Sams.</w:t>
      </w:r>
    </w:p>
    <w:p>
      <w:pPr>
        <w:spacing w:after="0" w:line="185" w:lineRule="exact"/>
        <w:rPr>
          <w:sz w:val="20"/>
          <w:szCs w:val="20"/>
          <w:color w:val="auto"/>
        </w:rPr>
      </w:pPr>
    </w:p>
    <w:p>
      <w:pPr>
        <w:ind w:left="460" w:right="2839" w:hanging="460"/>
        <w:spacing w:after="0" w:line="253" w:lineRule="auto"/>
        <w:rPr>
          <w:sz w:val="20"/>
          <w:szCs w:val="20"/>
          <w:color w:val="auto"/>
        </w:rPr>
      </w:pPr>
      <w:r>
        <w:rPr>
          <w:rFonts w:ascii="Courier New" w:cs="Courier New" w:eastAsia="Courier New" w:hAnsi="Courier New"/>
          <w:sz w:val="15"/>
          <w:szCs w:val="15"/>
          <w:color w:val="auto"/>
        </w:rPr>
        <w:t>10.22* Employment Agreement dated January 21, 2002, between the Company and William C. Kelly.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10.23* Change of Control and Noncompetition Agreement, dated January 21,</w:t>
      </w:r>
    </w:p>
    <w:p>
      <w:pPr>
        <w:sectPr>
          <w:pgSz w:w="11900" w:h="16838" w:orient="portrait"/>
          <w:cols w:equalWidth="0" w:num="1">
            <w:col w:w="9759"/>
          </w:cols>
          <w:pgMar w:left="700" w:top="142" w:right="1440" w:bottom="0" w:gutter="0" w:footer="0" w:header="0"/>
        </w:sectPr>
      </w:pPr>
    </w:p>
    <w:bookmarkStart w:id="40" w:name="page41"/>
    <w:bookmarkEnd w:id="40"/>
    <w:p>
      <w:pPr>
        <w:ind w:left="925"/>
        <w:spacing w:after="0"/>
        <w:rPr>
          <w:sz w:val="20"/>
          <w:szCs w:val="20"/>
          <w:color w:val="auto"/>
        </w:rPr>
      </w:pPr>
      <w:r>
        <w:rPr>
          <w:rFonts w:ascii="Courier New" w:cs="Courier New" w:eastAsia="Courier New" w:hAnsi="Courier New"/>
          <w:sz w:val="15"/>
          <w:szCs w:val="15"/>
          <w:color w:val="auto"/>
        </w:rPr>
        <w:t>2002, between the Company and William C. Kelly.</w:t>
      </w:r>
    </w:p>
    <w:p>
      <w:pPr>
        <w:spacing w:after="0" w:line="185" w:lineRule="exact"/>
        <w:rPr>
          <w:sz w:val="20"/>
          <w:szCs w:val="20"/>
          <w:color w:val="auto"/>
        </w:rPr>
      </w:pPr>
    </w:p>
    <w:p>
      <w:pPr>
        <w:ind w:left="925" w:right="2839" w:hanging="460"/>
        <w:spacing w:after="0" w:line="253" w:lineRule="auto"/>
        <w:rPr>
          <w:sz w:val="20"/>
          <w:szCs w:val="20"/>
          <w:color w:val="auto"/>
        </w:rPr>
      </w:pPr>
      <w:r>
        <w:rPr>
          <w:rFonts w:ascii="Courier New" w:cs="Courier New" w:eastAsia="Courier New" w:hAnsi="Courier New"/>
          <w:sz w:val="15"/>
          <w:szCs w:val="15"/>
          <w:color w:val="auto"/>
        </w:rPr>
        <w:t>10.24* Employment Agreement dated January 21, 2002, between the Company and David L. Dyckman.</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10.25* Change of Control and Noncompetition Agreement, dated January 21,</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2002, between the Company and 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5" w:right="2939" w:hanging="460"/>
        <w:spacing w:after="0" w:line="253" w:lineRule="auto"/>
        <w:rPr>
          <w:sz w:val="20"/>
          <w:szCs w:val="20"/>
          <w:color w:val="auto"/>
        </w:rPr>
      </w:pPr>
      <w:r>
        <w:rPr>
          <w:rFonts w:ascii="Courier New" w:cs="Courier New" w:eastAsia="Courier New" w:hAnsi="Courier New"/>
          <w:sz w:val="15"/>
          <w:szCs w:val="15"/>
          <w:color w:val="auto"/>
        </w:rPr>
        <w:t>10.26 NN Euroball, ApS Shareholder Agreement dated April 6, 2000 among NN, Inc., AB SKF and FAG Kugelfishcher Georg Schafer AG.</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23.1 Consent of PricewaterhouseCoopers LLP (filed herewith).</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23.2 Consent of KPMG LLP (filed herewith).</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25" w:hanging="825"/>
        <w:spacing w:after="0"/>
        <w:tabs>
          <w:tab w:leader="none" w:pos="8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85" w:lineRule="exact"/>
        <w:rPr>
          <w:sz w:val="20"/>
          <w:szCs w:val="20"/>
          <w:color w:val="auto"/>
        </w:rPr>
      </w:pPr>
    </w:p>
    <w:p>
      <w:pPr>
        <w:ind w:left="825" w:hanging="825"/>
        <w:spacing w:after="0"/>
        <w:tabs>
          <w:tab w:leader="none" w:pos="82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4" w:lineRule="exact"/>
        <w:rPr>
          <w:rFonts w:ascii="Courier New" w:cs="Courier New" w:eastAsia="Courier New" w:hAnsi="Courier New"/>
          <w:sz w:val="15"/>
          <w:szCs w:val="15"/>
          <w:color w:val="auto"/>
        </w:rPr>
      </w:pPr>
    </w:p>
    <w:p>
      <w:pPr>
        <w:ind w:left="825"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July 25, 2001 announcing its second quarter earnings and its new long term financing arrangement.</w:t>
      </w:r>
    </w:p>
    <w:p>
      <w:pPr>
        <w:spacing w:after="0" w:line="174" w:lineRule="exact"/>
        <w:rPr>
          <w:rFonts w:ascii="Courier New" w:cs="Courier New" w:eastAsia="Courier New" w:hAnsi="Courier New"/>
          <w:sz w:val="15"/>
          <w:szCs w:val="15"/>
          <w:color w:val="auto"/>
        </w:rPr>
      </w:pPr>
    </w:p>
    <w:p>
      <w:pPr>
        <w:ind w:left="82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September 5, 2001 announcing its Board of Directors has named Roderick (Rock) R. Baty as the Chairman of the Board of Directors.</w:t>
      </w:r>
    </w:p>
    <w:p>
      <w:pPr>
        <w:spacing w:after="0" w:line="174" w:lineRule="exact"/>
        <w:rPr>
          <w:rFonts w:ascii="Courier New" w:cs="Courier New" w:eastAsia="Courier New" w:hAnsi="Courier New"/>
          <w:sz w:val="15"/>
          <w:szCs w:val="15"/>
          <w:color w:val="auto"/>
        </w:rPr>
      </w:pPr>
    </w:p>
    <w:p>
      <w:pPr>
        <w:ind w:left="825"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September 11, 2001 announcing its decision to close its plant located in Walterboro, South Carolina.</w:t>
      </w:r>
    </w:p>
    <w:p>
      <w:pPr>
        <w:spacing w:after="0" w:line="174" w:lineRule="exact"/>
        <w:rPr>
          <w:rFonts w:ascii="Courier New" w:cs="Courier New" w:eastAsia="Courier New" w:hAnsi="Courier New"/>
          <w:sz w:val="15"/>
          <w:szCs w:val="15"/>
          <w:color w:val="auto"/>
        </w:rPr>
      </w:pP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November 14, 2001 announcing that, due to the voluntary bankruptcy of one of its customers, the Company will need to record a third quarter 2001 reserve for approximately $400,000 pre-tax.</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to Exhibits (attached hereto).</w:t>
      </w:r>
    </w:p>
    <w:p>
      <w:pPr>
        <w:spacing w:after="0" w:line="7" w:lineRule="exact"/>
        <w:rPr>
          <w:rFonts w:ascii="Courier New" w:cs="Courier New" w:eastAsia="Courier New" w:hAnsi="Courier New"/>
          <w:sz w:val="15"/>
          <w:szCs w:val="15"/>
          <w:color w:val="auto"/>
        </w:rPr>
      </w:pPr>
    </w:p>
    <w:p>
      <w:pPr>
        <w:ind w:left="825" w:right="28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without charge to any person, upon the written request of such person, a copy of any of the Exhibits to this Form 10-K.</w:t>
      </w:r>
    </w:p>
    <w:p>
      <w:pPr>
        <w:spacing w:after="0" w:line="200" w:lineRule="exact"/>
        <w:rPr>
          <w:sz w:val="20"/>
          <w:szCs w:val="20"/>
          <w:color w:val="auto"/>
        </w:rPr>
      </w:pPr>
    </w:p>
    <w:p>
      <w:pPr>
        <w:spacing w:after="0" w:line="32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839" w:firstLine="830"/>
        <w:spacing w:after="0" w:line="25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25"/>
          </w:cols>
          <w:pgMar w:left="235" w:top="142"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Roderick R. Baty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Chairman and Director</w:t>
      </w:r>
    </w:p>
    <w:p>
      <w:pPr>
        <w:spacing w:after="0" w:line="185" w:lineRule="exact"/>
        <w:rPr>
          <w:sz w:val="20"/>
          <w:szCs w:val="20"/>
          <w:color w:val="auto"/>
        </w:rPr>
      </w:pPr>
    </w:p>
    <w:p>
      <w:pPr>
        <w:sectPr>
          <w:pgSz w:w="11900" w:h="16838" w:orient="portrait"/>
          <w:cols w:equalWidth="0" w:num="2">
            <w:col w:w="3605" w:space="0"/>
            <w:col w:w="6619"/>
          </w:cols>
          <w:pgMar w:left="235" w:top="142" w:right="1440" w:bottom="0" w:gutter="0" w:footer="0" w:header="0"/>
          <w:type w:val="continuous"/>
        </w:sectPr>
      </w:pPr>
    </w:p>
    <w:p>
      <w:pPr>
        <w:ind w:left="4245"/>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29, 2002</w:t>
      </w:r>
    </w:p>
    <w:p>
      <w:pPr>
        <w:spacing w:after="0" w:line="185" w:lineRule="exact"/>
        <w:rPr>
          <w:sz w:val="20"/>
          <w:szCs w:val="20"/>
          <w:color w:val="auto"/>
        </w:rPr>
      </w:pPr>
    </w:p>
    <w:p>
      <w:pPr>
        <w:sectPr>
          <w:pgSz w:w="11900" w:h="16838" w:orient="portrait"/>
          <w:cols w:equalWidth="0" w:num="2">
            <w:col w:w="4805" w:space="180"/>
            <w:col w:w="5239"/>
          </w:cols>
          <w:pgMar w:left="235" w:top="142" w:right="1440" w:bottom="0" w:gutter="0" w:footer="0" w:header="0"/>
          <w:type w:val="continuous"/>
        </w:sectPr>
      </w:pPr>
    </w:p>
    <w:p>
      <w:pPr>
        <w:ind w:left="5" w:right="3119" w:firstLine="83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25"/>
          </w:cols>
          <w:pgMar w:left="235" w:top="142" w:right="1440" w:bottom="0" w:gutter="0" w:footer="0" w:header="0"/>
          <w:type w:val="continuous"/>
        </w:sectPr>
      </w:pPr>
    </w:p>
    <w:p>
      <w:pPr>
        <w:spacing w:after="0" w:line="175" w:lineRule="exact"/>
        <w:rPr>
          <w:sz w:val="20"/>
          <w:szCs w:val="20"/>
          <w:color w:val="auto"/>
        </w:rPr>
      </w:pPr>
    </w:p>
    <w:p>
      <w:pPr>
        <w:ind w:left="285"/>
        <w:spacing w:after="0"/>
        <w:tabs>
          <w:tab w:leader="none" w:pos="4505" w:val="left"/>
        </w:tabs>
        <w:rPr>
          <w:sz w:val="20"/>
          <w:szCs w:val="20"/>
          <w:color w:val="auto"/>
        </w:rPr>
      </w:pPr>
      <w:r>
        <w:rPr>
          <w:rFonts w:ascii="Courier New" w:cs="Courier New" w:eastAsia="Courier New" w:hAnsi="Courier New"/>
          <w:sz w:val="15"/>
          <w:szCs w:val="15"/>
          <w:color w:val="auto"/>
        </w:rPr>
        <w:t>Name and 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285"/>
        <w:spacing w:after="0"/>
        <w:tabs>
          <w:tab w:leader="none" w:pos="45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Chairman, Chief Executive Officer,</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President and Director (Principal</w:t>
      </w:r>
    </w:p>
    <w:p>
      <w:pPr>
        <w:spacing w:after="0" w:line="8" w:lineRule="exact"/>
        <w:rPr>
          <w:sz w:val="20"/>
          <w:szCs w:val="20"/>
          <w:color w:val="auto"/>
        </w:rPr>
      </w:pPr>
    </w:p>
    <w:p>
      <w:pPr>
        <w:ind w:left="185"/>
        <w:spacing w:after="0"/>
        <w:tabs>
          <w:tab w:leader="none" w:pos="3025" w:val="left"/>
        </w:tabs>
        <w:rPr>
          <w:sz w:val="20"/>
          <w:szCs w:val="20"/>
          <w:color w:val="auto"/>
        </w:rPr>
      </w:pPr>
      <w:r>
        <w:rPr>
          <w:rFonts w:ascii="Courier New" w:cs="Courier New" w:eastAsia="Courier New" w:hAnsi="Courier New"/>
          <w:sz w:val="15"/>
          <w:szCs w:val="15"/>
          <w:color w:val="auto"/>
        </w:rPr>
        <w:t>/S/ RODERICK R. BATY</w:t>
      </w:r>
      <w:r>
        <w:rPr>
          <w:sz w:val="20"/>
          <w:szCs w:val="20"/>
          <w:color w:val="auto"/>
        </w:rPr>
        <w:tab/>
      </w: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105" w:space="720"/>
            <w:col w:w="3399"/>
          </w:cols>
          <w:pgMar w:left="235" w:top="142" w:right="1440" w:bottom="0" w:gutter="0" w:footer="0" w:header="0"/>
          <w:type w:val="continuous"/>
        </w:sect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Roderick R. Baty</w:t>
      </w:r>
    </w:p>
    <w:p>
      <w:pPr>
        <w:sectPr>
          <w:pgSz w:w="11900" w:h="16838" w:orient="portrait"/>
          <w:cols w:equalWidth="0" w:num="1">
            <w:col w:w="10225"/>
          </w:cols>
          <w:pgMar w:left="235" w:top="142" w:right="1440" w:bottom="0" w:gutter="0" w:footer="0" w:header="0"/>
          <w:type w:val="continuous"/>
        </w:sectPr>
      </w:pP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Treasurer, Secretary and Chief</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Accounting Officer (Principal</w:t>
      </w:r>
    </w:p>
    <w:p>
      <w:pPr>
        <w:spacing w:after="0" w:line="8" w:lineRule="exact"/>
        <w:rPr>
          <w:sz w:val="20"/>
          <w:szCs w:val="20"/>
          <w:color w:val="auto"/>
        </w:rPr>
      </w:pPr>
    </w:p>
    <w:p>
      <w:pPr>
        <w:ind w:left="5"/>
        <w:spacing w:after="0"/>
        <w:tabs>
          <w:tab w:leader="none" w:pos="3025" w:val="left"/>
        </w:tabs>
        <w:rPr>
          <w:sz w:val="20"/>
          <w:szCs w:val="20"/>
          <w:color w:val="auto"/>
        </w:rPr>
      </w:pPr>
      <w:r>
        <w:rPr>
          <w:rFonts w:ascii="Courier New" w:cs="Courier New" w:eastAsia="Courier New" w:hAnsi="Courier New"/>
          <w:sz w:val="15"/>
          <w:szCs w:val="15"/>
          <w:color w:val="auto"/>
        </w:rPr>
        <w:t>/S/ WILLIAM C. KELLY, JR.</w:t>
      </w:r>
      <w:r>
        <w:rPr>
          <w:sz w:val="20"/>
          <w:szCs w:val="20"/>
          <w:color w:val="auto"/>
        </w:rPr>
        <w:tab/>
      </w: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105" w:space="720"/>
            <w:col w:w="3399"/>
          </w:cols>
          <w:pgMar w:left="235" w:top="142" w:right="1440" w:bottom="0" w:gutter="0" w:footer="0" w:header="0"/>
          <w:type w:val="continuous"/>
        </w:sectPr>
      </w:pPr>
    </w:p>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Kelly, Jr.</w:t>
      </w:r>
    </w:p>
    <w:p>
      <w:pPr>
        <w:sectPr>
          <w:pgSz w:w="11900" w:h="16838" w:orient="portrait"/>
          <w:cols w:equalWidth="0" w:num="1">
            <w:col w:w="10225"/>
          </w:cols>
          <w:pgMar w:left="235" w:top="142" w:right="1440" w:bottom="0" w:gutter="0" w:footer="0" w:header="0"/>
          <w:type w:val="continuous"/>
        </w:sectPr>
      </w:pP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Vice President - Business Development</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and Chief Financial Officer (Principal</w:t>
      </w:r>
    </w:p>
    <w:p>
      <w:pPr>
        <w:spacing w:after="0" w:line="8" w:lineRule="exact"/>
        <w:rPr>
          <w:sz w:val="20"/>
          <w:szCs w:val="20"/>
          <w:color w:val="auto"/>
        </w:rPr>
      </w:pPr>
    </w:p>
    <w:p>
      <w:pPr>
        <w:ind w:left="185"/>
        <w:spacing w:after="0"/>
        <w:tabs>
          <w:tab w:leader="none" w:pos="3025" w:val="left"/>
        </w:tabs>
        <w:rPr>
          <w:sz w:val="20"/>
          <w:szCs w:val="20"/>
          <w:color w:val="auto"/>
        </w:rPr>
      </w:pPr>
      <w:r>
        <w:rPr>
          <w:rFonts w:ascii="Courier New" w:cs="Courier New" w:eastAsia="Courier New" w:hAnsi="Courier New"/>
          <w:sz w:val="15"/>
          <w:szCs w:val="15"/>
          <w:color w:val="auto"/>
        </w:rPr>
        <w:t>/S/ DAVID L. DYCKMAN</w:t>
      </w:r>
      <w:r>
        <w:rPr>
          <w:sz w:val="20"/>
          <w:szCs w:val="20"/>
          <w:color w:val="auto"/>
        </w:rPr>
        <w:tab/>
      </w: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545" w:space="280"/>
            <w:col w:w="3399"/>
          </w:cols>
          <w:pgMar w:left="235" w:top="142" w:right="1440" w:bottom="0" w:gutter="0" w:footer="0" w:header="0"/>
          <w:type w:val="continuous"/>
        </w:sectPr>
      </w:pPr>
    </w:p>
    <w:p>
      <w:pPr>
        <w:ind w:left="185" w:hanging="185"/>
        <w:spacing w:after="0"/>
        <w:tabs>
          <w:tab w:leader="none" w:pos="1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Dyckman</w:t>
      </w:r>
    </w:p>
    <w:p>
      <w:pPr>
        <w:spacing w:after="0" w:line="185" w:lineRule="exact"/>
        <w:rPr>
          <w:sz w:val="20"/>
          <w:szCs w:val="20"/>
          <w:color w:val="auto"/>
        </w:rPr>
      </w:pPr>
    </w:p>
    <w:p>
      <w:pPr>
        <w:ind w:left="185"/>
        <w:spacing w:after="0"/>
        <w:tabs>
          <w:tab w:leader="none" w:pos="2845" w:val="left"/>
          <w:tab w:leader="none" w:pos="6805" w:val="left"/>
        </w:tabs>
        <w:rPr>
          <w:sz w:val="20"/>
          <w:szCs w:val="20"/>
          <w:color w:val="auto"/>
        </w:rPr>
      </w:pPr>
      <w:r>
        <w:rPr>
          <w:rFonts w:ascii="Courier New" w:cs="Courier New" w:eastAsia="Courier New" w:hAnsi="Courier New"/>
          <w:sz w:val="15"/>
          <w:szCs w:val="15"/>
          <w:color w:val="auto"/>
        </w:rPr>
        <w:t>/S/ RICHARD D. ENNEN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29, 2002</w:t>
      </w:r>
    </w:p>
    <w:p>
      <w:pPr>
        <w:spacing w:after="0" w:line="8" w:lineRule="exact"/>
        <w:rPr>
          <w:sz w:val="20"/>
          <w:szCs w:val="20"/>
          <w:color w:val="auto"/>
        </w:rPr>
      </w:pPr>
    </w:p>
    <w:p>
      <w:pPr>
        <w:ind w:left="185" w:hanging="185"/>
        <w:spacing w:after="0"/>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Ennen</w:t>
      </w:r>
    </w:p>
    <w:p>
      <w:pPr>
        <w:sectPr>
          <w:pgSz w:w="11900" w:h="16838" w:orient="portrait"/>
          <w:cols w:equalWidth="0" w:num="1">
            <w:col w:w="10225"/>
          </w:cols>
          <w:pgMar w:left="235" w:top="142" w:right="1440" w:bottom="0" w:gutter="0" w:footer="0" w:header="0"/>
          <w:type w:val="continuous"/>
        </w:sectPr>
      </w:pPr>
    </w:p>
    <w:bookmarkStart w:id="41" w:name="page42"/>
    <w:bookmarkEnd w:id="41"/>
    <w:tbl>
      <w:tblPr>
        <w:tblLayout w:type="fixed"/>
        <w:tblInd w:w="5" w:type="dxa"/>
        <w:tblCellMar>
          <w:top w:w="0" w:type="dxa"/>
          <w:left w:w="0" w:type="dxa"/>
          <w:bottom w:w="0" w:type="dxa"/>
          <w:right w:w="0" w:type="dxa"/>
        </w:tblCellMar>
      </w:tblPr>
      <w:tr>
        <w:trPr>
          <w:trHeight w:val="172"/>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MICHAEL D. HUFF</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Michael D. Huff</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/S/ G. RONALD MORRIS</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G. Ronald Morris</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MICHAEL E. WERNER</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Michael E. Werner</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STEVEN T. WARSHAW</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Steven T. Warshaw</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/S/ JAMES L. EARSLEY</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bl>
    <w:p>
      <w:pPr>
        <w:spacing w:after="0" w:line="5" w:lineRule="exact"/>
        <w:rPr>
          <w:sz w:val="20"/>
          <w:szCs w:val="20"/>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L. Earsley</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b w:val="1"/>
          <w:bCs w:val="1"/>
          <w:color w:val="auto"/>
        </w:rPr>
        <w:t>Index to Exhibits</w:t>
      </w:r>
    </w:p>
    <w:p>
      <w:pPr>
        <w:spacing w:after="0" w:line="200" w:lineRule="exact"/>
        <w:rPr>
          <w:sz w:val="20"/>
          <w:szCs w:val="20"/>
          <w:color w:val="auto"/>
        </w:rPr>
      </w:pPr>
    </w:p>
    <w:p>
      <w:pPr>
        <w:spacing w:after="0" w:line="340"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LLP</w:t>
      </w:r>
    </w:p>
    <w:p>
      <w:pPr>
        <w:sectPr>
          <w:pgSz w:w="11900" w:h="16838" w:orient="portrait"/>
          <w:cols w:equalWidth="0" w:num="1">
            <w:col w:w="10225"/>
          </w:cols>
          <w:pgMar w:left="235" w:top="14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b w:val="1"/>
          <w:bCs w:val="1"/>
          <w:color w:val="auto"/>
        </w:rPr>
        <w:t>Exhibit 10.16</w:t>
      </w:r>
    </w:p>
    <w:p>
      <w:pPr>
        <w:spacing w:after="0" w:line="200" w:lineRule="exact"/>
        <w:rPr>
          <w:sz w:val="20"/>
          <w:szCs w:val="20"/>
          <w:color w:val="auto"/>
        </w:rPr>
      </w:pPr>
    </w:p>
    <w:p>
      <w:pPr>
        <w:spacing w:after="0" w:line="34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AMENDMENT NO. 1 TO</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AMENDMENT NO. 1 TO EMPLOYMENT AGREEMENT (the "Amendment") is made and entered into as of the 21st day of January, 2002 (the "Effective Date") by and between NN, Inc., a Delaware corporation (the "Company") and Frank T. Gentry III (the "Executive").</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WHEREAS, the Company and Executive are parties to that certain Employment Agreement dated as of May 7, 1998 (the "Employment Agreement") containing the terms and conditions of Executive's employment with the Company;</w:t>
      </w:r>
    </w:p>
    <w:p>
      <w:pPr>
        <w:spacing w:after="0" w:line="175" w:lineRule="exact"/>
        <w:rPr>
          <w:sz w:val="20"/>
          <w:szCs w:val="20"/>
          <w:color w:val="auto"/>
        </w:rPr>
      </w:pPr>
    </w:p>
    <w:p>
      <w:pPr>
        <w:ind w:right="3399" w:firstLine="461"/>
        <w:spacing w:after="0" w:line="252" w:lineRule="auto"/>
        <w:rPr>
          <w:sz w:val="20"/>
          <w:szCs w:val="20"/>
          <w:color w:val="auto"/>
        </w:rPr>
      </w:pPr>
      <w:r>
        <w:rPr>
          <w:rFonts w:ascii="Courier New" w:cs="Courier New" w:eastAsia="Courier New" w:hAnsi="Courier New"/>
          <w:sz w:val="15"/>
          <w:szCs w:val="15"/>
          <w:color w:val="auto"/>
        </w:rPr>
        <w:t>WHEREAS, the Company and Executive now wish to amend the Employment Agreement to provide for mandatory arbitration in the event of any dispute arising under the Employment Agreement;</w:t>
      </w:r>
    </w:p>
    <w:p>
      <w:pPr>
        <w:spacing w:after="0" w:line="17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for other good and valuable consideration, the receipt and sufficiency of which is hereby acknowledged, the parties hereby agree as follows: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b w:val="1"/>
          <w:bCs w:val="1"/>
          <w:color w:val="auto"/>
        </w:rPr>
        <w:t xml:space="preserve">Section 1. Definitions. </w:t>
      </w:r>
      <w:r>
        <w:rPr>
          <w:rFonts w:ascii="Courier New" w:cs="Courier New" w:eastAsia="Courier New" w:hAnsi="Courier New"/>
          <w:sz w:val="15"/>
          <w:szCs w:val="15"/>
          <w:color w:val="auto"/>
        </w:rPr>
        <w:t>Except as otherwise provided herein,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capitalized terms shall have the same definitions in this Amendment as they have in the Employment Agreement.</w:t>
      </w:r>
    </w:p>
    <w:p>
      <w:pPr>
        <w:spacing w:after="0" w:line="175"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b w:val="1"/>
          <w:bCs w:val="1"/>
          <w:color w:val="auto"/>
        </w:rPr>
        <w:t>Section 2. Addition of Paragraph 23.</w:t>
      </w:r>
      <w:r>
        <w:rPr>
          <w:rFonts w:ascii="Courier New" w:cs="Courier New" w:eastAsia="Courier New" w:hAnsi="Courier New"/>
          <w:sz w:val="15"/>
          <w:szCs w:val="15"/>
          <w:color w:val="auto"/>
        </w:rPr>
        <w:t>Paragraph 23 shall be added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and shall read in its entirety as follows: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 xml:space="preserve">"23. </w:t>
      </w: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xml:space="preserve">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 xml:space="preserve">Section 4. No Other Changes. </w:t>
      </w:r>
      <w:r>
        <w:rPr>
          <w:rFonts w:ascii="Courier New" w:cs="Courier New" w:eastAsia="Courier New" w:hAnsi="Courier New"/>
          <w:sz w:val="15"/>
          <w:szCs w:val="15"/>
          <w:color w:val="auto"/>
        </w:rPr>
        <w:t>Except as provided in this Amendment,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other terms and provisions of the Employment Agreement shall remain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undersigned have executed this Amendment as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date first above written.</w:t>
      </w:r>
    </w:p>
    <w:p>
      <w:pPr>
        <w:sectPr>
          <w:pgSz w:w="11900" w:h="16838" w:orient="portrait"/>
          <w:cols w:equalWidth="0" w:num="1">
            <w:col w:w="10219"/>
          </w:cols>
          <w:pgMar w:left="240" w:top="319" w:right="1440" w:bottom="1440" w:gutter="0" w:footer="0" w:header="0"/>
        </w:sectPr>
      </w:pP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Roderick R. Baty</w:t>
      </w:r>
    </w:p>
    <w:p>
      <w:pPr>
        <w:spacing w:after="0" w:line="185" w:lineRule="exact"/>
        <w:rPr>
          <w:sz w:val="20"/>
          <w:szCs w:val="20"/>
          <w:color w:val="auto"/>
        </w:rPr>
      </w:pPr>
    </w:p>
    <w:p>
      <w:pPr>
        <w:sectPr>
          <w:pgSz w:w="11900" w:h="16838" w:orient="portrait"/>
          <w:cols w:equalWidth="0" w:num="2">
            <w:col w:w="4340" w:space="0"/>
            <w:col w:w="5879"/>
          </w:cols>
          <w:pgMar w:left="240" w:top="319"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THE EXECUTIVE: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/s/ Frank Gentry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Frank T. Gentry III</w:t>
      </w:r>
    </w:p>
    <w:p>
      <w:pPr>
        <w:spacing w:after="0" w:line="200"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319"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b w:val="1"/>
          <w:bCs w:val="1"/>
          <w:color w:val="auto"/>
        </w:rPr>
        <w:t>Exhibit 10.17</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FRANK T. GENTRY III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2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119" w:firstLine="825"/>
        <w:spacing w:after="0" w:line="251" w:lineRule="auto"/>
        <w:tabs>
          <w:tab w:leader="none" w:pos="1107" w:val="left"/>
        </w:tabs>
        <w:numPr>
          <w:ilvl w:val="0"/>
          <w:numId w:val="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May 7, 1998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2200" w:hanging="360"/>
        <w:spacing w:after="0"/>
        <w:tabs>
          <w:tab w:leader="none" w:pos="22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w:t>
      </w:r>
    </w:p>
    <w:p>
      <w:pPr>
        <w:sectPr>
          <w:pgSz w:w="11900" w:h="16838" w:orient="portrait"/>
          <w:cols w:equalWidth="0" w:num="1">
            <w:col w:w="10219"/>
          </w:cols>
          <w:pgMar w:left="240" w:top="319" w:right="1440" w:bottom="0" w:gutter="0" w:footer="0" w:header="0"/>
        </w:sectPr>
      </w:pPr>
    </w:p>
    <w:bookmarkStart w:id="44" w:name="page45"/>
    <w:bookmarkEnd w:id="44"/>
    <w:p>
      <w:pPr>
        <w:ind w:left="560" w:right="2939"/>
        <w:spacing w:after="0" w:line="250" w:lineRule="auto"/>
        <w:rPr>
          <w:sz w:val="20"/>
          <w:szCs w:val="20"/>
          <w:color w:val="auto"/>
        </w:rPr>
      </w:pPr>
      <w:r>
        <w:rPr>
          <w:rFonts w:ascii="Courier New" w:cs="Courier New" w:eastAsia="Courier New" w:hAnsi="Courier New"/>
          <w:sz w:val="15"/>
          <w:szCs w:val="15"/>
          <w:color w:val="auto"/>
        </w:rPr>
        <w:t>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w:t>
      </w:r>
    </w:p>
    <w:p>
      <w:pPr>
        <w:spacing w:after="0" w:line="2" w:lineRule="exact"/>
        <w:rPr>
          <w:sz w:val="20"/>
          <w:szCs w:val="20"/>
          <w:color w:val="auto"/>
        </w:rPr>
      </w:pPr>
    </w:p>
    <w:p>
      <w:pPr>
        <w:ind w:left="560" w:right="3019"/>
        <w:spacing w:after="0" w:line="250" w:lineRule="auto"/>
        <w:rPr>
          <w:sz w:val="20"/>
          <w:szCs w:val="20"/>
          <w:color w:val="auto"/>
        </w:rPr>
      </w:pPr>
      <w:r>
        <w:rPr>
          <w:rFonts w:ascii="Courier New" w:cs="Courier New" w:eastAsia="Courier New" w:hAnsi="Courier New"/>
          <w:sz w:val="15"/>
          <w:szCs w:val="15"/>
          <w:color w:val="auto"/>
        </w:rPr>
        <w:t>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w:t>
      </w:r>
    </w:p>
    <w:p>
      <w:pPr>
        <w:spacing w:after="0" w:line="3" w:lineRule="exact"/>
        <w:rPr>
          <w:sz w:val="20"/>
          <w:szCs w:val="20"/>
          <w:color w:val="auto"/>
        </w:rPr>
      </w:pPr>
    </w:p>
    <w:p>
      <w:pPr>
        <w:ind w:left="560" w:right="2839"/>
        <w:spacing w:after="0" w:line="250" w:lineRule="auto"/>
        <w:rPr>
          <w:sz w:val="20"/>
          <w:szCs w:val="20"/>
          <w:color w:val="auto"/>
        </w:rPr>
      </w:pPr>
      <w:r>
        <w:rPr>
          <w:rFonts w:ascii="Courier New" w:cs="Courier New" w:eastAsia="Courier New" w:hAnsi="Courier New"/>
          <w:sz w:val="15"/>
          <w:szCs w:val="15"/>
          <w:color w:val="auto"/>
        </w:rPr>
        <w:t>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w:t>
      </w:r>
    </w:p>
    <w:p>
      <w:pPr>
        <w:spacing w:after="0" w:line="1" w:lineRule="exact"/>
        <w:rPr>
          <w:sz w:val="20"/>
          <w:szCs w:val="20"/>
          <w:color w:val="auto"/>
        </w:rPr>
      </w:pPr>
    </w:p>
    <w:p>
      <w:pPr>
        <w:ind w:left="560" w:right="2939"/>
        <w:spacing w:after="0" w:line="251" w:lineRule="auto"/>
        <w:rPr>
          <w:sz w:val="20"/>
          <w:szCs w:val="20"/>
          <w:color w:val="auto"/>
        </w:rPr>
      </w:pPr>
      <w:r>
        <w:rPr>
          <w:rFonts w:ascii="Courier New" w:cs="Courier New" w:eastAsia="Courier New" w:hAnsi="Courier New"/>
          <w:sz w:val="15"/>
          <w:szCs w:val="15"/>
          <w:color w:val="auto"/>
        </w:rPr>
        <w:t>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5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0" w:right="2839" w:firstLine="459"/>
        <w:spacing w:after="0" w:line="250" w:lineRule="auto"/>
        <w:tabs>
          <w:tab w:leader="none" w:pos="102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560" w:right="3119" w:firstLine="460"/>
        <w:spacing w:after="0" w:line="253" w:lineRule="auto"/>
        <w:tabs>
          <w:tab w:leader="none" w:pos="13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560" w:right="3019" w:firstLine="460"/>
        <w:spacing w:after="0" w:line="251" w:lineRule="auto"/>
        <w:tabs>
          <w:tab w:leader="none" w:pos="13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36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w:t>
      </w:r>
    </w:p>
    <w:p>
      <w:pPr>
        <w:sectPr>
          <w:pgSz w:w="11900" w:h="16838" w:orient="portrait"/>
          <w:cols w:equalWidth="0" w:num="1">
            <w:col w:w="9399"/>
          </w:cols>
          <w:pgMar w:left="1060" w:top="142" w:right="1440" w:bottom="0" w:gutter="0" w:footer="0" w:header="0"/>
        </w:sectPr>
      </w:pPr>
    </w:p>
    <w:bookmarkStart w:id="45" w:name="page46"/>
    <w:bookmarkEnd w:id="45"/>
    <w:p>
      <w:pPr>
        <w:ind w:left="95"/>
        <w:spacing w:after="0"/>
        <w:rPr>
          <w:sz w:val="20"/>
          <w:szCs w:val="20"/>
          <w:color w:val="auto"/>
        </w:rPr>
      </w:pPr>
      <w:r>
        <w:rPr>
          <w:rFonts w:ascii="Courier New" w:cs="Courier New" w:eastAsia="Courier New" w:hAnsi="Courier New"/>
          <w:sz w:val="15"/>
          <w:szCs w:val="15"/>
          <w:color w:val="auto"/>
        </w:rPr>
        <w:t>taxing authority.</w:t>
      </w:r>
    </w:p>
    <w:p>
      <w:pPr>
        <w:spacing w:after="0" w:line="185" w:lineRule="exact"/>
        <w:rPr>
          <w:sz w:val="20"/>
          <w:szCs w:val="20"/>
          <w:color w:val="auto"/>
        </w:rPr>
      </w:pPr>
    </w:p>
    <w:p>
      <w:pPr>
        <w:ind w:left="95" w:right="2839" w:firstLine="459"/>
        <w:spacing w:after="0" w:line="250" w:lineRule="auto"/>
        <w:tabs>
          <w:tab w:leader="none" w:pos="92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cease for any reason to constitute at</w:t>
      </w:r>
    </w:p>
    <w:p>
      <w:pPr>
        <w:spacing w:after="0" w:line="9" w:lineRule="exact"/>
        <w:rPr>
          <w:rFonts w:ascii="Courier New" w:cs="Courier New" w:eastAsia="Courier New" w:hAnsi="Courier New"/>
          <w:sz w:val="15"/>
          <w:szCs w:val="15"/>
          <w:color w:val="auto"/>
        </w:rPr>
      </w:pPr>
    </w:p>
    <w:p>
      <w:pPr>
        <w:ind w:left="9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52" w:lineRule="exact"/>
        <w:rPr>
          <w:rFonts w:ascii="Courier New" w:cs="Courier New" w:eastAsia="Courier New" w:hAnsi="Courier New"/>
          <w:sz w:val="15"/>
          <w:szCs w:val="15"/>
          <w:color w:val="auto"/>
        </w:rPr>
      </w:pPr>
    </w:p>
    <w:p>
      <w:pPr>
        <w:ind w:left="95" w:right="2939" w:firstLine="459"/>
        <w:spacing w:after="0" w:line="250" w:lineRule="auto"/>
        <w:tabs>
          <w:tab w:leader="none" w:pos="92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95" w:right="2839" w:hanging="3"/>
        <w:spacing w:after="0" w:line="252" w:lineRule="auto"/>
        <w:tabs>
          <w:tab w:leader="none" w:pos="6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915" w:hanging="361"/>
        <w:spacing w:after="0"/>
        <w:tabs>
          <w:tab w:leader="none" w:pos="91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9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88265</wp:posOffset>
            </wp:positionV>
            <wp:extent cx="72891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5"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95" w:right="2939" w:firstLine="459"/>
        <w:spacing w:after="0" w:line="251" w:lineRule="auto"/>
        <w:tabs>
          <w:tab w:leader="none" w:pos="925"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3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95" w:right="2839" w:firstLine="459"/>
        <w:spacing w:after="0" w:line="250" w:lineRule="auto"/>
        <w:tabs>
          <w:tab w:leader="none" w:pos="92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w:t>
      </w:r>
    </w:p>
    <w:p>
      <w:pPr>
        <w:sectPr>
          <w:pgSz w:w="11900" w:h="16838" w:orient="portrait"/>
          <w:cols w:equalWidth="0" w:num="1">
            <w:col w:w="9394"/>
          </w:cols>
          <w:pgMar w:left="1065" w:top="142" w:right="1440" w:bottom="0" w:gutter="0" w:footer="0" w:header="0"/>
        </w:sectPr>
      </w:pPr>
    </w:p>
    <w:bookmarkStart w:id="46" w:name="page47"/>
    <w:bookmarkEnd w:id="46"/>
    <w:p>
      <w:pPr>
        <w:ind w:left="920" w:right="3399"/>
        <w:spacing w:after="0" w:line="253" w:lineRule="auto"/>
        <w:rPr>
          <w:sz w:val="20"/>
          <w:szCs w:val="20"/>
          <w:color w:val="auto"/>
        </w:rPr>
      </w:pPr>
      <w:r>
        <w:rPr>
          <w:rFonts w:ascii="Courier New" w:cs="Courier New" w:eastAsia="Courier New" w:hAnsi="Courier New"/>
          <w:sz w:val="15"/>
          <w:szCs w:val="15"/>
          <w:color w:val="auto"/>
        </w:rPr>
        <w:t>communicate to any person or entity any Confidential Information unless specifically directed by Employer to do so in writing.</w:t>
      </w:r>
    </w:p>
    <w:p>
      <w:pPr>
        <w:spacing w:after="0" w:line="174" w:lineRule="exact"/>
        <w:rPr>
          <w:sz w:val="20"/>
          <w:szCs w:val="20"/>
          <w:color w:val="auto"/>
        </w:rPr>
      </w:pPr>
    </w:p>
    <w:p>
      <w:pPr>
        <w:ind w:left="920" w:right="2839" w:firstLine="459"/>
        <w:spacing w:after="0" w:line="251" w:lineRule="auto"/>
        <w:tabs>
          <w:tab w:leader="none" w:pos="17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3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3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performance thereof (including as a result of any dispute by Employee regarding the amount of any payment pursuant to this agreement), plus in each case interest on any delayed payment at the rate published from time to time in The Wall Street Journal as the prime rate of interest plus two percent (2%).</w:t>
      </w:r>
    </w:p>
    <w:p>
      <w:pPr>
        <w:sectPr>
          <w:pgSz w:w="11900" w:h="16838" w:orient="portrait"/>
          <w:cols w:equalWidth="0" w:num="1">
            <w:col w:w="10219"/>
          </w:cols>
          <w:pgMar w:left="240" w:top="142" w:right="1440" w:bottom="0" w:gutter="0" w:footer="0" w:header="0"/>
        </w:sectPr>
      </w:pPr>
    </w:p>
    <w:bookmarkStart w:id="47" w:name="page48"/>
    <w:bookmarkEnd w:id="47"/>
    <w:p>
      <w:pPr>
        <w:ind w:left="5" w:right="4060" w:firstLine="825"/>
        <w:spacing w:after="0" w:line="252" w:lineRule="auto"/>
        <w:tabs>
          <w:tab w:leader="none" w:pos="1113"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left="5" w:right="4160" w:firstLine="825"/>
        <w:spacing w:after="0" w:line="250" w:lineRule="auto"/>
        <w:tabs>
          <w:tab w:leader="none" w:pos="1113"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4440" w:firstLine="825"/>
        <w:spacing w:after="0" w:line="253" w:lineRule="auto"/>
        <w:tabs>
          <w:tab w:leader="none" w:pos="1113"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4240" w:firstLine="825"/>
        <w:spacing w:after="0" w:line="251" w:lineRule="auto"/>
        <w:tabs>
          <w:tab w:leader="none" w:pos="1205"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left="5" w:right="4060" w:firstLine="825"/>
        <w:spacing w:after="0" w:line="251" w:lineRule="auto"/>
        <w:tabs>
          <w:tab w:leader="none" w:pos="1205"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ind w:left="1205" w:hanging="375"/>
        <w:spacing w:after="0"/>
        <w:tabs>
          <w:tab w:leader="none" w:pos="1205"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w:t>
      </w:r>
    </w:p>
    <w:p>
      <w:pPr>
        <w:spacing w:after="0" w:line="8" w:lineRule="exact"/>
        <w:rPr>
          <w:sz w:val="20"/>
          <w:szCs w:val="20"/>
          <w:color w:val="auto"/>
        </w:rPr>
      </w:pPr>
    </w:p>
    <w:p>
      <w:pPr>
        <w:ind w:left="5" w:right="4340"/>
        <w:spacing w:after="0" w:line="252" w:lineRule="auto"/>
        <w:rPr>
          <w:sz w:val="20"/>
          <w:szCs w:val="20"/>
          <w:color w:val="auto"/>
        </w:rPr>
      </w:pPr>
      <w:r>
        <w:rPr>
          <w:rFonts w:ascii="Courier New" w:cs="Courier New" w:eastAsia="Courier New" w:hAnsi="Courier New"/>
          <w:sz w:val="15"/>
          <w:szCs w:val="15"/>
          <w:color w:val="auto"/>
        </w:rPr>
        <w:t>agreement between Employer and Employee as to the subject matter hereof. This Agreement shall not be subject to the terms and conditions of any agreement concerning arbitration or dispute resolution between Employer and Employee.</w:t>
      </w:r>
    </w:p>
    <w:p>
      <w:pPr>
        <w:spacing w:after="0" w:line="175" w:lineRule="exact"/>
        <w:rPr>
          <w:sz w:val="20"/>
          <w:szCs w:val="20"/>
          <w:color w:val="auto"/>
        </w:rPr>
      </w:pPr>
    </w:p>
    <w:p>
      <w:pPr>
        <w:ind w:left="5" w:right="4160"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4700"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/s/ Frank Gentry</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Frank T. Gentry III</w:t>
      </w:r>
    </w:p>
    <w:p>
      <w:pPr>
        <w:spacing w:after="0" w:line="200" w:lineRule="exact"/>
        <w:rPr>
          <w:sz w:val="20"/>
          <w:szCs w:val="20"/>
          <w:color w:val="auto"/>
        </w:rPr>
      </w:pPr>
    </w:p>
    <w:p>
      <w:pPr>
        <w:spacing w:after="0" w:line="340"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7760" w:type="dxa"/>
            <w:vAlign w:val="bottom"/>
          </w:tcPr>
          <w:p>
            <w:pPr>
              <w:jc w:val="right"/>
              <w:ind w:right="5283"/>
              <w:spacing w:after="0"/>
              <w:rPr>
                <w:sz w:val="20"/>
                <w:szCs w:val="20"/>
                <w:color w:val="auto"/>
              </w:rPr>
            </w:pPr>
            <w:r>
              <w:rPr>
                <w:rFonts w:ascii="Courier New" w:cs="Courier New" w:eastAsia="Courier New" w:hAnsi="Courier New"/>
                <w:sz w:val="15"/>
                <w:szCs w:val="15"/>
                <w:color w:val="auto"/>
              </w:rPr>
              <w:t>/s/ Roderick R. Baty</w:t>
            </w:r>
          </w:p>
        </w:tc>
      </w:tr>
      <w:tr>
        <w:trPr>
          <w:trHeight w:val="177"/>
        </w:trPr>
        <w:tc>
          <w:tcPr>
            <w:tcW w:w="3680" w:type="dxa"/>
            <w:vAlign w:val="bottom"/>
          </w:tcPr>
          <w:p>
            <w:pPr>
              <w:spacing w:after="0"/>
              <w:rPr>
                <w:sz w:val="15"/>
                <w:szCs w:val="15"/>
                <w:color w:val="auto"/>
              </w:rPr>
            </w:pPr>
          </w:p>
        </w:tc>
        <w:tc>
          <w:tcPr>
            <w:tcW w:w="776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tcPr>
          <w:p>
            <w:pPr>
              <w:spacing w:after="0"/>
              <w:rPr>
                <w:sz w:val="15"/>
                <w:szCs w:val="15"/>
                <w:color w:val="auto"/>
              </w:rPr>
            </w:pPr>
          </w:p>
        </w:tc>
        <w:tc>
          <w:tcPr>
            <w:tcW w:w="7760" w:type="dxa"/>
            <w:vAlign w:val="bottom"/>
          </w:tcPr>
          <w:p>
            <w:pPr>
              <w:jc w:val="right"/>
              <w:ind w:right="5183"/>
              <w:spacing w:after="0"/>
              <w:rPr>
                <w:sz w:val="20"/>
                <w:szCs w:val="20"/>
                <w:color w:val="auto"/>
              </w:rPr>
            </w:pPr>
            <w:r>
              <w:rPr>
                <w:rFonts w:ascii="Courier New" w:cs="Courier New" w:eastAsia="Courier New" w:hAnsi="Courier New"/>
                <w:sz w:val="15"/>
                <w:szCs w:val="15"/>
                <w:color w:val="auto"/>
              </w:rPr>
              <w:t>Roderick R. Baty</w:t>
            </w:r>
          </w:p>
        </w:tc>
      </w:tr>
      <w:tr>
        <w:trPr>
          <w:trHeight w:val="35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760" w:type="dxa"/>
            <w:vAlign w:val="bottom"/>
          </w:tcPr>
          <w:p>
            <w:pPr>
              <w:spacing w:after="0"/>
              <w:rPr>
                <w:sz w:val="24"/>
                <w:szCs w:val="24"/>
                <w:color w:val="auto"/>
              </w:rPr>
            </w:pPr>
          </w:p>
        </w:tc>
      </w:tr>
      <w:tr>
        <w:trPr>
          <w:trHeight w:val="161"/>
        </w:trPr>
        <w:tc>
          <w:tcPr>
            <w:tcW w:w="3680" w:type="dxa"/>
            <w:vAlign w:val="bottom"/>
            <w:tcBorders>
              <w:bottom w:val="single" w:sz="8" w:color="9A9A9A"/>
            </w:tcBorders>
          </w:tcPr>
          <w:p>
            <w:pPr>
              <w:spacing w:after="0"/>
              <w:rPr>
                <w:sz w:val="13"/>
                <w:szCs w:val="13"/>
                <w:color w:val="auto"/>
              </w:rPr>
            </w:pPr>
          </w:p>
        </w:tc>
        <w:tc>
          <w:tcPr>
            <w:tcW w:w="77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4980" w:hanging="465"/>
        <w:spacing w:after="0" w:line="253" w:lineRule="auto"/>
        <w:tabs>
          <w:tab w:leader="none" w:pos="4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4620" w:hanging="465"/>
        <w:spacing w:after="0" w:line="253" w:lineRule="auto"/>
        <w:tabs>
          <w:tab w:leader="none" w:pos="4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4340" w:hanging="465"/>
        <w:spacing w:after="0" w:line="252" w:lineRule="auto"/>
        <w:tabs>
          <w:tab w:leader="none" w:pos="4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ectPr>
          <w:pgSz w:w="11900" w:h="16838" w:orient="portrait"/>
          <w:cols w:equalWidth="0" w:num="1">
            <w:col w:w="11445"/>
          </w:cols>
          <w:pgMar w:left="235" w:top="319" w:right="219" w:bottom="207" w:gutter="0" w:footer="0" w:header="0"/>
        </w:sectPr>
      </w:pPr>
    </w:p>
    <w:bookmarkStart w:id="48" w:name="page49"/>
    <w:bookmarkEnd w:id="48"/>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49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b w:val="1"/>
          <w:bCs w:val="1"/>
          <w:color w:val="auto"/>
        </w:rPr>
        <w:t>Exhibit 10.18</w:t>
      </w:r>
    </w:p>
    <w:p>
      <w:pPr>
        <w:spacing w:after="0" w:line="200" w:lineRule="exact"/>
        <w:rPr>
          <w:sz w:val="20"/>
          <w:szCs w:val="20"/>
          <w:color w:val="auto"/>
        </w:rPr>
      </w:pPr>
    </w:p>
    <w:p>
      <w:pPr>
        <w:spacing w:after="0" w:line="34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AMENDMENT NO. 1 TO</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AMENDMENT NO. 1 TO EMPLOYMENT AGREEMENT (the "Amendment") is made and entered into as of the 21st day of January, 2002 (the "Effective Date") by and between NN, Inc., a Delaware corporation (the "Company") and Roderick R. Baty (the "Executive").</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WHEREAS, the Company and Executive are parties to that certain Employment Agreement dated as of August 1, 1997 (the "Employment Agreement") containing the terms and conditions of Executive's employment with the Company;</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WHEREAS, the Company and Executive now wish to amend the Employment Agreement to provide for mandatory arbitration in the event of any dispute arising under the Employment Agreement;</w:t>
      </w:r>
    </w:p>
    <w:p>
      <w:pPr>
        <w:spacing w:after="0" w:line="175"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for other good and valuable consideration, the receipt and sufficiency of which is hereby acknowledged, the parties hereby agree as follows:</w:t>
      </w:r>
    </w:p>
    <w:p>
      <w:pPr>
        <w:spacing w:after="0" w:line="17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b w:val="1"/>
          <w:bCs w:val="1"/>
          <w:color w:val="auto"/>
        </w:rPr>
        <w:t xml:space="preserve">Section 1. Definitions. </w:t>
      </w:r>
      <w:r>
        <w:rPr>
          <w:rFonts w:ascii="Courier New" w:cs="Courier New" w:eastAsia="Courier New" w:hAnsi="Courier New"/>
          <w:sz w:val="15"/>
          <w:szCs w:val="15"/>
          <w:color w:val="auto"/>
        </w:rPr>
        <w:t>Except as otherwise provided herein,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capitalized terms shall have the same definitions in this Amendment as they have in the Employment Agreement.</w:t>
      </w:r>
    </w:p>
    <w:p>
      <w:pPr>
        <w:spacing w:after="0" w:line="17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Section 2. </w:t>
      </w:r>
      <w:r>
        <w:rPr>
          <w:rFonts w:ascii="Courier New" w:cs="Courier New" w:eastAsia="Courier New" w:hAnsi="Courier New"/>
          <w:sz w:val="15"/>
          <w:szCs w:val="15"/>
          <w:color w:val="auto"/>
        </w:rPr>
        <w:t>Addition of Paragraph 23. Paragraph 23 shall be added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and shall read in its entirety as follows: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"23. </w:t>
      </w: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xml:space="preserve">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Section 4. No Other Changes. </w:t>
      </w:r>
      <w:r>
        <w:rPr>
          <w:rFonts w:ascii="Courier New" w:cs="Courier New" w:eastAsia="Courier New" w:hAnsi="Courier New"/>
          <w:sz w:val="15"/>
          <w:szCs w:val="15"/>
          <w:color w:val="auto"/>
        </w:rPr>
        <w:t>Except as provided in this Amendment,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other terms and provisions of the Employment Agreement shall remain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194310</wp:posOffset>
            </wp:positionV>
            <wp:extent cx="72891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undersigned have executed this Amendment as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date first above written.</w:t>
      </w:r>
    </w:p>
    <w:p>
      <w:pPr>
        <w:sectPr>
          <w:pgSz w:w="11900" w:h="16838" w:orient="portrait"/>
          <w:cols w:equalWidth="0" w:num="1">
            <w:col w:w="10219"/>
          </w:cols>
          <w:pgMar w:left="240" w:top="319" w:right="1440" w:bottom="1440" w:gutter="0" w:footer="0" w:header="0"/>
        </w:sectPr>
      </w:pP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David L. Dyckman</w:t>
      </w:r>
    </w:p>
    <w:p>
      <w:pPr>
        <w:spacing w:after="0" w:line="185" w:lineRule="exact"/>
        <w:rPr>
          <w:sz w:val="20"/>
          <w:szCs w:val="20"/>
          <w:color w:val="auto"/>
        </w:rPr>
      </w:pPr>
    </w:p>
    <w:p>
      <w:pPr>
        <w:sectPr>
          <w:pgSz w:w="11900" w:h="16838" w:orient="portrait"/>
          <w:cols w:equalWidth="0" w:num="2">
            <w:col w:w="4340" w:space="0"/>
            <w:col w:w="5879"/>
          </w:cols>
          <w:pgMar w:left="240" w:top="319"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THE EXECUTIVE: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Roderick R. Baty</w:t>
      </w:r>
    </w:p>
    <w:p>
      <w:pPr>
        <w:spacing w:after="0" w:line="200"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319"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5"/>
          <w:szCs w:val="15"/>
          <w:b w:val="1"/>
          <w:bCs w:val="1"/>
          <w:color w:val="auto"/>
        </w:rPr>
        <w:t>Exhibit 10.19</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RODERICK R. BATY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NOW, THEREFORE</w:t>
      </w:r>
      <w:r>
        <w:rPr>
          <w:rFonts w:ascii="Courier New" w:cs="Courier New" w:eastAsia="Courier New" w:hAnsi="Courier New"/>
          <w:sz w:val="15"/>
          <w:szCs w:val="15"/>
          <w:color w:val="auto"/>
        </w:rPr>
        <w:t>, 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56"/>
        <w:spacing w:after="0" w:line="250" w:lineRule="auto"/>
        <w:tabs>
          <w:tab w:leader="none" w:pos="738" w:val="left"/>
        </w:tabs>
        <w:numPr>
          <w:ilvl w:val="0"/>
          <w:numId w:val="4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rFonts w:ascii="Courier New" w:cs="Courier New" w:eastAsia="Courier New" w:hAnsi="Courier New"/>
          <w:sz w:val="15"/>
          <w:szCs w:val="15"/>
          <w:b w:val="1"/>
          <w:bCs w:val="1"/>
          <w:color w:val="auto"/>
        </w:rPr>
      </w:pPr>
    </w:p>
    <w:p>
      <w:pPr>
        <w:ind w:right="3119" w:firstLine="456"/>
        <w:spacing w:after="0" w:line="251" w:lineRule="auto"/>
        <w:tabs>
          <w:tab w:leader="none" w:pos="738" w:val="left"/>
        </w:tabs>
        <w:numPr>
          <w:ilvl w:val="0"/>
          <w:numId w:val="4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terms and conditions of Employee's employment are set forth in the Employment Agreement dated August 1, 1997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740" w:hanging="284"/>
        <w:spacing w:after="0"/>
        <w:tabs>
          <w:tab w:leader="none" w:pos="740" w:val="left"/>
        </w:tabs>
        <w:numPr>
          <w:ilvl w:val="0"/>
          <w:numId w:val="4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920" w:right="2839" w:firstLine="459"/>
        <w:spacing w:after="0" w:line="251" w:lineRule="auto"/>
        <w:tabs>
          <w:tab w:leader="none" w:pos="175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920" w:right="2939" w:firstLine="459"/>
        <w:spacing w:after="0" w:line="250" w:lineRule="auto"/>
        <w:tabs>
          <w:tab w:leader="none" w:pos="1843"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w:t>
      </w:r>
    </w:p>
    <w:p>
      <w:pPr>
        <w:spacing w:after="0" w:line="1"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Bonus</w:t>
      </w:r>
      <w:r>
        <w:rPr>
          <w:rFonts w:ascii="Courier New" w:cs="Courier New" w:eastAsia="Courier New" w:hAnsi="Courier New"/>
          <w:sz w:val="15"/>
          <w:szCs w:val="15"/>
          <w:color w:val="auto"/>
        </w:rPr>
        <w:t>"). The Pro-rated Bonus shall be payable to Employee at the</w:t>
      </w:r>
    </w:p>
    <w:p>
      <w:pPr>
        <w:spacing w:after="0" w:line="7" w:lineRule="exact"/>
        <w:rPr>
          <w:rFonts w:ascii="Courier New" w:cs="Courier New" w:eastAsia="Courier New" w:hAnsi="Courier New"/>
          <w:sz w:val="15"/>
          <w:szCs w:val="15"/>
          <w:color w:val="auto"/>
        </w:rPr>
      </w:pPr>
    </w:p>
    <w:p>
      <w:pPr>
        <w:ind w:left="920" w:right="2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end of the calendar year for which the bonus is payable, in accordance with Employer's normal bonus procedures; and</w:t>
      </w:r>
    </w:p>
    <w:p>
      <w:pPr>
        <w:spacing w:after="0" w:line="174" w:lineRule="exact"/>
        <w:rPr>
          <w:rFonts w:ascii="Courier New" w:cs="Courier New" w:eastAsia="Courier New" w:hAnsi="Courier New"/>
          <w:sz w:val="15"/>
          <w:szCs w:val="15"/>
          <w:color w:val="auto"/>
        </w:rPr>
      </w:pPr>
    </w:p>
    <w:p>
      <w:pPr>
        <w:ind w:left="1940" w:hanging="561"/>
        <w:spacing w:after="0"/>
        <w:tabs>
          <w:tab w:leader="none" w:pos="194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thirty months after such termination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-1924050</wp:posOffset>
            </wp:positionV>
            <wp:extent cx="72891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ind w:left="920" w:right="2839"/>
        <w:spacing w:after="0" w:line="251" w:lineRule="auto"/>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17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280" w:hanging="363"/>
        <w:spacing w:after="0"/>
        <w:tabs>
          <w:tab w:leader="none" w:pos="1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920" w:right="2939" w:firstLine="459"/>
        <w:spacing w:after="0" w:line="251" w:lineRule="auto"/>
        <w:tabs>
          <w:tab w:leader="none" w:pos="175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w:t>
      </w:r>
    </w:p>
    <w:p>
      <w:pPr>
        <w:sectPr>
          <w:pgSz w:w="11900" w:h="16838" w:orient="portrait"/>
          <w:cols w:equalWidth="0" w:num="1">
            <w:col w:w="10219"/>
          </w:cols>
          <w:pgMar w:left="240" w:top="319" w:right="1440" w:bottom="0" w:gutter="0" w:footer="0" w:header="0"/>
        </w:sectPr>
      </w:pPr>
    </w:p>
    <w:bookmarkStart w:id="51" w:name="page52"/>
    <w:bookmarkEnd w:id="51"/>
    <w:p>
      <w:pPr>
        <w:ind w:left="100" w:right="2839"/>
        <w:spacing w:after="0" w:line="250" w:lineRule="auto"/>
        <w:rPr>
          <w:sz w:val="20"/>
          <w:szCs w:val="20"/>
          <w:color w:val="auto"/>
        </w:rPr>
      </w:pPr>
      <w:r>
        <w:rPr>
          <w:rFonts w:ascii="Courier New" w:cs="Courier New" w:eastAsia="Courier New" w:hAnsi="Courier New"/>
          <w:sz w:val="15"/>
          <w:szCs w:val="15"/>
          <w:color w:val="auto"/>
        </w:rPr>
        <w:t>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839" w:firstLine="459"/>
        <w:spacing w:after="0" w:line="250" w:lineRule="auto"/>
        <w:tabs>
          <w:tab w:leader="none" w:pos="102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560" w:right="3119" w:firstLine="460"/>
        <w:spacing w:after="0" w:line="253" w:lineRule="auto"/>
        <w:tabs>
          <w:tab w:leader="none" w:pos="13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560" w:right="3019" w:firstLine="460"/>
        <w:spacing w:after="0" w:line="251" w:lineRule="auto"/>
        <w:tabs>
          <w:tab w:leader="none" w:pos="13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pacing w:after="0" w:line="176" w:lineRule="exact"/>
        <w:rPr>
          <w:sz w:val="20"/>
          <w:szCs w:val="20"/>
          <w:color w:val="auto"/>
        </w:rPr>
      </w:pPr>
    </w:p>
    <w:p>
      <w:pPr>
        <w:ind w:right="2839" w:firstLine="374"/>
        <w:spacing w:after="0" w:line="251" w:lineRule="auto"/>
        <w:tabs>
          <w:tab w:leader="none" w:pos="101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w:t>
      </w:r>
    </w:p>
    <w:p>
      <w:pPr>
        <w:sectPr>
          <w:pgSz w:w="11900" w:h="16838" w:orient="portrait"/>
          <w:cols w:equalWidth="0" w:num="1">
            <w:col w:w="9399"/>
          </w:cols>
          <w:pgMar w:left="1060" w:top="142" w:right="1440" w:bottom="0" w:gutter="0" w:footer="0" w:header="0"/>
        </w:sectPr>
      </w:pPr>
    </w:p>
    <w:bookmarkStart w:id="52" w:name="page53"/>
    <w:bookmarkEnd w:id="52"/>
    <w:p>
      <w:pPr>
        <w:ind w:right="2839"/>
        <w:spacing w:after="0" w:line="250" w:lineRule="auto"/>
        <w:rPr>
          <w:sz w:val="20"/>
          <w:szCs w:val="20"/>
          <w:color w:val="auto"/>
        </w:rPr>
      </w:pPr>
      <w:r>
        <w:rPr>
          <w:rFonts w:ascii="Courier New" w:cs="Courier New" w:eastAsia="Courier New" w:hAnsi="Courier New"/>
          <w:sz w:val="15"/>
          <w:szCs w:val="15"/>
          <w:color w:val="auto"/>
        </w:rPr>
        <w:t>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"Incumbent Board") cease for any reason to constitute at 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88" w:lineRule="exact"/>
        <w:rPr>
          <w:sz w:val="20"/>
          <w:szCs w:val="20"/>
          <w:color w:val="auto"/>
        </w:rPr>
      </w:pPr>
    </w:p>
    <w:p>
      <w:pPr>
        <w:ind w:right="2759" w:firstLine="559"/>
        <w:spacing w:after="0" w:line="250" w:lineRule="auto"/>
        <w:tabs>
          <w:tab w:leader="none" w:pos="110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right="2839" w:firstLine="5"/>
        <w:spacing w:after="0" w:line="252" w:lineRule="auto"/>
        <w:tabs>
          <w:tab w:leader="none" w:pos="55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120" w:hanging="561"/>
        <w:spacing w:after="0"/>
        <w:tabs>
          <w:tab w:leader="none" w:pos="11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right="2839" w:firstLine="466"/>
        <w:spacing w:after="0" w:line="251" w:lineRule="auto"/>
        <w:tabs>
          <w:tab w:leader="none" w:pos="101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0" w:hanging="275"/>
        <w:spacing w:after="0"/>
        <w:tabs>
          <w:tab w:leader="none" w:pos="280" w:val="left"/>
        </w:tabs>
        <w:numPr>
          <w:ilvl w:val="0"/>
          <w:numId w:val="4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100" w:right="2839" w:firstLine="459"/>
        <w:spacing w:after="0" w:line="250" w:lineRule="auto"/>
        <w:tabs>
          <w:tab w:leader="none" w:pos="93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pacing w:after="0" w:line="186" w:lineRule="exact"/>
        <w:rPr>
          <w:rFonts w:ascii="Courier New" w:cs="Courier New" w:eastAsia="Courier New" w:hAnsi="Courier New"/>
          <w:sz w:val="15"/>
          <w:szCs w:val="15"/>
          <w:color w:val="auto"/>
        </w:rPr>
      </w:pPr>
    </w:p>
    <w:p>
      <w:pPr>
        <w:ind w:left="100" w:right="2839" w:firstLine="459"/>
        <w:spacing w:after="0" w:line="251" w:lineRule="auto"/>
        <w:tabs>
          <w:tab w:leader="none" w:pos="93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w:t>
      </w:r>
    </w:p>
    <w:p>
      <w:pPr>
        <w:sectPr>
          <w:pgSz w:w="11900" w:h="16838" w:orient="portrait"/>
          <w:cols w:equalWidth="0" w:num="1">
            <w:col w:w="9399"/>
          </w:cols>
          <w:pgMar w:left="1060" w:top="142" w:right="1440" w:bottom="0" w:gutter="0" w:footer="0" w:header="0"/>
        </w:sectPr>
      </w:pPr>
    </w:p>
    <w:bookmarkStart w:id="53" w:name="page54"/>
    <w:bookmarkEnd w:id="53"/>
    <w:p>
      <w:pPr>
        <w:ind w:left="920" w:right="3579"/>
        <w:spacing w:after="0" w:line="253" w:lineRule="auto"/>
        <w:rPr>
          <w:sz w:val="20"/>
          <w:szCs w:val="20"/>
          <w:color w:val="auto"/>
        </w:rPr>
      </w:pPr>
      <w:r>
        <w:rPr>
          <w:rFonts w:ascii="Courier New" w:cs="Courier New" w:eastAsia="Courier New" w:hAnsi="Courier New"/>
          <w:sz w:val="15"/>
          <w:szCs w:val="15"/>
          <w:color w:val="auto"/>
        </w:rPr>
        <w:t>in the case of the solicitation of his or her immediate family members.</w:t>
      </w:r>
    </w:p>
    <w:p>
      <w:pPr>
        <w:spacing w:after="0" w:line="174" w:lineRule="exact"/>
        <w:rPr>
          <w:sz w:val="20"/>
          <w:szCs w:val="20"/>
          <w:color w:val="auto"/>
        </w:rPr>
      </w:pPr>
    </w:p>
    <w:p>
      <w:pPr>
        <w:ind w:left="920" w:right="2939" w:firstLine="459"/>
        <w:spacing w:after="0" w:line="250" w:lineRule="auto"/>
        <w:tabs>
          <w:tab w:leader="none" w:pos="17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5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939" w:firstLine="456"/>
        <w:spacing w:after="0" w:line="250" w:lineRule="auto"/>
        <w:tabs>
          <w:tab w:leader="none" w:pos="738" w:val="left"/>
        </w:tabs>
        <w:numPr>
          <w:ilvl w:val="0"/>
          <w:numId w:val="5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Any dispute or claim arising out of or relating</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6" w:lineRule="exact"/>
        <w:rPr>
          <w:sz w:val="20"/>
          <w:szCs w:val="20"/>
          <w:color w:val="auto"/>
        </w:rPr>
      </w:pPr>
    </w:p>
    <w:p>
      <w:pPr>
        <w:jc w:val="both"/>
        <w:ind w:right="3019" w:firstLine="456"/>
        <w:spacing w:after="0" w:line="252" w:lineRule="auto"/>
        <w:tabs>
          <w:tab w:leader="none" w:pos="738" w:val="left"/>
        </w:tabs>
        <w:numPr>
          <w:ilvl w:val="0"/>
          <w:numId w:val="5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right="2839" w:firstLine="456"/>
        <w:spacing w:after="0" w:line="253" w:lineRule="auto"/>
        <w:tabs>
          <w:tab w:leader="none" w:pos="738" w:val="left"/>
        </w:tabs>
        <w:numPr>
          <w:ilvl w:val="0"/>
          <w:numId w:val="5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 benefit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Employee and Employer, and all successors and assigns of Employer. Employer</w:t>
      </w:r>
    </w:p>
    <w:p>
      <w:pPr>
        <w:sectPr>
          <w:pgSz w:w="11900" w:h="16838" w:orient="portrait"/>
          <w:cols w:equalWidth="0" w:num="1">
            <w:col w:w="10219"/>
          </w:cols>
          <w:pgMar w:left="240" w:top="142" w:right="1440" w:bottom="0" w:gutter="0" w:footer="0" w:header="0"/>
        </w:sectPr>
      </w:pPr>
    </w:p>
    <w:bookmarkStart w:id="54" w:name="page55"/>
    <w:bookmarkEnd w:id="54"/>
    <w:p>
      <w:pPr>
        <w:ind w:left="5" w:right="2939"/>
        <w:spacing w:after="0" w:line="251" w:lineRule="auto"/>
        <w:rPr>
          <w:sz w:val="20"/>
          <w:szCs w:val="20"/>
          <w:color w:val="auto"/>
        </w:rPr>
      </w:pPr>
      <w:r>
        <w:rPr>
          <w:rFonts w:ascii="Courier New" w:cs="Courier New" w:eastAsia="Courier New" w:hAnsi="Courier New"/>
          <w:sz w:val="15"/>
          <w:szCs w:val="15"/>
          <w:color w:val="auto"/>
        </w:rPr>
        <w:t>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75" w:lineRule="exact"/>
        <w:rPr>
          <w:sz w:val="20"/>
          <w:szCs w:val="20"/>
          <w:color w:val="auto"/>
        </w:rPr>
      </w:pPr>
    </w:p>
    <w:p>
      <w:pPr>
        <w:ind w:left="5" w:right="3579" w:firstLine="456"/>
        <w:spacing w:after="0" w:line="253" w:lineRule="auto"/>
        <w:tabs>
          <w:tab w:leader="none" w:pos="744"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 invalid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6"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ind w:left="5" w:right="3119" w:firstLine="456"/>
        <w:spacing w:after="0" w:line="251" w:lineRule="auto"/>
        <w:tabs>
          <w:tab w:leader="none" w:pos="836"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[Signatures on following page]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Roderick R. Baty</w:t>
      </w:r>
    </w:p>
    <w:p>
      <w:pPr>
        <w:spacing w:after="0" w:line="200" w:lineRule="exact"/>
        <w:rPr>
          <w:sz w:val="20"/>
          <w:szCs w:val="20"/>
          <w:color w:val="auto"/>
        </w:rPr>
      </w:pPr>
    </w:p>
    <w:p>
      <w:pPr>
        <w:spacing w:after="0" w:line="340"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362" w:lineRule="exact"/>
        <w:rPr>
          <w:sz w:val="20"/>
          <w:szCs w:val="20"/>
          <w:color w:val="auto"/>
        </w:rPr>
      </w:pPr>
    </w:p>
    <w:p>
      <w:pPr>
        <w:ind w:left="3405"/>
        <w:spacing w:after="0"/>
        <w:tabs>
          <w:tab w:leader="none" w:pos="404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05"/>
        <w:spacing w:after="0"/>
        <w:rPr>
          <w:sz w:val="20"/>
          <w:szCs w:val="20"/>
          <w:color w:val="auto"/>
        </w:rPr>
      </w:pPr>
      <w:r>
        <w:rPr>
          <w:rFonts w:ascii="Courier New" w:cs="Courier New" w:eastAsia="Courier New" w:hAnsi="Courier New"/>
          <w:sz w:val="15"/>
          <w:szCs w:val="15"/>
          <w:color w:val="auto"/>
        </w:rPr>
        <w:t>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2891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579" w:hanging="465"/>
        <w:spacing w:after="0" w:line="253" w:lineRule="auto"/>
        <w:tabs>
          <w:tab w:leader="none" w:pos="46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times such Employee's median bonus available at the following bonus target percentage: 40%; plus</w:t>
      </w:r>
    </w:p>
    <w:p>
      <w:pPr>
        <w:spacing w:after="0" w:line="17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2.5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5"/>
          </w:cols>
          <w:pgMar w:left="235" w:top="142" w:right="1440" w:bottom="417"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b w:val="1"/>
          <w:bCs w:val="1"/>
          <w:color w:val="auto"/>
        </w:rPr>
        <w:t>Exhibit 10.20</w:t>
      </w:r>
    </w:p>
    <w:p>
      <w:pPr>
        <w:spacing w:after="0" w:line="200" w:lineRule="exact"/>
        <w:rPr>
          <w:sz w:val="20"/>
          <w:szCs w:val="20"/>
          <w:color w:val="auto"/>
        </w:rPr>
      </w:pPr>
    </w:p>
    <w:p>
      <w:pPr>
        <w:spacing w:after="0" w:line="34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Robert R. Sams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Vice-President of Market Services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Employment. </w:t>
      </w:r>
      <w:r>
        <w:rPr>
          <w:rFonts w:ascii="Courier New" w:cs="Courier New" w:eastAsia="Courier New" w:hAnsi="Courier New"/>
          <w:sz w:val="15"/>
          <w:szCs w:val="15"/>
          <w:color w:val="auto"/>
        </w:rPr>
        <w:t>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Term. </w:t>
      </w:r>
      <w:r>
        <w:rPr>
          <w:rFonts w:ascii="Courier New" w:cs="Courier New" w:eastAsia="Courier New" w:hAnsi="Courier New"/>
          <w:sz w:val="15"/>
          <w:szCs w:val="15"/>
          <w:color w:val="auto"/>
        </w:rPr>
        <w:t>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Position and Responsibilities. </w:t>
      </w:r>
      <w:r>
        <w:rPr>
          <w:rFonts w:ascii="Courier New" w:cs="Courier New" w:eastAsia="Courier New" w:hAnsi="Courier New"/>
          <w:sz w:val="15"/>
          <w:szCs w:val="15"/>
          <w:color w:val="auto"/>
        </w:rPr>
        <w:t>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Vice-President of Market Services of the Company, reporting to the President and Chief Executive Officer, and shall have supervision and control over, and responsibility for, the sales marketing operations and activities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Diligence. </w:t>
      </w:r>
      <w:r>
        <w:rPr>
          <w:rFonts w:ascii="Courier New" w:cs="Courier New" w:eastAsia="Courier New" w:hAnsi="Courier New"/>
          <w:sz w:val="15"/>
          <w:szCs w:val="15"/>
          <w:color w:val="auto"/>
        </w:rPr>
        <w:t>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Time. </w:t>
      </w:r>
      <w:r>
        <w:rPr>
          <w:rFonts w:ascii="Courier New" w:cs="Courier New" w:eastAsia="Courier New" w:hAnsi="Courier New"/>
          <w:sz w:val="15"/>
          <w:szCs w:val="15"/>
          <w:color w:val="auto"/>
        </w:rPr>
        <w:t>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195580</wp:posOffset>
            </wp:positionV>
            <wp:extent cx="72891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5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362"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$145,000.00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3119" w:firstLine="457"/>
        <w:spacing w:after="0" w:line="251" w:lineRule="auto"/>
        <w:tabs>
          <w:tab w:leader="none" w:pos="129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w:t>
      </w:r>
    </w:p>
    <w:p>
      <w:pPr>
        <w:sectPr>
          <w:pgSz w:w="11900" w:h="16838" w:orient="portrait"/>
          <w:cols w:equalWidth="0" w:num="1">
            <w:col w:w="10219"/>
          </w:cols>
          <w:pgMar w:left="240" w:top="319" w:right="1440" w:bottom="0" w:gutter="0" w:footer="0" w:header="0"/>
        </w:sectPr>
      </w:pPr>
    </w:p>
    <w:bookmarkStart w:id="56" w:name="page57"/>
    <w:bookmarkEnd w:id="56"/>
    <w:p>
      <w:pPr>
        <w:ind w:right="2939"/>
        <w:spacing w:after="0" w:line="251" w:lineRule="auto"/>
        <w:rPr>
          <w:sz w:val="20"/>
          <w:szCs w:val="20"/>
          <w:color w:val="auto"/>
        </w:rPr>
      </w:pPr>
      <w:r>
        <w:rPr>
          <w:rFonts w:ascii="Courier New" w:cs="Courier New" w:eastAsia="Courier New" w:hAnsi="Courier New"/>
          <w:sz w:val="15"/>
          <w:szCs w:val="15"/>
          <w:color w:val="auto"/>
        </w:rPr>
        <w:t>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 or amendment shall be applicable to the senior officers of the Company generally.</w:t>
      </w:r>
    </w:p>
    <w:p>
      <w:pPr>
        <w:spacing w:after="0" w:line="176" w:lineRule="exact"/>
        <w:rPr>
          <w:sz w:val="20"/>
          <w:szCs w:val="20"/>
          <w:color w:val="auto"/>
        </w:rPr>
      </w:pPr>
    </w:p>
    <w:p>
      <w:pPr>
        <w:ind w:right="2939" w:firstLine="457"/>
        <w:spacing w:after="0" w:line="251" w:lineRule="auto"/>
        <w:tabs>
          <w:tab w:leader="none" w:pos="83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5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5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201295</wp:posOffset>
            </wp:positionV>
            <wp:extent cx="72891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759"/>
          </w:cols>
          <w:pgMar w:left="700" w:top="142" w:right="1440" w:bottom="16" w:gutter="0" w:footer="0" w:header="0"/>
        </w:sectPr>
      </w:pPr>
    </w:p>
    <w:bookmarkStart w:id="57" w:name="page58"/>
    <w:bookmarkEnd w:id="57"/>
    <w:p>
      <w:pPr>
        <w:ind w:right="3019"/>
        <w:spacing w:after="0" w:line="251"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 employment without Good Reason shall be made on not less than 14 days' notice.</w:t>
      </w:r>
    </w:p>
    <w:p>
      <w:pPr>
        <w:spacing w:after="0" w:line="176" w:lineRule="exact"/>
        <w:rPr>
          <w:sz w:val="20"/>
          <w:szCs w:val="20"/>
          <w:color w:val="auto"/>
        </w:rPr>
      </w:pPr>
    </w:p>
    <w:p>
      <w:pPr>
        <w:ind w:left="640" w:hanging="275"/>
        <w:spacing w:after="0"/>
        <w:tabs>
          <w:tab w:leader="none" w:pos="640" w:val="left"/>
        </w:tabs>
        <w:numPr>
          <w:ilvl w:val="0"/>
          <w:numId w:val="6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460" w:right="2939" w:firstLine="459"/>
        <w:spacing w:after="0" w:line="253" w:lineRule="auto"/>
        <w:tabs>
          <w:tab w:leader="none" w:pos="1290"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460" w:right="2839" w:firstLine="459"/>
        <w:spacing w:after="0" w:line="251" w:lineRule="auto"/>
        <w:tabs>
          <w:tab w:leader="none" w:pos="1290"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353" w:lineRule="exact"/>
        <w:rPr>
          <w:rFonts w:ascii="Courier New" w:cs="Courier New" w:eastAsia="Courier New" w:hAnsi="Courier New"/>
          <w:sz w:val="15"/>
          <w:szCs w:val="15"/>
          <w:color w:val="auto"/>
        </w:rPr>
      </w:pPr>
    </w:p>
    <w:p>
      <w:pPr>
        <w:ind w:left="460" w:right="2839" w:firstLine="459"/>
        <w:spacing w:after="0" w:line="253" w:lineRule="auto"/>
        <w:tabs>
          <w:tab w:leader="none" w:pos="1383"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75" w:lineRule="exact"/>
        <w:rPr>
          <w:sz w:val="20"/>
          <w:szCs w:val="20"/>
          <w:color w:val="auto"/>
        </w:rPr>
      </w:pPr>
    </w:p>
    <w:p>
      <w:pPr>
        <w:ind w:right="2939" w:firstLine="457"/>
        <w:spacing w:after="0" w:line="251" w:lineRule="auto"/>
        <w:tabs>
          <w:tab w:leader="none" w:pos="8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6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75" w:lineRule="exact"/>
        <w:rPr>
          <w:rFonts w:ascii="Courier New" w:cs="Courier New" w:eastAsia="Courier New" w:hAnsi="Courier New"/>
          <w:sz w:val="15"/>
          <w:szCs w:val="15"/>
          <w:color w:val="auto"/>
        </w:rPr>
      </w:pPr>
    </w:p>
    <w:p>
      <w:pPr>
        <w:jc w:val="both"/>
        <w:ind w:right="2939" w:firstLine="457"/>
        <w:spacing w:after="0" w:line="251" w:lineRule="auto"/>
        <w:tabs>
          <w:tab w:leader="none" w:pos="83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w:t>
      </w:r>
    </w:p>
    <w:p>
      <w:pPr>
        <w:sectPr>
          <w:pgSz w:w="11900" w:h="16838" w:orient="portrait"/>
          <w:cols w:equalWidth="0" w:num="1">
            <w:col w:w="9759"/>
          </w:cols>
          <w:pgMar w:left="700" w:top="319" w:right="1440" w:bottom="0" w:gutter="0" w:footer="0" w:header="0"/>
        </w:sectPr>
      </w:pPr>
    </w:p>
    <w:bookmarkStart w:id="58" w:name="page59"/>
    <w:bookmarkEnd w:id="58"/>
    <w:p>
      <w:pPr>
        <w:ind w:left="460" w:right="4060"/>
        <w:spacing w:after="0" w:line="252" w:lineRule="auto"/>
        <w:rPr>
          <w:sz w:val="20"/>
          <w:szCs w:val="20"/>
          <w:color w:val="auto"/>
        </w:rPr>
      </w:pPr>
      <w:r>
        <w:rPr>
          <w:rFonts w:ascii="Courier New" w:cs="Courier New" w:eastAsia="Courier New" w:hAnsi="Courier New"/>
          <w:sz w:val="15"/>
          <w:szCs w:val="15"/>
          <w:color w:val="auto"/>
        </w:rPr>
        <w:t>as Executive may have to all Company Intellectual Property in which Executive may be able to claim any rights by virtue of his employment under this Agreement.</w:t>
      </w:r>
    </w:p>
    <w:p>
      <w:pPr>
        <w:spacing w:after="0" w:line="175" w:lineRule="exact"/>
        <w:rPr>
          <w:sz w:val="20"/>
          <w:szCs w:val="20"/>
          <w:color w:val="auto"/>
        </w:rPr>
      </w:pPr>
    </w:p>
    <w:p>
      <w:pPr>
        <w:ind w:left="460" w:right="4060" w:firstLine="457"/>
        <w:spacing w:after="0" w:line="251" w:lineRule="auto"/>
        <w:tabs>
          <w:tab w:leader="none" w:pos="129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6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ind w:left="1660"/>
              <w:spacing w:after="0"/>
              <w:rPr>
                <w:sz w:val="20"/>
                <w:szCs w:val="20"/>
                <w:color w:val="auto"/>
              </w:rPr>
            </w:pPr>
            <w:r>
              <w:rPr>
                <w:rFonts w:ascii="Courier New" w:cs="Courier New" w:eastAsia="Courier New" w:hAnsi="Courier New"/>
                <w:sz w:val="15"/>
                <w:szCs w:val="15"/>
                <w:color w:val="auto"/>
              </w:rPr>
              <w:t>If to Company, to:</w:t>
            </w: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NN, Inc.</w:t>
            </w:r>
          </w:p>
        </w:tc>
        <w:tc>
          <w:tcPr>
            <w:tcW w:w="544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Building C, Suite</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12</w:t>
            </w: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540" w:type="dxa"/>
            <w:vAlign w:val="bottom"/>
          </w:tcPr>
          <w:p>
            <w:pPr>
              <w:ind w:left="1660"/>
              <w:spacing w:after="0"/>
              <w:rPr>
                <w:sz w:val="20"/>
                <w:szCs w:val="20"/>
                <w:color w:val="auto"/>
              </w:rPr>
            </w:pPr>
            <w:r>
              <w:rPr>
                <w:rFonts w:ascii="Courier New" w:cs="Courier New" w:eastAsia="Courier New" w:hAnsi="Courier New"/>
                <w:sz w:val="15"/>
                <w:szCs w:val="15"/>
                <w:color w:val="auto"/>
              </w:rPr>
              <w:t>If to Executive, to:</w:t>
            </w: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Robert R. Sams</w:t>
            </w:r>
          </w:p>
        </w:tc>
        <w:tc>
          <w:tcPr>
            <w:tcW w:w="5440" w:type="dxa"/>
            <w:vAlign w:val="bottom"/>
          </w:tcPr>
          <w:p>
            <w:pPr>
              <w:spacing w:after="0"/>
              <w:rPr>
                <w:sz w:val="24"/>
                <w:szCs w:val="24"/>
                <w:color w:val="auto"/>
              </w:rPr>
            </w:pP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2311 Granite Drive</w:t>
            </w:r>
          </w:p>
        </w:tc>
        <w:tc>
          <w:tcPr>
            <w:tcW w:w="5440" w:type="dxa"/>
            <w:vAlign w:val="bottom"/>
          </w:tcPr>
          <w:p>
            <w:pPr>
              <w:spacing w:after="0"/>
              <w:rPr>
                <w:sz w:val="15"/>
                <w:szCs w:val="15"/>
                <w:color w:val="auto"/>
              </w:rPr>
            </w:pP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Johnson City, TN</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37604</w:t>
            </w:r>
          </w:p>
        </w:tc>
      </w:tr>
      <w:tr>
        <w:trPr>
          <w:trHeight w:val="532"/>
        </w:trPr>
        <w:tc>
          <w:tcPr>
            <w:tcW w:w="354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5440" w:type="dxa"/>
            <w:vAlign w:val="bottom"/>
          </w:tcPr>
          <w:p>
            <w:pPr>
              <w:spacing w:after="0"/>
              <w:rPr>
                <w:sz w:val="24"/>
                <w:szCs w:val="24"/>
                <w:color w:val="auto"/>
              </w:rPr>
            </w:pPr>
          </w:p>
        </w:tc>
      </w:tr>
      <w:tr>
        <w:trPr>
          <w:trHeight w:val="161"/>
        </w:trPr>
        <w:tc>
          <w:tcPr>
            <w:tcW w:w="3540" w:type="dxa"/>
            <w:vAlign w:val="bottom"/>
            <w:tcBorders>
              <w:bottom w:val="single" w:sz="8" w:color="9A9A9A"/>
            </w:tcBorders>
          </w:tcPr>
          <w:p>
            <w:pPr>
              <w:spacing w:after="0"/>
              <w:rPr>
                <w:sz w:val="13"/>
                <w:szCs w:val="13"/>
                <w:color w:val="auto"/>
              </w:rPr>
            </w:pPr>
          </w:p>
        </w:tc>
        <w:tc>
          <w:tcPr>
            <w:tcW w:w="2460" w:type="dxa"/>
            <w:vAlign w:val="bottom"/>
            <w:tcBorders>
              <w:bottom w:val="single" w:sz="8" w:color="9A9A9A"/>
            </w:tcBorders>
          </w:tcPr>
          <w:p>
            <w:pPr>
              <w:spacing w:after="0"/>
              <w:rPr>
                <w:sz w:val="13"/>
                <w:szCs w:val="13"/>
                <w:color w:val="auto"/>
              </w:rPr>
            </w:pPr>
          </w:p>
        </w:tc>
        <w:tc>
          <w:tcPr>
            <w:tcW w:w="54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313" w:lineRule="exact"/>
        <w:rPr>
          <w:sz w:val="20"/>
          <w:szCs w:val="20"/>
          <w:color w:val="auto"/>
        </w:rPr>
      </w:pPr>
    </w:p>
    <w:p>
      <w:pPr>
        <w:ind w:right="406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right="444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ectPr>
          <w:pgSz w:w="11900" w:h="16838" w:orient="portrait"/>
          <w:cols w:equalWidth="0" w:num="1">
            <w:col w:w="11440"/>
          </w:cols>
          <w:pgMar w:left="240" w:top="142" w:right="219" w:bottom="0" w:gutter="0" w:footer="0" w:header="0"/>
        </w:sectPr>
      </w:pPr>
    </w:p>
    <w:bookmarkStart w:id="59" w:name="page60"/>
    <w:bookmarkEnd w:id="59"/>
    <w:p>
      <w:pPr>
        <w:ind w:right="3019" w:firstLine="825"/>
        <w:spacing w:after="0" w:line="253" w:lineRule="auto"/>
        <w:tabs>
          <w:tab w:leader="none" w:pos="1200" w:val="left"/>
        </w:tabs>
        <w:numPr>
          <w:ilvl w:val="0"/>
          <w:numId w:val="6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6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6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 are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WITNESS WHEREOF, the parties hereto have executed this Agreement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first above written.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Robert R. Sams</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R. Sams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b w:val="1"/>
          <w:bCs w:val="1"/>
          <w:color w:val="auto"/>
        </w:rPr>
        <w:t>Exhibit 10.21</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ROBERT R. SAMS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6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019" w:firstLine="825"/>
        <w:spacing w:after="0" w:line="251" w:lineRule="auto"/>
        <w:tabs>
          <w:tab w:leader="none" w:pos="1107" w:val="left"/>
        </w:tabs>
        <w:numPr>
          <w:ilvl w:val="0"/>
          <w:numId w:val="6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6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2200" w:hanging="360"/>
        <w:spacing w:after="0"/>
        <w:tabs>
          <w:tab w:leader="none" w:pos="220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w:t>
      </w:r>
    </w:p>
    <w:p>
      <w:pPr>
        <w:sectPr>
          <w:pgSz w:w="11900" w:h="16838" w:orient="portrait"/>
          <w:cols w:equalWidth="0" w:num="1">
            <w:col w:w="10219"/>
          </w:cols>
          <w:pgMar w:left="240" w:top="319" w:right="1440" w:bottom="0" w:gutter="0" w:footer="0" w:header="0"/>
        </w:sectPr>
      </w:pPr>
    </w:p>
    <w:bookmarkStart w:id="61" w:name="page62"/>
    <w:bookmarkEnd w:id="61"/>
    <w:p>
      <w:pPr>
        <w:ind w:left="560" w:right="2839"/>
        <w:spacing w:after="0" w:line="250" w:lineRule="auto"/>
        <w:rPr>
          <w:sz w:val="20"/>
          <w:szCs w:val="20"/>
          <w:color w:val="auto"/>
        </w:rPr>
      </w:pPr>
      <w:r>
        <w:rPr>
          <w:rFonts w:ascii="Courier New" w:cs="Courier New" w:eastAsia="Courier New" w:hAnsi="Courier New"/>
          <w:sz w:val="15"/>
          <w:szCs w:val="15"/>
          <w:color w:val="auto"/>
        </w:rPr>
        <w:t>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right="2839" w:firstLine="460"/>
        <w:spacing w:after="0" w:line="250" w:lineRule="auto"/>
        <w:tabs>
          <w:tab w:leader="none" w:pos="148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3"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w:t>
      </w:r>
    </w:p>
    <w:p>
      <w:pPr>
        <w:sectPr>
          <w:pgSz w:w="11900" w:h="16838" w:orient="portrait"/>
          <w:cols w:equalWidth="0" w:num="1">
            <w:col w:w="9399"/>
          </w:cols>
          <w:pgMar w:left="1060" w:top="142" w:right="1440" w:bottom="0" w:gutter="0" w:footer="0" w:header="0"/>
        </w:sectPr>
      </w:pPr>
    </w:p>
    <w:bookmarkStart w:id="62" w:name="page63"/>
    <w:bookmarkEnd w:id="62"/>
    <w:p>
      <w:pPr>
        <w:ind w:left="95"/>
        <w:spacing w:after="0"/>
        <w:rPr>
          <w:sz w:val="20"/>
          <w:szCs w:val="20"/>
          <w:color w:val="auto"/>
        </w:rPr>
      </w:pPr>
      <w:r>
        <w:rPr>
          <w:rFonts w:ascii="Courier New" w:cs="Courier New" w:eastAsia="Courier New" w:hAnsi="Courier New"/>
          <w:sz w:val="15"/>
          <w:szCs w:val="15"/>
          <w:color w:val="auto"/>
        </w:rPr>
        <w:t>taxing authority.</w:t>
      </w:r>
    </w:p>
    <w:p>
      <w:pPr>
        <w:spacing w:after="0" w:line="185" w:lineRule="exact"/>
        <w:rPr>
          <w:sz w:val="20"/>
          <w:szCs w:val="20"/>
          <w:color w:val="auto"/>
        </w:rPr>
      </w:pPr>
    </w:p>
    <w:p>
      <w:pPr>
        <w:ind w:left="95" w:right="2839" w:firstLine="459"/>
        <w:spacing w:after="0" w:line="250" w:lineRule="auto"/>
        <w:tabs>
          <w:tab w:leader="none" w:pos="92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cease for any reason to constitute at 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68" w:lineRule="exact"/>
        <w:rPr>
          <w:rFonts w:ascii="Courier New" w:cs="Courier New" w:eastAsia="Courier New" w:hAnsi="Courier New"/>
          <w:sz w:val="15"/>
          <w:szCs w:val="15"/>
          <w:color w:val="auto"/>
        </w:rPr>
      </w:pPr>
    </w:p>
    <w:p>
      <w:pPr>
        <w:ind w:left="95" w:right="2939" w:firstLine="459"/>
        <w:spacing w:after="0" w:line="250" w:lineRule="auto"/>
        <w:tabs>
          <w:tab w:leader="none" w:pos="92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95" w:right="2839" w:hanging="3"/>
        <w:spacing w:after="0" w:line="252" w:lineRule="auto"/>
        <w:tabs>
          <w:tab w:leader="none" w:pos="64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915" w:hanging="361"/>
        <w:spacing w:after="0"/>
        <w:tabs>
          <w:tab w:leader="none" w:pos="91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9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88265</wp:posOffset>
            </wp:positionV>
            <wp:extent cx="72891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5"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95" w:right="2939" w:firstLine="459"/>
        <w:spacing w:after="0" w:line="251" w:lineRule="auto"/>
        <w:tabs>
          <w:tab w:leader="none" w:pos="925"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7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95" w:right="2839" w:firstLine="459"/>
        <w:spacing w:after="0" w:line="250" w:lineRule="auto"/>
        <w:tabs>
          <w:tab w:leader="none" w:pos="925"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w:t>
      </w:r>
    </w:p>
    <w:p>
      <w:pPr>
        <w:sectPr>
          <w:pgSz w:w="11900" w:h="16838" w:orient="portrait"/>
          <w:cols w:equalWidth="0" w:num="1">
            <w:col w:w="9394"/>
          </w:cols>
          <w:pgMar w:left="1065" w:top="142" w:right="1440" w:bottom="0" w:gutter="0" w:footer="0" w:header="0"/>
        </w:sectPr>
      </w:pPr>
    </w:p>
    <w:bookmarkStart w:id="63" w:name="page64"/>
    <w:bookmarkEnd w:id="63"/>
    <w:p>
      <w:pPr>
        <w:ind w:left="920" w:right="3399"/>
        <w:spacing w:after="0" w:line="253" w:lineRule="auto"/>
        <w:rPr>
          <w:sz w:val="20"/>
          <w:szCs w:val="20"/>
          <w:color w:val="auto"/>
        </w:rPr>
      </w:pPr>
      <w:r>
        <w:rPr>
          <w:rFonts w:ascii="Courier New" w:cs="Courier New" w:eastAsia="Courier New" w:hAnsi="Courier New"/>
          <w:sz w:val="15"/>
          <w:szCs w:val="15"/>
          <w:color w:val="auto"/>
        </w:rPr>
        <w:t>communicate to any person or entity any Confidential Information unless specifically directed by Employer to do so in writing.</w:t>
      </w:r>
    </w:p>
    <w:p>
      <w:pPr>
        <w:spacing w:after="0" w:line="174" w:lineRule="exact"/>
        <w:rPr>
          <w:sz w:val="20"/>
          <w:szCs w:val="20"/>
          <w:color w:val="auto"/>
        </w:rPr>
      </w:pPr>
    </w:p>
    <w:p>
      <w:pPr>
        <w:ind w:left="920" w:right="2839" w:firstLine="459"/>
        <w:spacing w:after="0" w:line="251" w:lineRule="auto"/>
        <w:tabs>
          <w:tab w:leader="none" w:pos="17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7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7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thereof (including as a result of any dispute by Employee regarding</w:t>
      </w:r>
    </w:p>
    <w:p>
      <w:pPr>
        <w:sectPr>
          <w:pgSz w:w="11900" w:h="16838" w:orient="portrait"/>
          <w:cols w:equalWidth="0" w:num="1">
            <w:col w:w="10219"/>
          </w:cols>
          <w:pgMar w:left="240" w:top="142" w:right="1440" w:bottom="0" w:gutter="0" w:footer="0" w:header="0"/>
          <w:type w:val="continuous"/>
        </w:sectPr>
      </w:pPr>
    </w:p>
    <w:bookmarkStart w:id="64" w:name="page65"/>
    <w:bookmarkEnd w:id="64"/>
    <w:p>
      <w:pPr>
        <w:ind w:right="3019"/>
        <w:spacing w:after="0" w:line="252" w:lineRule="auto"/>
        <w:rPr>
          <w:sz w:val="20"/>
          <w:szCs w:val="20"/>
          <w:color w:val="auto"/>
        </w:rPr>
      </w:pPr>
      <w:r>
        <w:rPr>
          <w:rFonts w:ascii="Courier New" w:cs="Courier New" w:eastAsia="Courier New" w:hAnsi="Courier New"/>
          <w:sz w:val="15"/>
          <w:szCs w:val="15"/>
          <w:color w:val="auto"/>
        </w:rPr>
        <w:t xml:space="preserve">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5" w:lineRule="exact"/>
        <w:rPr>
          <w:sz w:val="20"/>
          <w:szCs w:val="20"/>
          <w:color w:val="auto"/>
        </w:rPr>
      </w:pPr>
    </w:p>
    <w:p>
      <w:pPr>
        <w:ind w:right="2839" w:firstLine="825"/>
        <w:spacing w:after="0" w:line="252" w:lineRule="auto"/>
        <w:tabs>
          <w:tab w:leader="none" w:pos="1107"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right="2939" w:firstLine="825"/>
        <w:spacing w:after="0" w:line="250" w:lineRule="auto"/>
        <w:tabs>
          <w:tab w:leader="none" w:pos="1107"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right="3219" w:firstLine="825"/>
        <w:spacing w:after="0" w:line="253" w:lineRule="auto"/>
        <w:tabs>
          <w:tab w:leader="none" w:pos="1107"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right="3019" w:firstLine="825"/>
        <w:spacing w:after="0" w:line="251" w:lineRule="auto"/>
        <w:tabs>
          <w:tab w:leader="none" w:pos="1200"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jc w:val="both"/>
        <w:ind w:right="3119" w:firstLine="825"/>
        <w:spacing w:after="0" w:line="251" w:lineRule="auto"/>
        <w:tabs>
          <w:tab w:leader="none" w:pos="1200"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[Signatures on following page]</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Robert R. Sams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5"/>
          <w:szCs w:val="15"/>
          <w:color w:val="auto"/>
        </w:rPr>
        <w:t>Name:</w:t>
        <w:tab/>
        <w:t>Robert R. Sams</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including its subsidiaries and affiliates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Roderick R. Baty</w:t>
      </w:r>
    </w:p>
    <w:p>
      <w:pPr>
        <w:spacing w:after="0" w:line="200" w:lineRule="exact"/>
        <w:rPr>
          <w:sz w:val="20"/>
          <w:szCs w:val="20"/>
          <w:color w:val="auto"/>
        </w:rPr>
      </w:pPr>
    </w:p>
    <w:p>
      <w:pPr>
        <w:sectPr>
          <w:pgSz w:w="11900" w:h="16838" w:orient="portrait"/>
          <w:cols w:equalWidth="0" w:num="2">
            <w:col w:w="3680" w:space="180"/>
            <w:col w:w="635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2 times such Employee's base salary (as of the date of Employee's</w:t>
      </w:r>
    </w:p>
    <w:p>
      <w:pPr>
        <w:sectPr>
          <w:pgSz w:w="11900" w:h="16838" w:orient="portrait"/>
          <w:cols w:equalWidth="0" w:num="1">
            <w:col w:w="10219"/>
          </w:cols>
          <w:pgMar w:left="240" w:top="142" w:right="1440" w:bottom="0" w:gutter="0" w:footer="0" w:header="0"/>
          <w:type w:val="continuous"/>
        </w:sectPr>
      </w:pPr>
    </w:p>
    <w:bookmarkStart w:id="65" w:name="page66"/>
    <w:bookmarkEnd w:id="65"/>
    <w:p>
      <w:pPr>
        <w:ind w:left="465"/>
        <w:spacing w:after="0"/>
        <w:rPr>
          <w:sz w:val="20"/>
          <w:szCs w:val="20"/>
          <w:color w:val="auto"/>
        </w:rPr>
      </w:pPr>
      <w:r>
        <w:rPr>
          <w:rFonts w:ascii="Courier New" w:cs="Courier New" w:eastAsia="Courier New" w:hAnsi="Courier New"/>
          <w:sz w:val="15"/>
          <w:szCs w:val="15"/>
          <w:color w:val="auto"/>
        </w:rPr>
        <w:t>termination); plus</w:t>
      </w:r>
    </w:p>
    <w:p>
      <w:pPr>
        <w:spacing w:after="0" w:line="185" w:lineRule="exact"/>
        <w:rPr>
          <w:sz w:val="20"/>
          <w:szCs w:val="20"/>
          <w:color w:val="auto"/>
        </w:rPr>
      </w:pPr>
    </w:p>
    <w:p>
      <w:pPr>
        <w:ind w:left="465" w:right="3399" w:hanging="465"/>
        <w:spacing w:after="0" w:line="253" w:lineRule="auto"/>
        <w:tabs>
          <w:tab w:leader="none" w:pos="46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3119" w:hanging="465"/>
        <w:spacing w:after="0" w:line="252" w:lineRule="auto"/>
        <w:tabs>
          <w:tab w:leader="none" w:pos="46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14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b w:val="1"/>
          <w:bCs w:val="1"/>
          <w:color w:val="auto"/>
        </w:rPr>
        <w:t>Exhibit 10.22</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William C. Kelly, Jr.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Treasurer, Secretary and Chief Accounting Officer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Employment</w:t>
      </w:r>
      <w:r>
        <w:rPr>
          <w:rFonts w:ascii="Courier New" w:cs="Courier New" w:eastAsia="Courier New" w:hAnsi="Courier New"/>
          <w:sz w:val="15"/>
          <w:szCs w:val="15"/>
          <w:color w:val="auto"/>
        </w:rPr>
        <w:t>. 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Term</w:t>
      </w:r>
      <w:r>
        <w:rPr>
          <w:rFonts w:ascii="Courier New" w:cs="Courier New" w:eastAsia="Courier New" w:hAnsi="Courier New"/>
          <w:sz w:val="15"/>
          <w:szCs w:val="15"/>
          <w:color w:val="auto"/>
        </w:rPr>
        <w:t>. 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939" w:firstLine="825"/>
        <w:spacing w:after="0" w:line="251" w:lineRule="auto"/>
        <w:tabs>
          <w:tab w:leader="none" w:pos="110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Position and Responsibilities</w:t>
      </w:r>
      <w:r>
        <w:rPr>
          <w:rFonts w:ascii="Courier New" w:cs="Courier New" w:eastAsia="Courier New" w:hAnsi="Courier New"/>
          <w:sz w:val="15"/>
          <w:szCs w:val="15"/>
          <w:color w:val="auto"/>
        </w:rPr>
        <w:t>. 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Treasurer, Secretary and Chief Accounting Officer of the Company, reporting to the President and Chief Executive Officer, and shall have supervision and control over, and responsibility for, the treasury and accounting activities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Diligence</w:t>
      </w:r>
      <w:r>
        <w:rPr>
          <w:rFonts w:ascii="Courier New" w:cs="Courier New" w:eastAsia="Courier New" w:hAnsi="Courier New"/>
          <w:sz w:val="15"/>
          <w:szCs w:val="15"/>
          <w:color w:val="auto"/>
        </w:rPr>
        <w:t>. 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Time</w:t>
      </w:r>
      <w:r>
        <w:rPr>
          <w:rFonts w:ascii="Courier New" w:cs="Courier New" w:eastAsia="Courier New" w:hAnsi="Courier New"/>
          <w:sz w:val="15"/>
          <w:szCs w:val="15"/>
          <w:color w:val="auto"/>
        </w:rPr>
        <w:t>. 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195580</wp:posOffset>
            </wp:positionV>
            <wp:extent cx="72891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8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$105,000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w:t>
      </w:r>
    </w:p>
    <w:p>
      <w:pPr>
        <w:sectPr>
          <w:pgSz w:w="11900" w:h="16838" w:orient="portrait"/>
          <w:cols w:equalWidth="0" w:num="1">
            <w:col w:w="10219"/>
          </w:cols>
          <w:pgMar w:left="240" w:top="319" w:right="1440" w:bottom="0" w:gutter="0" w:footer="0" w:header="0"/>
        </w:sectPr>
      </w:pPr>
    </w:p>
    <w:bookmarkStart w:id="67" w:name="page68"/>
    <w:bookmarkEnd w:id="67"/>
    <w:p>
      <w:pPr>
        <w:ind w:right="3299"/>
        <w:spacing w:after="0" w:line="253" w:lineRule="auto"/>
        <w:rPr>
          <w:sz w:val="20"/>
          <w:szCs w:val="20"/>
          <w:color w:val="auto"/>
        </w:rPr>
      </w:pPr>
      <w:r>
        <w:rPr>
          <w:rFonts w:ascii="Courier New" w:cs="Courier New" w:eastAsia="Courier New" w:hAnsi="Courier New"/>
          <w:sz w:val="15"/>
          <w:szCs w:val="15"/>
          <w:color w:val="auto"/>
        </w:rPr>
        <w:t>or amendment shall be applicable to the senior officers of the Company generally.</w:t>
      </w:r>
    </w:p>
    <w:p>
      <w:pPr>
        <w:spacing w:after="0" w:line="174" w:lineRule="exact"/>
        <w:rPr>
          <w:sz w:val="20"/>
          <w:szCs w:val="20"/>
          <w:color w:val="auto"/>
        </w:rPr>
      </w:pPr>
    </w:p>
    <w:p>
      <w:pPr>
        <w:ind w:right="2939" w:firstLine="457"/>
        <w:spacing w:after="0" w:line="251" w:lineRule="auto"/>
        <w:tabs>
          <w:tab w:leader="none" w:pos="83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8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8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w:t>
      </w:r>
    </w:p>
    <w:p>
      <w:pPr>
        <w:sectPr>
          <w:pgSz w:w="11900" w:h="16838" w:orient="portrait"/>
          <w:cols w:equalWidth="0" w:num="1">
            <w:col w:w="9759"/>
          </w:cols>
          <w:pgMar w:left="700" w:top="142" w:right="1440" w:bottom="0" w:gutter="0" w:footer="0" w:header="0"/>
        </w:sectPr>
      </w:pPr>
    </w:p>
    <w:bookmarkStart w:id="68" w:name="page69"/>
    <w:bookmarkEnd w:id="68"/>
    <w:p>
      <w:pPr>
        <w:ind w:right="3299"/>
        <w:spacing w:after="0" w:line="253" w:lineRule="auto"/>
        <w:rPr>
          <w:sz w:val="20"/>
          <w:szCs w:val="20"/>
          <w:color w:val="auto"/>
        </w:rPr>
      </w:pPr>
      <w:r>
        <w:rPr>
          <w:rFonts w:ascii="Courier New" w:cs="Courier New" w:eastAsia="Courier New" w:hAnsi="Courier New"/>
          <w:sz w:val="15"/>
          <w:szCs w:val="15"/>
          <w:color w:val="auto"/>
        </w:rPr>
        <w:t>employment without Good Reason shall be made on not less than 14 days' notice.</w:t>
      </w:r>
    </w:p>
    <w:p>
      <w:pPr>
        <w:spacing w:after="0" w:line="174" w:lineRule="exact"/>
        <w:rPr>
          <w:sz w:val="20"/>
          <w:szCs w:val="20"/>
          <w:color w:val="auto"/>
        </w:rPr>
      </w:pPr>
    </w:p>
    <w:p>
      <w:pPr>
        <w:ind w:left="640" w:hanging="275"/>
        <w:spacing w:after="0"/>
        <w:tabs>
          <w:tab w:leader="none" w:pos="640" w:val="left"/>
        </w:tabs>
        <w:numPr>
          <w:ilvl w:val="0"/>
          <w:numId w:val="8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460" w:right="2939" w:firstLine="459"/>
        <w:spacing w:after="0" w:line="253" w:lineRule="auto"/>
        <w:tabs>
          <w:tab w:leader="none" w:pos="129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460" w:right="2839" w:firstLine="459"/>
        <w:spacing w:after="0" w:line="251" w:lineRule="auto"/>
        <w:tabs>
          <w:tab w:leader="none" w:pos="129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353" w:lineRule="exact"/>
        <w:rPr>
          <w:rFonts w:ascii="Courier New" w:cs="Courier New" w:eastAsia="Courier New" w:hAnsi="Courier New"/>
          <w:sz w:val="15"/>
          <w:szCs w:val="15"/>
          <w:color w:val="auto"/>
        </w:rPr>
      </w:pPr>
    </w:p>
    <w:p>
      <w:pPr>
        <w:ind w:left="460" w:right="2839" w:firstLine="459"/>
        <w:spacing w:after="0" w:line="253" w:lineRule="auto"/>
        <w:tabs>
          <w:tab w:leader="none" w:pos="1383"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75" w:lineRule="exact"/>
        <w:rPr>
          <w:sz w:val="20"/>
          <w:szCs w:val="20"/>
          <w:color w:val="auto"/>
        </w:rPr>
      </w:pPr>
    </w:p>
    <w:p>
      <w:pPr>
        <w:ind w:right="2939" w:firstLine="457"/>
        <w:spacing w:after="0" w:line="251" w:lineRule="auto"/>
        <w:tabs>
          <w:tab w:leader="none" w:pos="83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8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75"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w:t>
      </w:r>
    </w:p>
    <w:p>
      <w:pPr>
        <w:sectPr>
          <w:pgSz w:w="11900" w:h="16838" w:orient="portrait"/>
          <w:cols w:equalWidth="0" w:num="1">
            <w:col w:w="9759"/>
          </w:cols>
          <w:pgMar w:left="700" w:top="142" w:right="1440" w:bottom="0" w:gutter="0" w:footer="0" w:header="0"/>
        </w:sectPr>
      </w:pPr>
    </w:p>
    <w:bookmarkStart w:id="69" w:name="page70"/>
    <w:bookmarkEnd w:id="69"/>
    <w:p>
      <w:pPr>
        <w:ind w:left="460"/>
        <w:spacing w:after="0"/>
        <w:rPr>
          <w:sz w:val="20"/>
          <w:szCs w:val="20"/>
          <w:color w:val="auto"/>
        </w:rPr>
      </w:pPr>
      <w:r>
        <w:rPr>
          <w:rFonts w:ascii="Courier New" w:cs="Courier New" w:eastAsia="Courier New" w:hAnsi="Courier New"/>
          <w:sz w:val="15"/>
          <w:szCs w:val="15"/>
          <w:color w:val="auto"/>
        </w:rPr>
        <w:t>this Agreement.</w:t>
      </w:r>
    </w:p>
    <w:p>
      <w:pPr>
        <w:spacing w:after="0" w:line="185" w:lineRule="exact"/>
        <w:rPr>
          <w:sz w:val="20"/>
          <w:szCs w:val="20"/>
          <w:color w:val="auto"/>
        </w:rPr>
      </w:pPr>
    </w:p>
    <w:p>
      <w:pPr>
        <w:ind w:left="460" w:right="4060" w:firstLine="457"/>
        <w:spacing w:after="0" w:line="251" w:lineRule="auto"/>
        <w:tabs>
          <w:tab w:leader="none" w:pos="129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9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Company, to:</w:t>
            </w: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Building C, Suite 12</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140" w:type="dxa"/>
            <w:vAlign w:val="bottom"/>
          </w:tcPr>
          <w:p>
            <w:pPr>
              <w:spacing w:after="0"/>
              <w:rPr>
                <w:sz w:val="24"/>
                <w:szCs w:val="24"/>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61"/>
        </w:trPr>
        <w:tc>
          <w:tcPr>
            <w:tcW w:w="3140" w:type="dxa"/>
            <w:vAlign w:val="bottom"/>
            <w:tcBorders>
              <w:bottom w:val="single" w:sz="8" w:color="9A9A9A"/>
            </w:tcBorders>
          </w:tcPr>
          <w:p>
            <w:pPr>
              <w:spacing w:after="0"/>
              <w:rPr>
                <w:sz w:val="13"/>
                <w:szCs w:val="13"/>
                <w:color w:val="auto"/>
              </w:rPr>
            </w:pPr>
          </w:p>
        </w:tc>
        <w:tc>
          <w:tcPr>
            <w:tcW w:w="8300" w:type="dxa"/>
            <w:vAlign w:val="bottom"/>
            <w:tcBorders>
              <w:bottom w:val="single" w:sz="8" w:color="9A9A9A"/>
            </w:tcBorders>
          </w:tcPr>
          <w:p>
            <w:pPr>
              <w:spacing w:after="0"/>
              <w:rPr>
                <w:sz w:val="13"/>
                <w:szCs w:val="13"/>
                <w:color w:val="auto"/>
              </w:rPr>
            </w:pPr>
          </w:p>
        </w:tc>
      </w:tr>
      <w:tr>
        <w:trPr>
          <w:trHeight w:val="683"/>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Executive, to:</w:t>
            </w: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William C. Kelly, Jr.</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____________________________________</w:t>
            </w:r>
          </w:p>
        </w:tc>
      </w:tr>
      <w:tr>
        <w:trPr>
          <w:trHeight w:val="355"/>
        </w:trPr>
        <w:tc>
          <w:tcPr>
            <w:tcW w:w="3140" w:type="dxa"/>
            <w:vAlign w:val="bottom"/>
          </w:tcPr>
          <w:p>
            <w:pPr>
              <w:spacing w:after="0"/>
              <w:rPr>
                <w:sz w:val="24"/>
                <w:szCs w:val="24"/>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____________________________________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-798830</wp:posOffset>
            </wp:positionV>
            <wp:extent cx="330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-798830</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163" w:lineRule="exact"/>
        <w:rPr>
          <w:sz w:val="20"/>
          <w:szCs w:val="20"/>
          <w:color w:val="auto"/>
        </w:rPr>
      </w:pPr>
    </w:p>
    <w:p>
      <w:pPr>
        <w:ind w:right="406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right="444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ectPr>
          <w:pgSz w:w="11900" w:h="16838" w:orient="portrait"/>
          <w:cols w:equalWidth="0" w:num="1">
            <w:col w:w="11440"/>
          </w:cols>
          <w:pgMar w:left="240" w:top="142" w:right="219" w:bottom="0" w:gutter="0" w:footer="0" w:header="0"/>
        </w:sectPr>
      </w:pPr>
    </w:p>
    <w:bookmarkStart w:id="70" w:name="page71"/>
    <w:bookmarkEnd w:id="70"/>
    <w:p>
      <w:pPr>
        <w:ind w:right="3019" w:firstLine="825"/>
        <w:spacing w:after="0" w:line="253" w:lineRule="auto"/>
        <w:tabs>
          <w:tab w:leader="none" w:pos="1200" w:val="left"/>
        </w:tabs>
        <w:numPr>
          <w:ilvl w:val="0"/>
          <w:numId w:val="9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9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9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are 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WITNESS WHEREOF, the parties hereto have executed this Agreement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first above written.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William C. Kelly, Jr.</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William C. Kelly, Jr.</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b w:val="1"/>
          <w:bCs w:val="1"/>
          <w:color w:val="auto"/>
        </w:rPr>
        <w:t>Exhibit 10.23</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WILLIAM C. KELLY, JR.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NOW, THEREFORE</w:t>
      </w:r>
      <w:r>
        <w:rPr>
          <w:rFonts w:ascii="Courier New" w:cs="Courier New" w:eastAsia="Courier New" w:hAnsi="Courier New"/>
          <w:sz w:val="15"/>
          <w:szCs w:val="15"/>
          <w:color w:val="auto"/>
        </w:rPr>
        <w:t>, 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9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019" w:firstLine="825"/>
        <w:spacing w:after="0" w:line="251" w:lineRule="auto"/>
        <w:tabs>
          <w:tab w:leader="none" w:pos="1107" w:val="left"/>
        </w:tabs>
        <w:numPr>
          <w:ilvl w:val="0"/>
          <w:numId w:val="9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9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0" w:lineRule="auto"/>
        <w:tabs>
          <w:tab w:leader="none" w:pos="2303"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w:t>
      </w:r>
    </w:p>
    <w:p>
      <w:pPr>
        <w:spacing w:after="0" w:line="2" w:lineRule="exact"/>
        <w:rPr>
          <w:rFonts w:ascii="Courier New" w:cs="Courier New" w:eastAsia="Courier New" w:hAnsi="Courier New"/>
          <w:sz w:val="15"/>
          <w:szCs w:val="15"/>
          <w:color w:val="auto"/>
        </w:rPr>
      </w:pPr>
    </w:p>
    <w:p>
      <w:pPr>
        <w:ind w:left="1380"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Employee at the end of the calendar year for which the bonus is payable, in accordance with Employer's normal bonus procedures; and</w:t>
      </w:r>
    </w:p>
    <w:p>
      <w:pPr>
        <w:spacing w:after="0" w:line="174" w:lineRule="exact"/>
        <w:rPr>
          <w:rFonts w:ascii="Courier New" w:cs="Courier New" w:eastAsia="Courier New" w:hAnsi="Courier New"/>
          <w:sz w:val="15"/>
          <w:szCs w:val="15"/>
          <w:color w:val="auto"/>
        </w:rPr>
      </w:pPr>
    </w:p>
    <w:p>
      <w:pPr>
        <w:ind w:left="1380" w:right="2839" w:firstLine="460"/>
        <w:spacing w:after="0" w:line="250" w:lineRule="auto"/>
        <w:tabs>
          <w:tab w:leader="none" w:pos="2395"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eighteen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-3052445</wp:posOffset>
            </wp:positionV>
            <wp:extent cx="72891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1380" w:right="3119" w:firstLine="460"/>
        <w:spacing w:after="0" w:line="253" w:lineRule="auto"/>
        <w:tabs>
          <w:tab w:leader="none" w:pos="221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w:t>
      </w:r>
    </w:p>
    <w:p>
      <w:pPr>
        <w:sectPr>
          <w:pgSz w:w="11900" w:h="16838" w:orient="portrait"/>
          <w:cols w:equalWidth="0" w:num="1">
            <w:col w:w="10219"/>
          </w:cols>
          <w:pgMar w:left="240" w:top="319" w:right="1440" w:bottom="0" w:gutter="0" w:footer="0" w:header="0"/>
        </w:sectPr>
      </w:pPr>
    </w:p>
    <w:bookmarkStart w:id="72" w:name="page73"/>
    <w:bookmarkEnd w:id="72"/>
    <w:p>
      <w:pPr>
        <w:ind w:left="560" w:right="2839"/>
        <w:spacing w:after="0" w:line="250" w:lineRule="auto"/>
        <w:rPr>
          <w:sz w:val="20"/>
          <w:szCs w:val="20"/>
          <w:color w:val="auto"/>
        </w:rPr>
      </w:pPr>
      <w:r>
        <w:rPr>
          <w:rFonts w:ascii="Courier New" w:cs="Courier New" w:eastAsia="Courier New" w:hAnsi="Courier New"/>
          <w:sz w:val="15"/>
          <w:szCs w:val="15"/>
          <w:color w:val="auto"/>
        </w:rPr>
        <w:t>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839" w:firstLine="460"/>
        <w:spacing w:after="0" w:line="250" w:lineRule="auto"/>
        <w:tabs>
          <w:tab w:leader="none" w:pos="148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3"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ectPr>
          <w:pgSz w:w="11900" w:h="16838" w:orient="portrait"/>
          <w:cols w:equalWidth="0" w:num="1">
            <w:col w:w="9399"/>
          </w:cols>
          <w:pgMar w:left="1060" w:top="142" w:right="1440" w:bottom="0" w:gutter="0" w:footer="0" w:header="0"/>
        </w:sectPr>
      </w:pPr>
    </w:p>
    <w:bookmarkStart w:id="73" w:name="page74"/>
    <w:bookmarkEnd w:id="73"/>
    <w:p>
      <w:pPr>
        <w:ind w:right="2839" w:firstLine="466"/>
        <w:spacing w:after="0" w:line="250" w:lineRule="auto"/>
        <w:tabs>
          <w:tab w:leader="none" w:pos="101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xml:space="preserve">") cease for any reason to constitute at least seventy-five percent (75%) of the Board;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91" w:lineRule="exact"/>
        <w:rPr>
          <w:rFonts w:ascii="Courier New" w:cs="Courier New" w:eastAsia="Courier New" w:hAnsi="Courier New"/>
          <w:sz w:val="15"/>
          <w:szCs w:val="15"/>
          <w:color w:val="auto"/>
        </w:rPr>
      </w:pPr>
    </w:p>
    <w:p>
      <w:pPr>
        <w:ind w:right="2759" w:firstLine="466"/>
        <w:spacing w:after="0" w:line="250" w:lineRule="auto"/>
        <w:tabs>
          <w:tab w:leader="none" w:pos="110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right="2839" w:firstLine="5"/>
        <w:spacing w:after="0" w:line="252" w:lineRule="auto"/>
        <w:tabs>
          <w:tab w:leader="none" w:pos="554"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120" w:hanging="654"/>
        <w:spacing w:after="0"/>
        <w:tabs>
          <w:tab w:leader="none" w:pos="11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100" w:right="2939" w:firstLine="182"/>
        <w:spacing w:after="0" w:line="251" w:lineRule="auto"/>
        <w:tabs>
          <w:tab w:leader="none" w:pos="838"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0" w:hanging="275"/>
        <w:spacing w:after="0"/>
        <w:tabs>
          <w:tab w:leader="none" w:pos="280" w:val="left"/>
        </w:tabs>
        <w:numPr>
          <w:ilvl w:val="0"/>
          <w:numId w:val="10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100" w:right="2839" w:firstLine="459"/>
        <w:spacing w:after="0" w:line="250" w:lineRule="auto"/>
        <w:tabs>
          <w:tab w:leader="none" w:pos="930"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ectPr>
          <w:pgSz w:w="11900" w:h="16838" w:orient="portrait"/>
          <w:cols w:equalWidth="0" w:num="1">
            <w:col w:w="9399"/>
          </w:cols>
          <w:pgMar w:left="1060" w:top="319" w:right="1440" w:bottom="0" w:gutter="0" w:footer="0" w:header="0"/>
        </w:sectPr>
      </w:pPr>
    </w:p>
    <w:bookmarkStart w:id="74" w:name="page75"/>
    <w:bookmarkEnd w:id="74"/>
    <w:p>
      <w:pPr>
        <w:ind w:left="920" w:right="2839" w:firstLine="459"/>
        <w:spacing w:after="0" w:line="251" w:lineRule="auto"/>
        <w:tabs>
          <w:tab w:leader="none" w:pos="17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10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p>
    <w:p>
      <w:pPr>
        <w:sectPr>
          <w:pgSz w:w="11900" w:h="16838" w:orient="portrait"/>
          <w:cols w:equalWidth="0" w:num="1">
            <w:col w:w="10219"/>
          </w:cols>
          <w:pgMar w:left="240" w:top="319" w:right="1440" w:bottom="0" w:gutter="0" w:footer="0" w:header="0"/>
        </w:sectPr>
      </w:pPr>
    </w:p>
    <w:bookmarkStart w:id="75" w:name="page76"/>
    <w:bookmarkEnd w:id="75"/>
    <w:p>
      <w:pPr>
        <w:ind w:left="5"/>
        <w:spacing w:after="0"/>
        <w:rPr>
          <w:sz w:val="20"/>
          <w:szCs w:val="20"/>
          <w:color w:val="auto"/>
        </w:rPr>
      </w:pP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85" w:lineRule="exact"/>
        <w:rPr>
          <w:sz w:val="20"/>
          <w:szCs w:val="20"/>
          <w:color w:val="auto"/>
        </w:rPr>
      </w:pPr>
    </w:p>
    <w:p>
      <w:pPr>
        <w:ind w:left="5" w:right="2839" w:firstLine="825"/>
        <w:spacing w:after="0" w:line="252" w:lineRule="auto"/>
        <w:tabs>
          <w:tab w:leader="none" w:pos="1113"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left="5" w:right="2939" w:firstLine="825"/>
        <w:spacing w:after="0" w:line="250" w:lineRule="auto"/>
        <w:tabs>
          <w:tab w:leader="none" w:pos="1113"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3219" w:firstLine="825"/>
        <w:spacing w:after="0" w:line="253" w:lineRule="auto"/>
        <w:tabs>
          <w:tab w:leader="none" w:pos="1113"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3019" w:firstLine="825"/>
        <w:spacing w:after="0" w:line="251" w:lineRule="auto"/>
        <w:tabs>
          <w:tab w:leader="none" w:pos="1205"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left="5" w:right="2839" w:firstLine="825"/>
        <w:spacing w:after="0" w:line="251" w:lineRule="auto"/>
        <w:tabs>
          <w:tab w:leader="none" w:pos="1205"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jc w:val="both"/>
        <w:ind w:left="5" w:right="3119" w:firstLine="825"/>
        <w:spacing w:after="0" w:line="251" w:lineRule="auto"/>
        <w:tabs>
          <w:tab w:leader="none" w:pos="1205"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/s/ William C. Kelly, Jr.</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William C. Kelly, Jr.</w:t>
      </w:r>
    </w:p>
    <w:p>
      <w:pPr>
        <w:spacing w:after="0" w:line="362"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p>
      <w:pPr>
        <w:ind w:left="3325"/>
        <w:spacing w:after="0"/>
        <w:tabs>
          <w:tab w:leader="none" w:pos="41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05"/>
        <w:spacing w:after="0"/>
        <w:rPr>
          <w:sz w:val="20"/>
          <w:szCs w:val="20"/>
          <w:color w:val="auto"/>
        </w:rPr>
      </w:pPr>
      <w:r>
        <w:rPr>
          <w:rFonts w:ascii="Courier New" w:cs="Courier New" w:eastAsia="Courier New" w:hAnsi="Courier New"/>
          <w:sz w:val="15"/>
          <w:szCs w:val="15"/>
          <w:color w:val="auto"/>
        </w:rPr>
        <w:t>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579" w:hanging="465"/>
        <w:spacing w:after="0" w:line="253" w:lineRule="auto"/>
        <w:tabs>
          <w:tab w:leader="none" w:pos="46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times such Employee's median bonus available at the following bonus target percentage: 25%; plus</w:t>
      </w:r>
    </w:p>
    <w:p>
      <w:pPr>
        <w:spacing w:after="0" w:line="17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1.5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207" w:gutter="0" w:footer="0" w:header="0"/>
        </w:sectPr>
      </w:pPr>
    </w:p>
    <w:bookmarkStart w:id="76" w:name="page77"/>
    <w:bookmarkEnd w:id="76"/>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674"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b w:val="1"/>
          <w:bCs w:val="1"/>
          <w:color w:val="auto"/>
        </w:rPr>
        <w:t>Exhibit 10.24</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David L. Dyckman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Vice-President of Business Development and Chief Financial Officer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Employment. </w:t>
      </w:r>
      <w:r>
        <w:rPr>
          <w:rFonts w:ascii="Courier New" w:cs="Courier New" w:eastAsia="Courier New" w:hAnsi="Courier New"/>
          <w:sz w:val="15"/>
          <w:szCs w:val="15"/>
          <w:color w:val="auto"/>
        </w:rPr>
        <w:t>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Term. </w:t>
      </w:r>
      <w:r>
        <w:rPr>
          <w:rFonts w:ascii="Courier New" w:cs="Courier New" w:eastAsia="Courier New" w:hAnsi="Courier New"/>
          <w:sz w:val="15"/>
          <w:szCs w:val="15"/>
          <w:color w:val="auto"/>
        </w:rPr>
        <w:t>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Position and Responsibilities. </w:t>
      </w:r>
      <w:r>
        <w:rPr>
          <w:rFonts w:ascii="Courier New" w:cs="Courier New" w:eastAsia="Courier New" w:hAnsi="Courier New"/>
          <w:sz w:val="15"/>
          <w:szCs w:val="15"/>
          <w:color w:val="auto"/>
        </w:rPr>
        <w:t>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Vice-President of Business Development and Chief Financial Officer of the Company, reporting to the President and Chief Executive Officer, and shall have supervision and control over, and responsibility for, the business development activities and financial operations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Diligence. </w:t>
      </w:r>
      <w:r>
        <w:rPr>
          <w:rFonts w:ascii="Courier New" w:cs="Courier New" w:eastAsia="Courier New" w:hAnsi="Courier New"/>
          <w:sz w:val="15"/>
          <w:szCs w:val="15"/>
          <w:color w:val="auto"/>
        </w:rPr>
        <w:t>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Time. </w:t>
      </w:r>
      <w:r>
        <w:rPr>
          <w:rFonts w:ascii="Courier New" w:cs="Courier New" w:eastAsia="Courier New" w:hAnsi="Courier New"/>
          <w:sz w:val="15"/>
          <w:szCs w:val="15"/>
          <w:color w:val="auto"/>
        </w:rPr>
        <w:t>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307975</wp:posOffset>
            </wp:positionV>
            <wp:extent cx="72891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10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$170,000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3119" w:firstLine="457"/>
        <w:spacing w:after="0" w:line="251" w:lineRule="auto"/>
        <w:tabs>
          <w:tab w:leader="none" w:pos="129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w:t>
      </w:r>
    </w:p>
    <w:p>
      <w:pPr>
        <w:sectPr>
          <w:pgSz w:w="11900" w:h="16838" w:orient="portrait"/>
          <w:cols w:equalWidth="0" w:num="1">
            <w:col w:w="10219"/>
          </w:cols>
          <w:pgMar w:left="240" w:top="319" w:right="1440" w:bottom="0" w:gutter="0" w:footer="0" w:header="0"/>
        </w:sectPr>
      </w:pPr>
    </w:p>
    <w:bookmarkStart w:id="78" w:name="page79"/>
    <w:bookmarkEnd w:id="78"/>
    <w:p>
      <w:pPr>
        <w:ind w:right="2939"/>
        <w:spacing w:after="0" w:line="251" w:lineRule="auto"/>
        <w:rPr>
          <w:sz w:val="20"/>
          <w:szCs w:val="20"/>
          <w:color w:val="auto"/>
        </w:rPr>
      </w:pPr>
      <w:r>
        <w:rPr>
          <w:rFonts w:ascii="Courier New" w:cs="Courier New" w:eastAsia="Courier New" w:hAnsi="Courier New"/>
          <w:sz w:val="15"/>
          <w:szCs w:val="15"/>
          <w:color w:val="auto"/>
        </w:rPr>
        <w:t>retains the right to abolish or alter the terms of any employee benefit programs, plans or policies that it may establish, provided such abolition or amendment shall be applicable to the senior officers of the Company generally.</w:t>
      </w:r>
    </w:p>
    <w:p>
      <w:pPr>
        <w:spacing w:after="0" w:line="176" w:lineRule="exact"/>
        <w:rPr>
          <w:sz w:val="20"/>
          <w:szCs w:val="20"/>
          <w:color w:val="auto"/>
        </w:rPr>
      </w:pPr>
    </w:p>
    <w:p>
      <w:pPr>
        <w:ind w:right="2939" w:firstLine="457"/>
        <w:spacing w:after="0" w:line="251" w:lineRule="auto"/>
        <w:tabs>
          <w:tab w:leader="none" w:pos="83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11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11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ectPr>
          <w:pgSz w:w="11900" w:h="16838" w:orient="portrait"/>
          <w:cols w:equalWidth="0" w:num="1">
            <w:col w:w="9759"/>
          </w:cols>
          <w:pgMar w:left="700" w:top="142" w:right="1440" w:bottom="39" w:gutter="0" w:footer="0" w:header="0"/>
        </w:sectPr>
      </w:pP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102870</wp:posOffset>
            </wp:positionV>
            <wp:extent cx="72891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759"/>
          </w:cols>
          <w:pgMar w:left="700" w:top="142" w:right="1440" w:bottom="39" w:gutter="0" w:footer="0" w:header="0"/>
          <w:type w:val="continuous"/>
        </w:sectPr>
      </w:pPr>
    </w:p>
    <w:bookmarkStart w:id="79" w:name="page80"/>
    <w:bookmarkEnd w:id="79"/>
    <w:p>
      <w:pPr>
        <w:ind w:right="3019"/>
        <w:spacing w:after="0" w:line="251"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 employment without Good Reason shall be made on not less than 14 days' notice.</w:t>
      </w:r>
    </w:p>
    <w:p>
      <w:pPr>
        <w:spacing w:after="0" w:line="176" w:lineRule="exact"/>
        <w:rPr>
          <w:sz w:val="20"/>
          <w:szCs w:val="20"/>
          <w:color w:val="auto"/>
        </w:rPr>
      </w:pPr>
    </w:p>
    <w:p>
      <w:pPr>
        <w:ind w:left="640" w:hanging="275"/>
        <w:spacing w:after="0"/>
        <w:tabs>
          <w:tab w:leader="none" w:pos="640" w:val="left"/>
        </w:tabs>
        <w:numPr>
          <w:ilvl w:val="0"/>
          <w:numId w:val="11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920" w:right="2839" w:firstLine="460"/>
        <w:spacing w:after="0" w:line="253" w:lineRule="auto"/>
        <w:tabs>
          <w:tab w:leader="none" w:pos="1750"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920" w:right="2939" w:firstLine="460"/>
        <w:spacing w:after="0" w:line="251" w:lineRule="auto"/>
        <w:tabs>
          <w:tab w:leader="none" w:pos="1843"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jc w:val="both"/>
        <w:ind w:left="920" w:right="2839" w:firstLine="460"/>
        <w:spacing w:after="0" w:line="252" w:lineRule="auto"/>
        <w:tabs>
          <w:tab w:leader="none" w:pos="1935"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920" w:right="2839" w:firstLine="460"/>
        <w:spacing w:after="0" w:line="251" w:lineRule="auto"/>
        <w:tabs>
          <w:tab w:leader="none" w:pos="1750"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175" w:lineRule="exact"/>
        <w:rPr>
          <w:rFonts w:ascii="Courier New" w:cs="Courier New" w:eastAsia="Courier New" w:hAnsi="Courier New"/>
          <w:sz w:val="15"/>
          <w:szCs w:val="15"/>
          <w:color w:val="auto"/>
        </w:rPr>
      </w:pPr>
    </w:p>
    <w:p>
      <w:pPr>
        <w:ind w:left="920" w:right="3219" w:firstLine="460"/>
        <w:spacing w:after="0" w:line="252" w:lineRule="auto"/>
        <w:tabs>
          <w:tab w:leader="none" w:pos="1843"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jc w:val="both"/>
        <w:ind w:left="920" w:right="2839" w:firstLine="460"/>
        <w:spacing w:after="0" w:line="252" w:lineRule="auto"/>
        <w:tabs>
          <w:tab w:leader="none" w:pos="1935"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920" w:right="2839" w:firstLine="460"/>
        <w:spacing w:after="0" w:line="251" w:lineRule="auto"/>
        <w:tabs>
          <w:tab w:leader="none" w:pos="1843"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82" w:lineRule="exact"/>
        <w:rPr>
          <w:sz w:val="20"/>
          <w:szCs w:val="20"/>
          <w:color w:val="auto"/>
        </w:rPr>
      </w:pPr>
    </w:p>
    <w:p>
      <w:pPr>
        <w:ind w:right="2939" w:firstLine="457"/>
        <w:spacing w:after="0" w:line="251" w:lineRule="auto"/>
        <w:tabs>
          <w:tab w:leader="none" w:pos="83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11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ectPr>
          <w:pgSz w:w="11900" w:h="16838" w:orient="portrait"/>
          <w:cols w:equalWidth="0" w:num="1">
            <w:col w:w="9759"/>
          </w:cols>
          <w:pgMar w:left="700" w:top="319" w:right="1440" w:bottom="0" w:gutter="0" w:footer="0" w:header="0"/>
        </w:sectPr>
      </w:pPr>
    </w:p>
    <w:bookmarkStart w:id="80" w:name="page81"/>
    <w:bookmarkEnd w:id="80"/>
    <w:p>
      <w:pPr>
        <w:ind w:left="460" w:right="4060" w:firstLine="457"/>
        <w:spacing w:after="0" w:line="251" w:lineRule="auto"/>
        <w:tabs>
          <w:tab w:leader="none" w:pos="129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353" w:lineRule="exact"/>
        <w:rPr>
          <w:rFonts w:ascii="Courier New" w:cs="Courier New" w:eastAsia="Courier New" w:hAnsi="Courier New"/>
          <w:sz w:val="15"/>
          <w:szCs w:val="15"/>
          <w:color w:val="auto"/>
        </w:rPr>
      </w:pPr>
    </w:p>
    <w:p>
      <w:pPr>
        <w:ind w:left="460" w:right="4060" w:firstLine="457"/>
        <w:spacing w:after="0" w:line="251" w:lineRule="auto"/>
        <w:tabs>
          <w:tab w:leader="none" w:pos="129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11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 xml:space="preserve">relating to this Agreement shall be settled by final and binding arbitration in </w:t>
      </w:r>
      <w:r>
        <w:rPr>
          <w:rFonts w:ascii="Courier New" w:cs="Courier New" w:eastAsia="Courier New" w:hAnsi="Courier New"/>
          <w:sz w:val="15"/>
          <w:szCs w:val="15"/>
          <w:b w:val="1"/>
          <w:bCs w:val="1"/>
          <w:color w:val="auto"/>
        </w:rPr>
        <w:t xml:space="preserve">[Johnson City, Tennessee] </w:t>
      </w:r>
      <w:r>
        <w:rPr>
          <w:rFonts w:ascii="Courier New" w:cs="Courier New" w:eastAsia="Courier New" w:hAnsi="Courier New"/>
          <w:sz w:val="15"/>
          <w:szCs w:val="15"/>
          <w:color w:val="auto"/>
        </w:rPr>
        <w:t>in accordance with the Commercial Arbitration rules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Company, to:</w:t>
            </w: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Building C, Suite 12</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Executive, to:</w:t>
            </w: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David L. Dyckman</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7 Wayland Ct.</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Johnson City, TN 37604</w:t>
            </w:r>
          </w:p>
        </w:tc>
      </w:tr>
      <w:tr>
        <w:trPr>
          <w:trHeight w:val="532"/>
        </w:trPr>
        <w:tc>
          <w:tcPr>
            <w:tcW w:w="3140" w:type="dxa"/>
            <w:vAlign w:val="bottom"/>
          </w:tcPr>
          <w:p>
            <w:pPr>
              <w:spacing w:after="0"/>
              <w:rPr>
                <w:sz w:val="24"/>
                <w:szCs w:val="24"/>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61"/>
        </w:trPr>
        <w:tc>
          <w:tcPr>
            <w:tcW w:w="3140" w:type="dxa"/>
            <w:vAlign w:val="bottom"/>
            <w:tcBorders>
              <w:bottom w:val="single" w:sz="8" w:color="9A9A9A"/>
            </w:tcBorders>
          </w:tcPr>
          <w:p>
            <w:pPr>
              <w:spacing w:after="0"/>
              <w:rPr>
                <w:sz w:val="13"/>
                <w:szCs w:val="13"/>
                <w:color w:val="auto"/>
              </w:rPr>
            </w:pPr>
          </w:p>
        </w:tc>
        <w:tc>
          <w:tcPr>
            <w:tcW w:w="83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313" w:lineRule="exact"/>
        <w:rPr>
          <w:sz w:val="20"/>
          <w:szCs w:val="20"/>
          <w:color w:val="auto"/>
        </w:rPr>
      </w:pPr>
    </w:p>
    <w:p>
      <w:pPr>
        <w:ind w:right="4060" w:firstLine="825"/>
        <w:spacing w:after="0" w:line="251"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left="1200" w:hanging="375"/>
        <w:spacing w:after="0"/>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p>
    <w:p>
      <w:pPr>
        <w:sectPr>
          <w:pgSz w:w="11900" w:h="16838" w:orient="portrait"/>
          <w:cols w:equalWidth="0" w:num="1">
            <w:col w:w="11440"/>
          </w:cols>
          <w:pgMar w:left="240" w:top="141" w:right="219" w:bottom="0" w:gutter="0" w:footer="0" w:header="0"/>
        </w:sectPr>
      </w:pPr>
    </w:p>
    <w:bookmarkStart w:id="81" w:name="page82"/>
    <w:bookmarkEnd w:id="81"/>
    <w:p>
      <w:pPr>
        <w:ind w:right="3219"/>
        <w:spacing w:after="0" w:line="251" w:lineRule="auto"/>
        <w:rPr>
          <w:sz w:val="20"/>
          <w:szCs w:val="20"/>
          <w:color w:val="auto"/>
        </w:rPr>
      </w:pP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pacing w:after="0" w:line="176" w:lineRule="exact"/>
        <w:rPr>
          <w:sz w:val="20"/>
          <w:szCs w:val="20"/>
          <w:color w:val="auto"/>
        </w:rPr>
      </w:pPr>
    </w:p>
    <w:p>
      <w:pPr>
        <w:ind w:right="3019" w:firstLine="825"/>
        <w:spacing w:after="0" w:line="253" w:lineRule="auto"/>
        <w:tabs>
          <w:tab w:leader="none" w:pos="1200" w:val="left"/>
        </w:tabs>
        <w:numPr>
          <w:ilvl w:val="0"/>
          <w:numId w:val="1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1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1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 are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ectPr>
          <w:pgSz w:w="11900" w:h="16838" w:orient="portrait"/>
          <w:cols w:equalWidth="0" w:num="1">
            <w:col w:w="10219"/>
          </w:cols>
          <w:pgMar w:left="240" w:top="142" w:right="1440" w:bottom="1440" w:gutter="0" w:footer="0" w:header="0"/>
        </w:sectPr>
      </w:pP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00" w:space="80"/>
            <w:col w:w="6539"/>
          </w:cols>
          <w:pgMar w:left="240" w:top="142" w:right="1440" w:bottom="1440" w:gutter="0" w:footer="0" w:header="0"/>
          <w:type w:val="continuous"/>
        </w:sectPr>
      </w:pP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David L. Dyckman</w:t>
      </w:r>
    </w:p>
    <w:p>
      <w:pPr>
        <w:sectPr>
          <w:pgSz w:w="11900" w:h="16838" w:orient="portrait"/>
          <w:cols w:equalWidth="0" w:num="1">
            <w:col w:w="10219"/>
          </w:cols>
          <w:pgMar w:left="240" w:top="142" w:right="1440" w:bottom="1440" w:gutter="0" w:footer="0" w:header="0"/>
          <w:type w:val="continuous"/>
        </w:sectPr>
      </w:pP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00" w:space="80"/>
            <w:col w:w="653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142" w:right="1440" w:bottom="1440" w:gutter="0" w:footer="0" w:header="0"/>
          <w:type w:val="continuous"/>
        </w:sectPr>
      </w:pPr>
    </w:p>
    <w:bookmarkStart w:id="82" w:name="page83"/>
    <w:bookmarkEnd w:id="82"/>
    <w:p>
      <w:pPr>
        <w:spacing w:after="0"/>
        <w:rPr>
          <w:sz w:val="20"/>
          <w:szCs w:val="20"/>
          <w:color w:val="auto"/>
        </w:rPr>
      </w:pPr>
      <w:r>
        <w:rPr>
          <w:rFonts w:ascii="Courier New" w:cs="Courier New" w:eastAsia="Courier New" w:hAnsi="Courier New"/>
          <w:sz w:val="15"/>
          <w:szCs w:val="15"/>
          <w:b w:val="1"/>
          <w:bCs w:val="1"/>
          <w:color w:val="auto"/>
        </w:rPr>
        <w:t>Exhibit 10.25</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DAVID L. DYCKMAN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"Employer").</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"Board")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56"/>
        <w:spacing w:after="0" w:line="250" w:lineRule="auto"/>
        <w:tabs>
          <w:tab w:leader="none" w:pos="738"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rFonts w:ascii="Courier New" w:cs="Courier New" w:eastAsia="Courier New" w:hAnsi="Courier New"/>
          <w:sz w:val="15"/>
          <w:szCs w:val="15"/>
          <w:b w:val="1"/>
          <w:bCs w:val="1"/>
          <w:color w:val="auto"/>
        </w:rPr>
      </w:pPr>
    </w:p>
    <w:p>
      <w:pPr>
        <w:jc w:val="both"/>
        <w:ind w:right="2939" w:firstLine="456"/>
        <w:spacing w:after="0" w:line="251" w:lineRule="auto"/>
        <w:tabs>
          <w:tab w:leader="none" w:pos="738"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740" w:hanging="284"/>
        <w:spacing w:after="0"/>
        <w:tabs>
          <w:tab w:leader="none" w:pos="740"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("Insurance Benefits").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280" w:hanging="363"/>
        <w:spacing w:after="0"/>
        <w:tabs>
          <w:tab w:leader="none" w:pos="12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920" w:right="3019" w:firstLine="459"/>
        <w:spacing w:after="0" w:line="253" w:lineRule="auto"/>
        <w:tabs>
          <w:tab w:leader="none" w:pos="175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 pursuant to</w:t>
      </w:r>
    </w:p>
    <w:p>
      <w:pPr>
        <w:sectPr>
          <w:pgSz w:w="11900" w:h="16838" w:orient="portrait"/>
          <w:cols w:equalWidth="0" w:num="1">
            <w:col w:w="10219"/>
          </w:cols>
          <w:pgMar w:left="240" w:top="319" w:right="1440" w:bottom="0" w:gutter="0" w:footer="0" w:header="0"/>
        </w:sectPr>
      </w:pPr>
    </w:p>
    <w:bookmarkStart w:id="83" w:name="page84"/>
    <w:bookmarkEnd w:id="83"/>
    <w:p>
      <w:pPr>
        <w:ind w:left="100" w:right="2839"/>
        <w:spacing w:after="0" w:line="250" w:lineRule="auto"/>
        <w:rPr>
          <w:sz w:val="20"/>
          <w:szCs w:val="20"/>
          <w:color w:val="auto"/>
        </w:rPr>
      </w:pPr>
      <w:r>
        <w:rPr>
          <w:rFonts w:ascii="Courier New" w:cs="Courier New" w:eastAsia="Courier New" w:hAnsi="Courier New"/>
          <w:sz w:val="15"/>
          <w:szCs w:val="15"/>
          <w:color w:val="auto"/>
        </w:rPr>
        <w:t>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34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839" w:firstLine="459"/>
        <w:spacing w:after="0" w:line="250" w:lineRule="auto"/>
        <w:tabs>
          <w:tab w:leader="none" w:pos="102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36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pacing w:after="0" w:line="176"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Change of Control. "Change of Control" shall mean: (i) a</w:t>
      </w:r>
    </w:p>
    <w:p>
      <w:pPr>
        <w:sectPr>
          <w:pgSz w:w="11900" w:h="16838" w:orient="portrait"/>
          <w:cols w:equalWidth="0" w:num="1">
            <w:col w:w="9399"/>
          </w:cols>
          <w:pgMar w:left="1060" w:top="142" w:right="1440" w:bottom="0" w:gutter="0" w:footer="0" w:header="0"/>
        </w:sectPr>
      </w:pPr>
    </w:p>
    <w:bookmarkStart w:id="84" w:name="page85"/>
    <w:bookmarkEnd w:id="84"/>
    <w:p>
      <w:pPr>
        <w:ind w:left="364" w:right="2839"/>
        <w:spacing w:after="0" w:line="250" w:lineRule="auto"/>
        <w:rPr>
          <w:sz w:val="20"/>
          <w:szCs w:val="20"/>
          <w:color w:val="auto"/>
        </w:rPr>
      </w:pPr>
      <w:r>
        <w:rPr>
          <w:rFonts w:ascii="Courier New" w:cs="Courier New" w:eastAsia="Courier New" w:hAnsi="Courier New"/>
          <w:sz w:val="15"/>
          <w:szCs w:val="15"/>
          <w:color w:val="auto"/>
        </w:rPr>
        <w:t>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xml:space="preserve">") cease for any reason to constitute at least seventy-five percent (75%) of the Board;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91" w:lineRule="exact"/>
        <w:rPr>
          <w:sz w:val="20"/>
          <w:szCs w:val="20"/>
          <w:color w:val="auto"/>
        </w:rPr>
      </w:pPr>
    </w:p>
    <w:p>
      <w:pPr>
        <w:ind w:left="364" w:right="2759" w:firstLine="559"/>
        <w:spacing w:after="0" w:line="250" w:lineRule="auto"/>
        <w:tabs>
          <w:tab w:leader="none" w:pos="1471"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364" w:right="2839" w:firstLine="5"/>
        <w:spacing w:after="0" w:line="252" w:lineRule="auto"/>
        <w:tabs>
          <w:tab w:leader="none" w:pos="91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484" w:hanging="561"/>
        <w:spacing w:after="0"/>
        <w:tabs>
          <w:tab w:leader="none" w:pos="1484"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364"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4"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464" w:right="2939" w:firstLine="366"/>
        <w:spacing w:after="0" w:line="251" w:lineRule="auto"/>
        <w:tabs>
          <w:tab w:leader="none" w:pos="147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2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464" w:right="2839" w:firstLine="459"/>
        <w:spacing w:after="0" w:line="250" w:lineRule="auto"/>
        <w:tabs>
          <w:tab w:leader="none" w:pos="1294"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pacing w:after="0" w:line="186" w:lineRule="exact"/>
        <w:rPr>
          <w:rFonts w:ascii="Courier New" w:cs="Courier New" w:eastAsia="Courier New" w:hAnsi="Courier New"/>
          <w:sz w:val="15"/>
          <w:szCs w:val="15"/>
          <w:color w:val="auto"/>
        </w:rPr>
      </w:pPr>
    </w:p>
    <w:p>
      <w:pPr>
        <w:ind w:left="1284" w:hanging="361"/>
        <w:spacing w:after="0"/>
        <w:tabs>
          <w:tab w:leader="none" w:pos="1284"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w:t>
      </w:r>
    </w:p>
    <w:p>
      <w:pPr>
        <w:sectPr>
          <w:pgSz w:w="11900" w:h="16838" w:orient="portrait"/>
          <w:cols w:equalWidth="0" w:num="1">
            <w:col w:w="9763"/>
          </w:cols>
          <w:pgMar w:left="696" w:top="142" w:right="1440" w:bottom="0" w:gutter="0" w:footer="0" w:header="0"/>
        </w:sectPr>
      </w:pPr>
    </w:p>
    <w:bookmarkStart w:id="85" w:name="page86"/>
    <w:bookmarkEnd w:id="85"/>
    <w:p>
      <w:pPr>
        <w:ind w:left="920" w:right="2839"/>
        <w:spacing w:after="0" w:line="251" w:lineRule="auto"/>
        <w:rPr>
          <w:sz w:val="20"/>
          <w:szCs w:val="20"/>
          <w:color w:val="auto"/>
        </w:rPr>
      </w:pPr>
      <w:r>
        <w:rPr>
          <w:rFonts w:ascii="Courier New" w:cs="Courier New" w:eastAsia="Courier New" w:hAnsi="Courier New"/>
          <w:sz w:val="15"/>
          <w:szCs w:val="15"/>
          <w:color w:val="auto"/>
        </w:rPr>
        <w:t>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3" w:lineRule="exact"/>
        <w:rPr>
          <w:sz w:val="20"/>
          <w:szCs w:val="20"/>
          <w:color w:val="auto"/>
        </w:rPr>
      </w:pPr>
    </w:p>
    <w:p>
      <w:pPr>
        <w:ind w:left="920" w:right="2939" w:firstLine="459"/>
        <w:spacing w:after="0" w:line="250" w:lineRule="auto"/>
        <w:tabs>
          <w:tab w:leader="none" w:pos="175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939" w:firstLine="456"/>
        <w:spacing w:after="0" w:line="250" w:lineRule="auto"/>
        <w:tabs>
          <w:tab w:leader="none" w:pos="738" w:val="left"/>
        </w:tabs>
        <w:numPr>
          <w:ilvl w:val="0"/>
          <w:numId w:val="1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 relating</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 xml:space="preserve">7. Withholding. </w:t>
      </w:r>
      <w:r>
        <w:rPr>
          <w:rFonts w:ascii="Courier New" w:cs="Courier New" w:eastAsia="Courier New" w:hAnsi="Courier New"/>
          <w:sz w:val="15"/>
          <w:szCs w:val="15"/>
          <w:color w:val="auto"/>
        </w:rPr>
        <w:t>Employer may withhold from any amounts payable under this</w:t>
      </w:r>
    </w:p>
    <w:p>
      <w:pPr>
        <w:sectPr>
          <w:pgSz w:w="11900" w:h="16838" w:orient="portrait"/>
          <w:cols w:equalWidth="0" w:num="1">
            <w:col w:w="10219"/>
          </w:cols>
          <w:pgMar w:left="240" w:top="142" w:right="1440" w:bottom="0" w:gutter="0" w:footer="0" w:header="0"/>
        </w:sectPr>
      </w:pPr>
    </w:p>
    <w:bookmarkStart w:id="86" w:name="page87"/>
    <w:bookmarkEnd w:id="86"/>
    <w:p>
      <w:pPr>
        <w:ind w:left="5" w:right="3019"/>
        <w:spacing w:after="0" w:line="253" w:lineRule="auto"/>
        <w:rPr>
          <w:sz w:val="20"/>
          <w:szCs w:val="20"/>
          <w:color w:val="auto"/>
        </w:rPr>
      </w:pPr>
      <w:r>
        <w:rPr>
          <w:rFonts w:ascii="Courier New" w:cs="Courier New" w:eastAsia="Courier New" w:hAnsi="Courier New"/>
          <w:sz w:val="15"/>
          <w:szCs w:val="15"/>
          <w:color w:val="auto"/>
        </w:rPr>
        <w:t>Agreement the minimum Federal, state or local taxes as shall be required to be withheld pursuant to any applicable law or regulation.</w:t>
      </w:r>
    </w:p>
    <w:p>
      <w:pPr>
        <w:spacing w:after="0" w:line="174" w:lineRule="exact"/>
        <w:rPr>
          <w:sz w:val="20"/>
          <w:szCs w:val="20"/>
          <w:color w:val="auto"/>
        </w:rPr>
      </w:pPr>
    </w:p>
    <w:p>
      <w:pPr>
        <w:ind w:left="5" w:right="2839" w:firstLine="456"/>
        <w:spacing w:after="0" w:line="250" w:lineRule="auto"/>
        <w:tabs>
          <w:tab w:leader="none" w:pos="744"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 benefit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3579" w:firstLine="456"/>
        <w:spacing w:after="0" w:line="253" w:lineRule="auto"/>
        <w:tabs>
          <w:tab w:leader="none" w:pos="744"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 invalid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6" w:lineRule="exact"/>
        <w:rPr>
          <w:rFonts w:ascii="Courier New" w:cs="Courier New" w:eastAsia="Courier New" w:hAnsi="Courier New"/>
          <w:sz w:val="15"/>
          <w:szCs w:val="15"/>
          <w:b w:val="1"/>
          <w:bCs w:val="1"/>
          <w:color w:val="auto"/>
        </w:rPr>
      </w:pPr>
    </w:p>
    <w:p>
      <w:pPr>
        <w:ind w:left="825" w:hanging="364"/>
        <w:spacing w:after="0"/>
        <w:tabs>
          <w:tab w:leader="none" w:pos="825"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5" w:lineRule="exact"/>
        <w:rPr>
          <w:sz w:val="20"/>
          <w:szCs w:val="20"/>
          <w:color w:val="auto"/>
        </w:rPr>
      </w:pPr>
    </w:p>
    <w:p>
      <w:pPr>
        <w:ind w:left="5" w:right="3119" w:firstLine="456"/>
        <w:spacing w:after="0" w:line="251" w:lineRule="auto"/>
        <w:tabs>
          <w:tab w:leader="none" w:pos="836" w:val="left"/>
        </w:tabs>
        <w:numPr>
          <w:ilvl w:val="0"/>
          <w:numId w:val="13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David L. Dyckman</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p>
      <w:pPr>
        <w:ind w:left="3405"/>
        <w:spacing w:after="0"/>
        <w:tabs>
          <w:tab w:leader="none" w:pos="42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Roderick R. Baty</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759" w:hanging="465"/>
        <w:spacing w:after="0" w:line="253" w:lineRule="auto"/>
        <w:tabs>
          <w:tab w:leader="none" w:pos="4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3119" w:hanging="465"/>
        <w:spacing w:after="0" w:line="252" w:lineRule="auto"/>
        <w:tabs>
          <w:tab w:leader="none" w:pos="4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739" w:gutter="0" w:footer="0" w:header="0"/>
        </w:sectPr>
      </w:pPr>
    </w:p>
    <w:bookmarkStart w:id="87" w:name="page88"/>
    <w:bookmarkEnd w:id="87"/>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319" w:right="1440" w:bottom="1440" w:gutter="0" w:footer="0" w:header="0"/>
        </w:sectPr>
      </w:pPr>
    </w:p>
    <w:bookmarkStart w:id="88" w:name="page89"/>
    <w:bookmarkEnd w:id="88"/>
    <w:p>
      <w:pPr>
        <w:ind w:left="5"/>
        <w:spacing w:after="0"/>
        <w:tabs>
          <w:tab w:leader="none" w:pos="5705" w:val="left"/>
        </w:tabs>
        <w:rPr>
          <w:sz w:val="20"/>
          <w:szCs w:val="20"/>
          <w:color w:val="auto"/>
        </w:rPr>
      </w:pPr>
      <w:r>
        <w:rPr>
          <w:rFonts w:ascii="Courier New" w:cs="Courier New" w:eastAsia="Courier New" w:hAnsi="Courier New"/>
          <w:sz w:val="15"/>
          <w:szCs w:val="15"/>
          <w:b w:val="1"/>
          <w:bCs w:val="1"/>
          <w:color w:val="auto"/>
        </w:rPr>
        <w:t>Exhibit 10.26</w:t>
      </w:r>
      <w:r>
        <w:rPr>
          <w:sz w:val="20"/>
          <w:szCs w:val="20"/>
          <w:color w:val="auto"/>
        </w:rPr>
        <w:tab/>
      </w:r>
      <w:r>
        <w:rPr>
          <w:rFonts w:ascii="Courier New" w:cs="Courier New" w:eastAsia="Courier New" w:hAnsi="Courier New"/>
          <w:sz w:val="15"/>
          <w:szCs w:val="15"/>
          <w:b w:val="1"/>
          <w:bCs w:val="1"/>
          <w:color w:val="auto"/>
        </w:rPr>
        <w:t>EXECUTION VERSION</w:t>
      </w:r>
    </w:p>
    <w:p>
      <w:pPr>
        <w:spacing w:after="0" w:line="185" w:lineRule="exact"/>
        <w:rPr>
          <w:sz w:val="20"/>
          <w:szCs w:val="20"/>
          <w:color w:val="auto"/>
        </w:rPr>
      </w:pPr>
    </w:p>
    <w:p>
      <w:pPr>
        <w:ind w:left="3225" w:hanging="273"/>
        <w:spacing w:after="0"/>
        <w:tabs>
          <w:tab w:leader="none" w:pos="3225" w:val="left"/>
        </w:tabs>
        <w:numPr>
          <w:ilvl w:val="0"/>
          <w:numId w:val="13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EUROBALL, ApS</w:t>
      </w:r>
    </w:p>
    <w:p>
      <w:pPr>
        <w:spacing w:after="0" w:line="7" w:lineRule="exact"/>
        <w:rPr>
          <w:rFonts w:ascii="Courier New" w:cs="Courier New" w:eastAsia="Courier New" w:hAnsi="Courier New"/>
          <w:sz w:val="15"/>
          <w:szCs w:val="15"/>
          <w:b w:val="1"/>
          <w:bCs w:val="1"/>
          <w:color w:val="auto"/>
        </w:rPr>
      </w:pPr>
    </w:p>
    <w:p>
      <w:pPr>
        <w:ind w:left="2765"/>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SHAREHOLDER AGREEMENT</w:t>
      </w:r>
    </w:p>
    <w:p>
      <w:pPr>
        <w:spacing w:after="0" w:line="185" w:lineRule="exact"/>
        <w:rPr>
          <w:sz w:val="20"/>
          <w:szCs w:val="20"/>
          <w:color w:val="auto"/>
        </w:rPr>
      </w:pPr>
    </w:p>
    <w:p>
      <w:pPr>
        <w:jc w:val="both"/>
        <w:ind w:left="5" w:right="2939" w:firstLine="830"/>
        <w:spacing w:after="0" w:line="251" w:lineRule="auto"/>
        <w:rPr>
          <w:sz w:val="20"/>
          <w:szCs w:val="20"/>
          <w:color w:val="auto"/>
        </w:rPr>
      </w:pPr>
      <w:r>
        <w:rPr>
          <w:rFonts w:ascii="Courier New" w:cs="Courier New" w:eastAsia="Courier New" w:hAnsi="Courier New"/>
          <w:sz w:val="15"/>
          <w:szCs w:val="15"/>
          <w:color w:val="auto"/>
        </w:rPr>
        <w:t xml:space="preserve">THIS AGREEMENT shall become effective as of the date when the Euroball transaction closes, by and among </w:t>
      </w:r>
      <w:r>
        <w:rPr>
          <w:rFonts w:ascii="Courier New" w:cs="Courier New" w:eastAsia="Courier New" w:hAnsi="Courier New"/>
          <w:sz w:val="15"/>
          <w:szCs w:val="15"/>
          <w:b w:val="1"/>
          <w:bCs w:val="1"/>
          <w:color w:val="auto"/>
        </w:rPr>
        <w:t>NN, Inc.</w:t>
      </w:r>
      <w:r>
        <w:rPr>
          <w:rFonts w:ascii="Courier New" w:cs="Courier New" w:eastAsia="Courier New" w:hAnsi="Courier New"/>
          <w:sz w:val="15"/>
          <w:szCs w:val="15"/>
          <w:color w:val="auto"/>
        </w:rPr>
        <w:t xml:space="preserve"> a Tennessee corporation ("NNBR"), </w:t>
      </w:r>
      <w:r>
        <w:rPr>
          <w:rFonts w:ascii="Courier New" w:cs="Courier New" w:eastAsia="Courier New" w:hAnsi="Courier New"/>
          <w:sz w:val="15"/>
          <w:szCs w:val="15"/>
          <w:b w:val="1"/>
          <w:bCs w:val="1"/>
          <w:color w:val="auto"/>
        </w:rPr>
        <w:t>AB</w:t>
      </w:r>
      <w:r>
        <w:rPr>
          <w:rFonts w:ascii="Courier New" w:cs="Courier New" w:eastAsia="Courier New" w:hAnsi="Courier New"/>
          <w:sz w:val="15"/>
          <w:szCs w:val="15"/>
          <w:color w:val="auto"/>
        </w:rPr>
        <w:t xml:space="preserve"> </w:t>
      </w:r>
      <w:r>
        <w:rPr>
          <w:rFonts w:ascii="Courier New" w:cs="Courier New" w:eastAsia="Courier New" w:hAnsi="Courier New"/>
          <w:sz w:val="15"/>
          <w:szCs w:val="15"/>
          <w:b w:val="1"/>
          <w:bCs w:val="1"/>
          <w:color w:val="auto"/>
        </w:rPr>
        <w:t>SKF</w:t>
      </w:r>
      <w:r>
        <w:rPr>
          <w:rFonts w:ascii="Courier New" w:cs="Courier New" w:eastAsia="Courier New" w:hAnsi="Courier New"/>
          <w:sz w:val="15"/>
          <w:szCs w:val="15"/>
          <w:color w:val="auto"/>
        </w:rPr>
        <w:t>, a Swedish company ("SKF"), and</w:t>
      </w:r>
      <w:r>
        <w:rPr>
          <w:rFonts w:ascii="Courier New" w:cs="Courier New" w:eastAsia="Courier New" w:hAnsi="Courier New"/>
          <w:sz w:val="15"/>
          <w:szCs w:val="15"/>
          <w:b w:val="1"/>
          <w:bCs w:val="1"/>
          <w:color w:val="auto"/>
        </w:rPr>
        <w:t xml:space="preserve"> FAG Kugelfischer Georg Schafer AG</w:t>
      </w:r>
      <w:r>
        <w:rPr>
          <w:rFonts w:ascii="Courier New" w:cs="Courier New" w:eastAsia="Courier New" w:hAnsi="Courier New"/>
          <w:sz w:val="15"/>
          <w:szCs w:val="15"/>
          <w:color w:val="auto"/>
        </w:rPr>
        <w:t>, a German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("FAG").</w:t>
      </w:r>
    </w:p>
    <w:p>
      <w:pPr>
        <w:spacing w:after="0" w:line="176"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b w:val="1"/>
          <w:bCs w:val="1"/>
          <w:color w:val="auto"/>
        </w:rPr>
        <w:t>RECITALS</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b w:val="1"/>
          <w:bCs w:val="1"/>
          <w:color w:val="auto"/>
        </w:rPr>
        <w:t>--------</w:t>
      </w:r>
    </w:p>
    <w:p>
      <w:pPr>
        <w:spacing w:after="0" w:line="185" w:lineRule="exact"/>
        <w:rPr>
          <w:sz w:val="20"/>
          <w:szCs w:val="20"/>
          <w:color w:val="auto"/>
        </w:rPr>
      </w:pPr>
    </w:p>
    <w:p>
      <w:pPr>
        <w:ind w:left="465" w:right="2939" w:hanging="465"/>
        <w:spacing w:after="0" w:line="251" w:lineRule="auto"/>
        <w:tabs>
          <w:tab w:leader="none" w:pos="46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purchased NN Euroball, ApS., a Danish company (the "Company") pursuant to the Joint Venture Formation Agreement among the parties dated April 6, 2000 (the "Formation Agreement"), and desire to set forth their mutual agreement as to certain matters related to the ownership, governance and operation of the Company.</w:t>
      </w:r>
    </w:p>
    <w:p>
      <w:pPr>
        <w:spacing w:after="0" w:line="176" w:lineRule="exact"/>
        <w:rPr>
          <w:rFonts w:ascii="Courier New" w:cs="Courier New" w:eastAsia="Courier New" w:hAnsi="Courier New"/>
          <w:sz w:val="15"/>
          <w:szCs w:val="15"/>
          <w:color w:val="auto"/>
        </w:rPr>
      </w:pPr>
    </w:p>
    <w:p>
      <w:pPr>
        <w:ind w:left="465" w:right="2839" w:hanging="465"/>
        <w:spacing w:after="0" w:line="253" w:lineRule="auto"/>
        <w:tabs>
          <w:tab w:leader="none" w:pos="46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capitalized terms used but not defined in this Agreement shall have the meaning set forth in the Formation Agreement.</w:t>
      </w:r>
    </w:p>
    <w:p>
      <w:pPr>
        <w:spacing w:after="0" w:line="174" w:lineRule="exact"/>
        <w:rPr>
          <w:rFonts w:ascii="Courier New" w:cs="Courier New" w:eastAsia="Courier New" w:hAnsi="Courier New"/>
          <w:sz w:val="15"/>
          <w:szCs w:val="15"/>
          <w:color w:val="auto"/>
        </w:rPr>
      </w:pPr>
    </w:p>
    <w:p>
      <w:pPr>
        <w:ind w:left="465" w:right="2939" w:hanging="465"/>
        <w:spacing w:after="0" w:line="253" w:lineRule="auto"/>
        <w:tabs>
          <w:tab w:leader="none" w:pos="46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shareholdings of the parties are as follows: NNBR - 54%, SKF - 23%, and FAG - 23%.</w:t>
      </w:r>
    </w:p>
    <w:p>
      <w:pPr>
        <w:spacing w:after="0" w:line="174"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5" w:right="3679" w:firstLine="830"/>
        <w:spacing w:after="0" w:line="252" w:lineRule="auto"/>
        <w:rPr>
          <w:sz w:val="20"/>
          <w:szCs w:val="20"/>
          <w:color w:val="auto"/>
        </w:rPr>
      </w:pPr>
      <w:r>
        <w:rPr>
          <w:rFonts w:ascii="Courier New" w:cs="Courier New" w:eastAsia="Courier New" w:hAnsi="Courier New"/>
          <w:sz w:val="15"/>
          <w:szCs w:val="15"/>
          <w:color w:val="auto"/>
        </w:rPr>
        <w:t>In consideration of the mutual promises made herein and in the Formation Agreement, the receipt and sufficiency of which are hereby acknowledged, the parties hereby agree as follows:</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1. Competition.</w:t>
      </w:r>
    </w:p>
    <w:p>
      <w:pPr>
        <w:spacing w:after="0" w:line="185"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1.1 The business of the Company and its subsidiaries (together the "Company") is to manufacture, buy and sell precision steel balls using the Businesses previously owned by the parties to create marketing and sales opportunities worldwide.</w:t>
      </w:r>
    </w:p>
    <w:p>
      <w:pPr>
        <w:spacing w:after="0" w:line="176" w:lineRule="exact"/>
        <w:rPr>
          <w:sz w:val="20"/>
          <w:szCs w:val="20"/>
          <w:color w:val="auto"/>
        </w:rPr>
      </w:pPr>
    </w:p>
    <w:p>
      <w:pPr>
        <w:ind w:left="825" w:right="3019" w:firstLine="830"/>
        <w:spacing w:after="0" w:line="250" w:lineRule="auto"/>
        <w:rPr>
          <w:sz w:val="20"/>
          <w:szCs w:val="20"/>
          <w:color w:val="auto"/>
        </w:rPr>
      </w:pPr>
      <w:r>
        <w:rPr>
          <w:rFonts w:ascii="Courier New" w:cs="Courier New" w:eastAsia="Courier New" w:hAnsi="Courier New"/>
          <w:sz w:val="15"/>
          <w:szCs w:val="15"/>
          <w:color w:val="auto"/>
        </w:rPr>
        <w:t>1.2 (a) For so long as either of SKF or FAG is a shareholder of the Company NNBR shall be prohibited, and as long as SKF and FAG respectively are shareholders and for a period of three (3) years thereafter, SKF and FAG also shall be prohibited, directly or indirectly, from (i) developing or, except as allowed by Section 1.2(b), below, acquiring any precision steel ball manufacturing facility that competes, directly or indirectly, with the Company in Europe (as defined in the Formation Agreement) (a "Competing Facility"), (ii) soliciting for employment any person employed by the Company and (iii) canvassing or soliciting customers of the Company.</w:t>
      </w:r>
    </w:p>
    <w:p>
      <w:pPr>
        <w:spacing w:after="0" w:line="182" w:lineRule="exact"/>
        <w:rPr>
          <w:sz w:val="20"/>
          <w:szCs w:val="20"/>
          <w:color w:val="auto"/>
        </w:rPr>
      </w:pPr>
    </w:p>
    <w:p>
      <w:pPr>
        <w:ind w:left="1385" w:right="2839" w:firstLine="460"/>
        <w:spacing w:after="0" w:line="251" w:lineRule="auto"/>
        <w:tabs>
          <w:tab w:leader="none" w:pos="22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SKF and its Affiliates and FAG and its Affiliates shall not be deemed to have acquired, directly or indirectly, any Competing Facility solely by virtue of (i) the ownership of less than fifty (50) percent of the outstanding voting stock or debt securities of any publicly held company of which it does not have voting or day-to-day operational control, so long as such company is not engaged in the production of precision steel balls as its primary business, or (ii) having acquired or otherwise voluntarily having combined with a business owning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2891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5" w:right="2839"/>
        <w:spacing w:after="0" w:line="251" w:lineRule="auto"/>
        <w:rPr>
          <w:sz w:val="20"/>
          <w:szCs w:val="20"/>
          <w:color w:val="auto"/>
        </w:rPr>
      </w:pPr>
      <w:r>
        <w:rPr>
          <w:rFonts w:ascii="Courier New" w:cs="Courier New" w:eastAsia="Courier New" w:hAnsi="Courier New"/>
          <w:sz w:val="15"/>
          <w:szCs w:val="15"/>
          <w:color w:val="auto"/>
        </w:rPr>
        <w:t>Competing Facility if all production of balls at the Competing Facility is (A) used only for bearings produced at the acquired business, (B) not sold to customers located in Europe or (C) sold to customers located within Europe at volumes not greater than the historical volumes of the acquired business. It is specifically understood that if SKF or FAG is acquired by another company, the restrictions in this Section will be binding only on SKF or FAG, respectively, and will not be binding on or apply to the acquiring company.</w:t>
      </w:r>
    </w:p>
    <w:p>
      <w:pPr>
        <w:spacing w:after="0" w:line="175" w:lineRule="exact"/>
        <w:rPr>
          <w:sz w:val="20"/>
          <w:szCs w:val="20"/>
          <w:color w:val="auto"/>
        </w:rPr>
      </w:pPr>
    </w:p>
    <w:p>
      <w:pPr>
        <w:jc w:val="both"/>
        <w:ind w:left="1385" w:right="2839" w:firstLine="460"/>
        <w:spacing w:after="0" w:line="252" w:lineRule="auto"/>
        <w:tabs>
          <w:tab w:leader="none" w:pos="221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NNBR shall be free to manufacture and sell precision steel balls everywhere in the world other than Europe without regard to the business interests of the Company.</w:t>
      </w:r>
    </w:p>
    <w:p>
      <w:pPr>
        <w:spacing w:after="0" w:line="175"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1.3 If a Shareholder purchases or acquires an interest in additional ball manufacturing assets or operations in Europe, and if the Shareholder decides to close or sell such assets or operations, the Company shall have the first priority right to purchase such assets or operations</w:t>
      </w:r>
    </w:p>
    <w:p>
      <w:pPr>
        <w:spacing w:after="0" w:line="176"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1.4 Without limitation of Section 1.2(a)(iii), SKF and its Affiliates and FAG and its Affiliates shall be entitled to sell precision steel balls to third parties if done so in relation to sales by them of finished bearings; provided that during the non-compete period applicable to SKF or FAG under Section 1.2, if such balls are available from the Company and historically purchased from the Businesses, they must be purchased by SKF, FAG or their Affiliates from the Company.</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 Organization and Ownership of the Company.</w:t>
      </w:r>
    </w:p>
    <w:p>
      <w:pPr>
        <w:sectPr>
          <w:pgSz w:w="11900" w:h="16838" w:orient="portrait"/>
          <w:cols w:equalWidth="0" w:num="1">
            <w:col w:w="10225"/>
          </w:cols>
          <w:pgMar w:left="235" w:top="319" w:right="1440" w:bottom="0" w:gutter="0" w:footer="0" w:header="0"/>
        </w:sectPr>
      </w:pPr>
    </w:p>
    <w:bookmarkStart w:id="89" w:name="page90"/>
    <w:bookmarkEnd w:id="89"/>
    <w:p>
      <w:pPr>
        <w:ind w:right="2939" w:firstLine="830"/>
        <w:spacing w:after="0" w:line="252" w:lineRule="auto"/>
        <w:rPr>
          <w:sz w:val="20"/>
          <w:szCs w:val="20"/>
          <w:color w:val="auto"/>
        </w:rPr>
      </w:pPr>
      <w:r>
        <w:rPr>
          <w:rFonts w:ascii="Courier New" w:cs="Courier New" w:eastAsia="Courier New" w:hAnsi="Courier New"/>
          <w:sz w:val="15"/>
          <w:szCs w:val="15"/>
          <w:color w:val="auto"/>
        </w:rPr>
        <w:t>2.1 The parties agree that the Articles of Association of the Company and of its initial subsidiaries shall be in the forms of Exhibits 2.1-A, 2.1-B, 2.1-C and 2.1-D, respectively, hereto.</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2.2 The Company has initially an issued and paid-up share capital of 125,000 DKK, divided into 1250 shares which are owned as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1800" w:type="dxa"/>
            <w:vAlign w:val="bottom"/>
          </w:tcPr>
          <w:p>
            <w:pPr>
              <w:jc w:val="center"/>
              <w:ind w:right="703"/>
              <w:spacing w:after="0"/>
              <w:rPr>
                <w:sz w:val="20"/>
                <w:szCs w:val="20"/>
                <w:color w:val="auto"/>
              </w:rPr>
            </w:pPr>
            <w:r>
              <w:rPr>
                <w:rFonts w:ascii="Courier New" w:cs="Courier New" w:eastAsia="Courier New" w:hAnsi="Courier New"/>
                <w:sz w:val="15"/>
                <w:szCs w:val="15"/>
                <w:color w:val="auto"/>
              </w:rPr>
              <w:t>Shareholder</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Shares</w:t>
            </w:r>
          </w:p>
        </w:tc>
        <w:tc>
          <w:tcPr>
            <w:tcW w:w="1520" w:type="dxa"/>
            <w:vAlign w:val="bottom"/>
          </w:tcPr>
          <w:p>
            <w:pPr>
              <w:ind w:left="860"/>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1800" w:type="dxa"/>
            <w:vAlign w:val="bottom"/>
          </w:tcPr>
          <w:p>
            <w:pPr>
              <w:jc w:val="center"/>
              <w:ind w:right="703"/>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78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ind w:left="360"/>
              <w:spacing w:after="0"/>
              <w:rPr>
                <w:sz w:val="20"/>
                <w:szCs w:val="20"/>
                <w:color w:val="auto"/>
              </w:rPr>
            </w:pPr>
            <w:r>
              <w:rPr>
                <w:rFonts w:ascii="Courier New" w:cs="Courier New" w:eastAsia="Courier New" w:hAnsi="Courier New"/>
                <w:sz w:val="15"/>
                <w:szCs w:val="15"/>
                <w:color w:val="auto"/>
              </w:rPr>
              <w:t>NNBR</w:t>
            </w:r>
          </w:p>
        </w:tc>
        <w:tc>
          <w:tcPr>
            <w:tcW w:w="2220" w:type="dxa"/>
            <w:vAlign w:val="bottom"/>
          </w:tcPr>
          <w:p>
            <w:pPr>
              <w:ind w:left="880"/>
              <w:spacing w:after="0"/>
              <w:rPr>
                <w:sz w:val="20"/>
                <w:szCs w:val="20"/>
                <w:color w:val="auto"/>
              </w:rPr>
            </w:pPr>
            <w:r>
              <w:rPr>
                <w:rFonts w:ascii="Courier New" w:cs="Courier New" w:eastAsia="Courier New" w:hAnsi="Courier New"/>
                <w:sz w:val="15"/>
                <w:szCs w:val="15"/>
                <w:color w:val="auto"/>
              </w:rPr>
              <w:t>675</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54%</w:t>
            </w:r>
          </w:p>
        </w:tc>
      </w:tr>
      <w:tr>
        <w:trPr>
          <w:trHeight w:val="177"/>
        </w:trPr>
        <w:tc>
          <w:tcPr>
            <w:tcW w:w="180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FAG</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287.50</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23%</w:t>
            </w:r>
          </w:p>
        </w:tc>
      </w:tr>
      <w:tr>
        <w:trPr>
          <w:trHeight w:val="177"/>
        </w:trPr>
        <w:tc>
          <w:tcPr>
            <w:tcW w:w="180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SKF</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287.50</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23%</w:t>
            </w:r>
          </w:p>
        </w:tc>
      </w:tr>
    </w:tbl>
    <w:p>
      <w:pPr>
        <w:spacing w:after="0" w:line="360"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2.3 In the event of any conflict between the terms of this Agreement and the Articles of Association of the Company or of any of its subsidiaries, the terms of this Agreement shall, as among the Shareholders, prevail and the Shareholders shall forthwith cause such necessary alterations to be made to such Articles of Association as may be required to solve such conflict.</w:t>
      </w:r>
    </w:p>
    <w:p>
      <w:pPr>
        <w:spacing w:after="0" w:line="17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hanging="463"/>
        <w:spacing w:after="0"/>
        <w:tabs>
          <w:tab w:leader="none" w:pos="5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the Company.</w:t>
      </w:r>
    </w:p>
    <w:p>
      <w:pPr>
        <w:spacing w:after="0" w:line="184"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General Meetings and Resolutions of Shareholders.</w:t>
      </w:r>
    </w:p>
    <w:p>
      <w:pPr>
        <w:spacing w:after="0" w:line="184" w:lineRule="exact"/>
        <w:rPr>
          <w:rFonts w:ascii="Courier New" w:cs="Courier New" w:eastAsia="Courier New" w:hAnsi="Courier New"/>
          <w:sz w:val="15"/>
          <w:szCs w:val="15"/>
          <w:color w:val="auto"/>
        </w:rPr>
      </w:pPr>
    </w:p>
    <w:p>
      <w:pPr>
        <w:ind w:left="560" w:right="2939" w:firstLine="460"/>
        <w:spacing w:after="0" w:line="253" w:lineRule="auto"/>
        <w:tabs>
          <w:tab w:leader="none" w:pos="139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Meetings shall be held whenever required by the laws of Denmark or the Articles of Association.</w:t>
      </w:r>
    </w:p>
    <w:p>
      <w:pPr>
        <w:spacing w:after="0" w:line="174"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quorum required for a General Meeting of the shareholders shall be shareholders representing, in person or by proxy, at least fifty percent (50%) of the total number of issued and outstanding shares of the Company; provided that at least 30 days prior written notice of any General Meeting has been given. The quorum required for any General Meeting called upon less than 30 days prior written notice shall be one hundred percent (100%) of the total number of issued and outstanding shares of the Company.</w:t>
      </w:r>
    </w:p>
    <w:p>
      <w:pPr>
        <w:spacing w:after="0" w:line="175" w:lineRule="exact"/>
        <w:rPr>
          <w:rFonts w:ascii="Courier New" w:cs="Courier New" w:eastAsia="Courier New" w:hAnsi="Courier New"/>
          <w:sz w:val="15"/>
          <w:szCs w:val="15"/>
          <w:color w:val="auto"/>
        </w:rPr>
      </w:pPr>
    </w:p>
    <w:p>
      <w:pPr>
        <w:ind w:left="560" w:right="2939" w:firstLine="460"/>
        <w:spacing w:after="0" w:line="251" w:lineRule="auto"/>
        <w:tabs>
          <w:tab w:leader="none" w:pos="139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required by the laws of Denmark or otherwise explicitly provided herein, no shareholders' resolutions shall be effective unless adopted by the affirmative votes of shareholders holding more than fifty percent (50%) of the shares present, in person or by proxy, at a General Meeting of the shareholders.</w:t>
      </w:r>
    </w:p>
    <w:p>
      <w:pPr>
        <w:spacing w:after="0" w:line="175" w:lineRule="exact"/>
        <w:rPr>
          <w:rFonts w:ascii="Courier New" w:cs="Courier New" w:eastAsia="Courier New" w:hAnsi="Courier New"/>
          <w:sz w:val="15"/>
          <w:szCs w:val="15"/>
          <w:color w:val="auto"/>
        </w:rPr>
      </w:pPr>
    </w:p>
    <w:p>
      <w:pPr>
        <w:ind w:left="560" w:right="2839" w:firstLine="460"/>
        <w:spacing w:after="0" w:line="253" w:lineRule="auto"/>
        <w:tabs>
          <w:tab w:leader="none" w:pos="139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Interpreters may attend General Meetings of shareholders upon the request of any party.</w:t>
      </w:r>
    </w:p>
    <w:p>
      <w:pPr>
        <w:spacing w:after="0" w:line="17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3.2 Election of Directors and Statutory Auditors.</w:t>
      </w:r>
    </w:p>
    <w:p>
      <w:pPr>
        <w:spacing w:after="0" w:line="185" w:lineRule="exact"/>
        <w:rPr>
          <w:sz w:val="20"/>
          <w:szCs w:val="20"/>
          <w:color w:val="auto"/>
        </w:rPr>
      </w:pPr>
    </w:p>
    <w:p>
      <w:pPr>
        <w:ind w:left="560" w:right="3119" w:firstLine="460"/>
        <w:spacing w:after="0" w:line="250" w:lineRule="auto"/>
        <w:tabs>
          <w:tab w:leader="none" w:pos="139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administered by a Board of Directors composed of at least two (2) and not more than seven</w:t>
      </w:r>
    </w:p>
    <w:p>
      <w:pPr>
        <w:ind w:left="920" w:hanging="361"/>
        <w:spacing w:after="0"/>
        <w:tabs>
          <w:tab w:leader="none" w:pos="9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184"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one (1) Independent Accounting Firm who shall be appointed by the Shareholders. Unless otherwise agreed in writing by all Shareholders, KPMG shall be appointed. The parties agree to exercise their respective voting rights as shareholders of the Company and to take all other necessary action so as to ensure that the persons nominated as statutory auditor(s) by the Shareholders are elected.</w:t>
      </w:r>
    </w:p>
    <w:p>
      <w:pPr>
        <w:spacing w:after="0" w:line="17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3.3 Meetings and Resolutions of the Board of Directors.</w:t>
      </w:r>
    </w:p>
    <w:p>
      <w:pPr>
        <w:spacing w:after="0" w:line="185" w:lineRule="exact"/>
        <w:rPr>
          <w:sz w:val="20"/>
          <w:szCs w:val="20"/>
          <w:color w:val="auto"/>
        </w:rPr>
      </w:pPr>
    </w:p>
    <w:p>
      <w:pPr>
        <w:ind w:left="560" w:right="3019" w:firstLine="460"/>
        <w:spacing w:after="0" w:line="250" w:lineRule="auto"/>
        <w:tabs>
          <w:tab w:leader="none" w:pos="139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regular meeting of the Board of Directors shall be held semi-annually. Meetings will be held at such times and locations as the Chairman shall reasonably determine. Written notice of all regularly scheduled meetings shall be required. Such notice shall be in English language and shall state the time, place and agenda of the meeting and shall be sent to each director at least fourteen (14) days prior to the meeting. Any director may, at least five (5) days prior to a regularly scheduled meeting provide written notice to the other directors of any matter to be discussed at the meeting.</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939" w:firstLine="460"/>
        <w:spacing w:after="0" w:line="252" w:lineRule="auto"/>
        <w:tabs>
          <w:tab w:leader="none" w:pos="139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shall have the right to call, from time to time, a special meeting of the Board of Directors upon not less than 10 days prior written notice.</w:t>
      </w:r>
    </w:p>
    <w:p>
      <w:pPr>
        <w:spacing w:after="0" w:line="174"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shall require the approval of the affirmative vote of a simple majority of the members of the Board of Directors present at a meeting.</w:t>
      </w:r>
    </w:p>
    <w:p>
      <w:pPr>
        <w:sectPr>
          <w:pgSz w:w="11900" w:h="16838" w:orient="portrait"/>
          <w:cols w:equalWidth="0" w:num="1">
            <w:col w:w="9399"/>
          </w:cols>
          <w:pgMar w:left="1060" w:top="319" w:right="1440" w:bottom="0" w:gutter="0" w:footer="0" w:header="0"/>
        </w:sectPr>
      </w:pPr>
    </w:p>
    <w:bookmarkStart w:id="90" w:name="page91"/>
    <w:bookmarkEnd w:id="90"/>
    <w:p>
      <w:pPr>
        <w:ind w:left="560" w:right="2939" w:firstLine="460"/>
        <w:spacing w:after="0" w:line="252" w:lineRule="auto"/>
        <w:tabs>
          <w:tab w:leader="none" w:pos="139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Interpreters may attend meetings of the Board of Directors upon the request of any party. Board meetings shall be conducted in English.</w:t>
      </w:r>
    </w:p>
    <w:p>
      <w:pPr>
        <w:spacing w:after="0" w:line="175" w:lineRule="exact"/>
        <w:rPr>
          <w:sz w:val="20"/>
          <w:szCs w:val="20"/>
          <w:color w:val="auto"/>
        </w:rPr>
      </w:pPr>
    </w:p>
    <w:p>
      <w:pPr>
        <w:ind w:left="560"/>
        <w:spacing w:after="0"/>
        <w:tabs>
          <w:tab w:leader="none" w:pos="1000" w:val="left"/>
        </w:tabs>
        <w:rPr>
          <w:sz w:val="20"/>
          <w:szCs w:val="20"/>
          <w:color w:val="auto"/>
        </w:rPr>
      </w:pPr>
      <w:r>
        <w:rPr>
          <w:rFonts w:ascii="Courier New" w:cs="Courier New" w:eastAsia="Courier New" w:hAnsi="Courier New"/>
          <w:sz w:val="15"/>
          <w:szCs w:val="15"/>
          <w:color w:val="auto"/>
        </w:rPr>
        <w:t>3.4</w:t>
        <w:tab/>
        <w:t>Accounting and Reporting Obligations.</w:t>
      </w:r>
    </w:p>
    <w:p>
      <w:pPr>
        <w:spacing w:after="0" w:line="185" w:lineRule="exact"/>
        <w:rPr>
          <w:sz w:val="20"/>
          <w:szCs w:val="20"/>
          <w:color w:val="auto"/>
        </w:rPr>
      </w:pPr>
    </w:p>
    <w:p>
      <w:pPr>
        <w:ind w:left="560" w:right="2839" w:firstLine="460"/>
        <w:spacing w:after="0" w:line="251"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shall be the calendar year and its financial statements shall be prepared in accordance with the Danish Presentation of Accounts Act and shall, to the extent permissible under Danish law, be adjusted for the purpose of U.S. GAAP.</w:t>
      </w:r>
    </w:p>
    <w:p>
      <w:pPr>
        <w:spacing w:after="0" w:line="176"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following consolidated reports and statements to the Shareholders in English within the time periods set forth below:</w:t>
      </w:r>
    </w:p>
    <w:p>
      <w:pPr>
        <w:spacing w:after="0" w:line="174" w:lineRule="exact"/>
        <w:rPr>
          <w:rFonts w:ascii="Courier New" w:cs="Courier New" w:eastAsia="Courier New" w:hAnsi="Courier New"/>
          <w:sz w:val="15"/>
          <w:szCs w:val="15"/>
          <w:color w:val="auto"/>
        </w:rPr>
      </w:pPr>
    </w:p>
    <w:p>
      <w:pPr>
        <w:ind w:left="1020" w:right="3219" w:firstLine="461"/>
        <w:spacing w:after="0" w:line="251" w:lineRule="auto"/>
        <w:tabs>
          <w:tab w:leader="none" w:pos="185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the end of each month, a monthly operations report, consolidated and for each operating subsidiary, regarding the operating parameters listed in Schedule 3.4(b)(i).</w:t>
      </w:r>
    </w:p>
    <w:p>
      <w:pPr>
        <w:spacing w:after="0" w:line="176" w:lineRule="exact"/>
        <w:rPr>
          <w:rFonts w:ascii="Courier New" w:cs="Courier New" w:eastAsia="Courier New" w:hAnsi="Courier New"/>
          <w:sz w:val="15"/>
          <w:szCs w:val="15"/>
          <w:color w:val="auto"/>
        </w:rPr>
      </w:pPr>
    </w:p>
    <w:p>
      <w:pPr>
        <w:ind w:left="1020" w:right="2939" w:firstLine="461"/>
        <w:spacing w:after="0" w:line="251" w:lineRule="auto"/>
        <w:tabs>
          <w:tab w:leader="none" w:pos="1943"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after the closing of each quarter, a business operations report will be provided including at a minimum a balance sheet, profit and loss statement, and a cash flow statement.</w:t>
      </w:r>
    </w:p>
    <w:p>
      <w:pPr>
        <w:spacing w:after="0" w:line="176" w:lineRule="exact"/>
        <w:rPr>
          <w:rFonts w:ascii="Courier New" w:cs="Courier New" w:eastAsia="Courier New" w:hAnsi="Courier New"/>
          <w:sz w:val="15"/>
          <w:szCs w:val="15"/>
          <w:color w:val="auto"/>
        </w:rPr>
      </w:pPr>
    </w:p>
    <w:p>
      <w:pPr>
        <w:ind w:left="1020" w:right="2839" w:firstLine="461"/>
        <w:spacing w:after="0" w:line="251" w:lineRule="auto"/>
        <w:tabs>
          <w:tab w:leader="none" w:pos="203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ninety (90) days after the end of each fiscal year, an audited balance sheet, profit and loss statement, and cash flow statement, a business operations report, and a proposal governing appropriation of profits or covering losses.</w:t>
      </w:r>
    </w:p>
    <w:p>
      <w:pPr>
        <w:spacing w:after="0" w:line="176" w:lineRule="exact"/>
        <w:rPr>
          <w:rFonts w:ascii="Courier New" w:cs="Courier New" w:eastAsia="Courier New" w:hAnsi="Courier New"/>
          <w:sz w:val="15"/>
          <w:szCs w:val="15"/>
          <w:color w:val="auto"/>
        </w:rPr>
      </w:pPr>
    </w:p>
    <w:p>
      <w:pPr>
        <w:jc w:val="both"/>
        <w:ind w:left="560" w:right="2839" w:firstLine="460"/>
        <w:spacing w:after="0" w:line="252"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of the Company on a consolidated basis shall be audited at the expense of the Company by its Independent Accounting Firm in accordance with applicable laws.</w:t>
      </w:r>
    </w:p>
    <w:p>
      <w:pPr>
        <w:spacing w:after="0" w:line="174" w:lineRule="exact"/>
        <w:rPr>
          <w:rFonts w:ascii="Courier New" w:cs="Courier New" w:eastAsia="Courier New" w:hAnsi="Courier New"/>
          <w:sz w:val="15"/>
          <w:szCs w:val="15"/>
          <w:color w:val="auto"/>
        </w:rPr>
      </w:pPr>
    </w:p>
    <w:p>
      <w:pPr>
        <w:ind w:left="560" w:right="2939" w:firstLine="460"/>
        <w:spacing w:after="0" w:line="251"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each party full access to the books and records of the Company, and shall provide to each party the accounting information such party requires to comply with its own financial reporting requirements, provided that any cost involved in providing such information shall be paid by the requesting party.</w:t>
      </w:r>
    </w:p>
    <w:p>
      <w:pPr>
        <w:spacing w:after="0" w:line="175"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upon reasonable written notice to the Company and to the other parties, have reasonable access to the Company's books concerning the Company's financial operations.</w:t>
      </w:r>
    </w:p>
    <w:p>
      <w:pPr>
        <w:spacing w:after="0" w:line="35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939" w:firstLine="460"/>
        <w:spacing w:after="0" w:line="251" w:lineRule="auto"/>
        <w:tabs>
          <w:tab w:leader="none" w:pos="1390" w:val="left"/>
        </w:tabs>
        <w:numPr>
          <w:ilvl w:val="2"/>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reasonable written notice to the Company and the other parties, but not more often than once every twelve (12) months, each party shall have the right to perform a special audit of the Company by independent outside auditors, at that party's own cost. In addition, upon reasonable notice each party shall have the right to perform or have performed, at that party's own cost, such audits as are necessary to meet such party's financial reporting obligations.</w:t>
      </w:r>
    </w:p>
    <w:p>
      <w:pPr>
        <w:spacing w:after="0" w:line="175"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2"/>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and each party hereto shall have the right to compel the Company, and the Company shall have the obligation upon request to compel any of its subsidiaries, to have independent outside auditors, upon reasonable written notice to any other party and not more than once each twelve (12) months, at the Company's cost, examine the books and records of that other party that relate to the business of the Company for the purpose of auditing the calculation of sales proceeds or any amounts due to the Company.</w:t>
      </w:r>
    </w:p>
    <w:p>
      <w:pPr>
        <w:spacing w:after="0" w:line="175" w:lineRule="exact"/>
        <w:rPr>
          <w:rFonts w:ascii="Courier New" w:cs="Courier New" w:eastAsia="Courier New" w:hAnsi="Courier New"/>
          <w:sz w:val="15"/>
          <w:szCs w:val="15"/>
          <w:color w:val="auto"/>
        </w:rPr>
      </w:pPr>
    </w:p>
    <w:p>
      <w:pPr>
        <w:ind w:left="-820" w:right="2839" w:firstLine="825"/>
        <w:spacing w:after="0" w:line="251" w:lineRule="auto"/>
        <w:tabs>
          <w:tab w:leader="none" w:pos="2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Distributions. The Company may distribute to each Shareholder, within ninety (90) days after the end of each fiscal year of the Company, an amount equal to any income tax payable by such Shareholder that is attributable to the income of the Company upon receipt by the Company of a certification from the principal financial officer of such Shareholder stating the amount of such income tax payable by Shareholder. If such distributions are made, distributions shall be made to all other Shareholders in proportion to their ownership interests.</w:t>
      </w:r>
    </w:p>
    <w:p>
      <w:pPr>
        <w:spacing w:after="0" w:line="175" w:lineRule="exact"/>
        <w:rPr>
          <w:rFonts w:ascii="Courier New" w:cs="Courier New" w:eastAsia="Courier New" w:hAnsi="Courier New"/>
          <w:sz w:val="15"/>
          <w:szCs w:val="15"/>
          <w:color w:val="auto"/>
        </w:rPr>
      </w:pPr>
    </w:p>
    <w:p>
      <w:pPr>
        <w:ind w:left="380" w:hanging="283"/>
        <w:spacing w:after="0"/>
        <w:tabs>
          <w:tab w:leader="none" w:pos="3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of the Parties.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5.1 Additional Financing. Any additional financing that may be determined by the Board of Directors as reasonably required by the annual Budget of the Company may be provided by the Shareholders or by third parties. No party shall have any obligation whatsoever to provide the Company with any additional financing. Any agreement to provide additional financing shall be in writing.</w:t>
      </w:r>
    </w:p>
    <w:p>
      <w:pPr>
        <w:spacing w:after="0" w:line="1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5.2 Transfer of Shares.</w:t>
      </w:r>
    </w:p>
    <w:p>
      <w:pPr>
        <w:spacing w:after="0" w:line="185" w:lineRule="exact"/>
        <w:rPr>
          <w:sz w:val="20"/>
          <w:szCs w:val="20"/>
          <w:color w:val="auto"/>
        </w:rPr>
      </w:pPr>
    </w:p>
    <w:p>
      <w:pPr>
        <w:ind w:left="560" w:right="2839" w:firstLine="460"/>
        <w:spacing w:after="0" w:line="252" w:lineRule="auto"/>
        <w:tabs>
          <w:tab w:leader="none" w:pos="139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 of the Company owned by a Shareholder, or any interest therein, shall be validly sold, transferred or otherwise disposed of and no security interest shall be granted therein for</w:t>
      </w:r>
    </w:p>
    <w:p>
      <w:pPr>
        <w:sectPr>
          <w:pgSz w:w="11900" w:h="16838" w:orient="portrait"/>
          <w:cols w:equalWidth="0" w:num="1">
            <w:col w:w="9399"/>
          </w:cols>
          <w:pgMar w:left="1060" w:top="142" w:right="1440" w:bottom="0" w:gutter="0" w:footer="0" w:header="0"/>
        </w:sectPr>
      </w:pPr>
    </w:p>
    <w:bookmarkStart w:id="91" w:name="page92"/>
    <w:bookmarkEnd w:id="91"/>
    <w:p>
      <w:pPr>
        <w:ind w:left="924" w:right="2939"/>
        <w:spacing w:after="0" w:line="251" w:lineRule="auto"/>
        <w:rPr>
          <w:sz w:val="20"/>
          <w:szCs w:val="20"/>
          <w:color w:val="auto"/>
        </w:rPr>
      </w:pPr>
      <w:r>
        <w:rPr>
          <w:rFonts w:ascii="Courier New" w:cs="Courier New" w:eastAsia="Courier New" w:hAnsi="Courier New"/>
          <w:sz w:val="15"/>
          <w:szCs w:val="15"/>
          <w:color w:val="auto"/>
        </w:rPr>
        <w:t>consideration or otherwise, and no purported transferee shall be recognized as a shareholder of the Company for any purpose whatsoever unless such transfer is approved by all Shareholders or in accordance with this Section 5.</w:t>
      </w:r>
    </w:p>
    <w:p>
      <w:pPr>
        <w:spacing w:after="0" w:line="176" w:lineRule="exact"/>
        <w:rPr>
          <w:sz w:val="20"/>
          <w:szCs w:val="20"/>
          <w:color w:val="auto"/>
        </w:rPr>
      </w:pPr>
    </w:p>
    <w:p>
      <w:pPr>
        <w:ind w:left="924" w:right="2839" w:firstLine="460"/>
        <w:spacing w:after="0" w:line="251" w:lineRule="auto"/>
        <w:tabs>
          <w:tab w:leader="none" w:pos="175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shall pledge or otherwise encumber any of its shares or any interest therein in the Company at any time without the prior written consent of the other parties, provided however that no such consent shall be required for a blanket lien on all assets of a party pursuant to a commercial bank financing.</w:t>
      </w:r>
    </w:p>
    <w:p>
      <w:pPr>
        <w:spacing w:after="0" w:line="176" w:lineRule="exact"/>
        <w:rPr>
          <w:sz w:val="20"/>
          <w:szCs w:val="20"/>
          <w:color w:val="auto"/>
        </w:rPr>
      </w:pPr>
    </w:p>
    <w:p>
      <w:pPr>
        <w:ind w:left="364" w:right="2839" w:firstLine="830"/>
        <w:spacing w:after="0" w:line="251" w:lineRule="auto"/>
        <w:rPr>
          <w:sz w:val="20"/>
          <w:szCs w:val="20"/>
          <w:color w:val="auto"/>
        </w:rPr>
      </w:pPr>
      <w:r>
        <w:rPr>
          <w:rFonts w:ascii="Courier New" w:cs="Courier New" w:eastAsia="Courier New" w:hAnsi="Courier New"/>
          <w:sz w:val="15"/>
          <w:szCs w:val="15"/>
          <w:color w:val="auto"/>
        </w:rPr>
        <w:t>5.3 Put Option. SKF and FAG (each a "Holder", collectively the "Holders") each shall have the independent right to sell to NNBR and NNBR shall be required to purchase all but not less than all of the shares held by such Holder, subject to the following terms and conditions (such right is hereinafter referred to as the "Put Right"):</w:t>
      </w:r>
    </w:p>
    <w:p>
      <w:pPr>
        <w:spacing w:after="0" w:line="176"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4" w:right="2939" w:firstLine="460"/>
        <w:spacing w:after="0" w:line="251" w:lineRule="auto"/>
        <w:tabs>
          <w:tab w:leader="none" w:pos="175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Exercise Period. The Put Right may not be exercised until after December 31, 2002 and then may only be exercised by written notice given to NNBR (the "Put Notice"). The Put Notice shall state the place, the time and the date (a "Put Closing Date") of the closing of such purchase (a "Put Closing"), which date shall not be less than 60 days from the date the Put Notice is received.</w:t>
      </w:r>
    </w:p>
    <w:p>
      <w:pPr>
        <w:spacing w:after="0" w:line="175" w:lineRule="exact"/>
        <w:rPr>
          <w:rFonts w:ascii="Courier New" w:cs="Courier New" w:eastAsia="Courier New" w:hAnsi="Courier New"/>
          <w:sz w:val="15"/>
          <w:szCs w:val="15"/>
          <w:color w:val="auto"/>
        </w:rPr>
      </w:pPr>
    </w:p>
    <w:p>
      <w:pPr>
        <w:ind w:left="924" w:right="2839" w:firstLine="460"/>
        <w:spacing w:after="0" w:line="250" w:lineRule="auto"/>
        <w:tabs>
          <w:tab w:leader="none" w:pos="175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Closing. At a Put Closing, (i) the Holder exercising such right shall deliver to NNBR all of the shares to be purchased by delivery of a certificate or certificates evidencing such shares so purchased by NNBR, free and clear of any liens, encumbrances or any interests of any other party and (ii) NNBR will make payment to the Holder exercising such right of the Purchase Price (as defined under 5.3(c) below) for the shares being purchased upon exercise of the Put Right by wire transfer of immediately available funds to an account designated by the Holder.</w:t>
      </w:r>
    </w:p>
    <w:p>
      <w:pPr>
        <w:spacing w:after="0" w:line="181" w:lineRule="exact"/>
        <w:rPr>
          <w:rFonts w:ascii="Courier New" w:cs="Courier New" w:eastAsia="Courier New" w:hAnsi="Courier New"/>
          <w:sz w:val="15"/>
          <w:szCs w:val="15"/>
          <w:color w:val="auto"/>
        </w:rPr>
      </w:pPr>
    </w:p>
    <w:p>
      <w:pPr>
        <w:ind w:left="924" w:right="2939" w:firstLine="460"/>
        <w:spacing w:after="0" w:line="251" w:lineRule="auto"/>
        <w:tabs>
          <w:tab w:leader="none" w:pos="175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Subject to 5.3(d), below, the purchase price of the shares (the "Purchase Price") shall be calculated using the same accounting principles used to prepare the Closing Balance Sheet as defined in Section 5.5(a)(ii) of the Formation Agreement and determined in Euros by the following formula:</w:t>
      </w:r>
    </w:p>
    <w:p>
      <w:pPr>
        <w:spacing w:after="0" w:line="176" w:lineRule="exact"/>
        <w:rPr>
          <w:sz w:val="20"/>
          <w:szCs w:val="20"/>
          <w:color w:val="auto"/>
        </w:rPr>
      </w:pPr>
    </w:p>
    <w:tbl>
      <w:tblPr>
        <w:tblLayout w:type="fixed"/>
        <w:tblInd w:w="464"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A + B</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times 0.23</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2</w:t>
            </w:r>
          </w:p>
        </w:tc>
        <w:tc>
          <w:tcPr>
            <w:tcW w:w="4660" w:type="dxa"/>
            <w:vAlign w:val="bottom"/>
          </w:tcPr>
          <w:p>
            <w:pPr>
              <w:spacing w:after="0"/>
              <w:rPr>
                <w:sz w:val="15"/>
                <w:szCs w:val="15"/>
                <w:color w:val="auto"/>
              </w:rPr>
            </w:pPr>
          </w:p>
        </w:tc>
      </w:tr>
      <w:tr>
        <w:trPr>
          <w:trHeight w:val="532"/>
        </w:trPr>
        <w:tc>
          <w:tcPr>
            <w:tcW w:w="1520" w:type="dxa"/>
            <w:vAlign w:val="bottom"/>
          </w:tcPr>
          <w:p>
            <w:pPr>
              <w:spacing w:after="0"/>
              <w:rPr>
                <w:sz w:val="20"/>
                <w:szCs w:val="20"/>
                <w:color w:val="auto"/>
              </w:rPr>
            </w:pPr>
            <w:r>
              <w:rPr>
                <w:rFonts w:ascii="Courier New" w:cs="Courier New" w:eastAsia="Courier New" w:hAnsi="Courier New"/>
                <w:sz w:val="15"/>
                <w:szCs w:val="15"/>
                <w:color w:val="auto"/>
              </w:rPr>
              <w:t>Where A Equals</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average of the Company's net income for each of the 36</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months preceding the month in which the Put is exercised (or</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such fewer number of months as the Company shall have been</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operation) (the "Measurement Period"), multiplied by 12,</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4660" w:type="dxa"/>
            <w:vAlign w:val="bottom"/>
          </w:tcPr>
          <w:p>
            <w:pPr>
              <w:spacing w:after="0"/>
              <w:rPr>
                <w:sz w:val="15"/>
                <w:szCs w:val="15"/>
                <w:color w:val="auto"/>
              </w:rPr>
            </w:pPr>
          </w:p>
        </w:tc>
      </w:tr>
      <w:tr>
        <w:trPr>
          <w:trHeight w:val="355"/>
        </w:trPr>
        <w:tc>
          <w:tcPr>
            <w:tcW w:w="1520" w:type="dxa"/>
            <w:vAlign w:val="bottom"/>
          </w:tcPr>
          <w:p>
            <w:pPr>
              <w:spacing w:after="0"/>
              <w:rPr>
                <w:sz w:val="24"/>
                <w:szCs w:val="24"/>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multiplied by 9.8.</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Where B Equals</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average of the Company's EBITDA for the Measurement</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Period, multiplied by 12, and</w:t>
            </w:r>
          </w:p>
        </w:tc>
      </w:tr>
    </w:tbl>
    <w:p>
      <w:pPr>
        <w:spacing w:after="0" w:line="183" w:lineRule="exact"/>
        <w:rPr>
          <w:sz w:val="20"/>
          <w:szCs w:val="20"/>
          <w:color w:val="auto"/>
        </w:rPr>
      </w:pPr>
    </w:p>
    <w:p>
      <w:pPr>
        <w:ind w:left="2684" w:hanging="470"/>
        <w:spacing w:after="0"/>
        <w:tabs>
          <w:tab w:leader="none" w:pos="2684"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multiplied by 4.3, and</w:t>
      </w:r>
    </w:p>
    <w:p>
      <w:pPr>
        <w:spacing w:after="0" w:line="184" w:lineRule="exact"/>
        <w:rPr>
          <w:rFonts w:ascii="Courier New" w:cs="Courier New" w:eastAsia="Courier New" w:hAnsi="Courier New"/>
          <w:sz w:val="15"/>
          <w:szCs w:val="15"/>
          <w:color w:val="auto"/>
        </w:rPr>
      </w:pPr>
    </w:p>
    <w:p>
      <w:pPr>
        <w:ind w:left="2684" w:right="2019" w:hanging="470"/>
        <w:spacing w:after="0" w:line="253" w:lineRule="auto"/>
        <w:tabs>
          <w:tab w:leader="none" w:pos="2684"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the short and long term bank loans of the Company existing at the end of the Measurement Period.</w:t>
      </w:r>
    </w:p>
    <w:p>
      <w:pPr>
        <w:spacing w:after="0" w:line="174" w:lineRule="exact"/>
        <w:rPr>
          <w:rFonts w:ascii="Courier New" w:cs="Courier New" w:eastAsia="Courier New" w:hAnsi="Courier New"/>
          <w:sz w:val="15"/>
          <w:szCs w:val="15"/>
          <w:color w:val="auto"/>
        </w:rPr>
      </w:pPr>
    </w:p>
    <w:p>
      <w:pPr>
        <w:ind w:left="1744" w:hanging="360"/>
        <w:spacing w:after="0"/>
        <w:tabs>
          <w:tab w:leader="none" w:pos="174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Adjustment. The Purchase Price formula in</w:t>
      </w:r>
    </w:p>
    <w:p>
      <w:pPr>
        <w:spacing w:after="0" w:line="8" w:lineRule="exact"/>
        <w:rPr>
          <w:sz w:val="20"/>
          <w:szCs w:val="20"/>
          <w:color w:val="auto"/>
        </w:rPr>
      </w:pPr>
    </w:p>
    <w:p>
      <w:pPr>
        <w:ind w:left="924" w:right="3219"/>
        <w:spacing w:after="0" w:line="252" w:lineRule="auto"/>
        <w:rPr>
          <w:sz w:val="20"/>
          <w:szCs w:val="20"/>
          <w:color w:val="auto"/>
        </w:rPr>
      </w:pPr>
      <w:r>
        <w:rPr>
          <w:rFonts w:ascii="Courier New" w:cs="Courier New" w:eastAsia="Courier New" w:hAnsi="Courier New"/>
          <w:sz w:val="15"/>
          <w:szCs w:val="15"/>
          <w:color w:val="auto"/>
        </w:rPr>
        <w:t>Section 5.3(c) shall be adjusted if a party exercises its Put Right after June 30, 2006 by using the actual percentage ownership in the Company of the Holder instead of 0.23.</w:t>
      </w:r>
    </w:p>
    <w:p>
      <w:pPr>
        <w:spacing w:after="0" w:line="175"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56" w:right="3119" w:firstLine="456"/>
        <w:spacing w:after="0" w:line="252" w:lineRule="auto"/>
        <w:tabs>
          <w:tab w:leader="none" w:pos="28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terminate (a) when both SKF and FAG are no longer shareholders in the Company or (b) as to any party at the time such party is no longer a shareholder.</w:t>
      </w:r>
    </w:p>
    <w:p>
      <w:pPr>
        <w:spacing w:after="0" w:line="174" w:lineRule="exact"/>
        <w:rPr>
          <w:rFonts w:ascii="Courier New" w:cs="Courier New" w:eastAsia="Courier New" w:hAnsi="Courier New"/>
          <w:sz w:val="15"/>
          <w:szCs w:val="15"/>
          <w:color w:val="auto"/>
        </w:rPr>
      </w:pPr>
    </w:p>
    <w:p>
      <w:pPr>
        <w:ind w:left="-456" w:right="2939" w:firstLine="456"/>
        <w:spacing w:after="0" w:line="251" w:lineRule="auto"/>
        <w:tabs>
          <w:tab w:leader="none" w:pos="28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The Company shall not voluntarily be liquidated or dissolved during the two (2) year period following its effective date without the unanimous approval of the parties. Provided that, in any event, if there is a material breach by SKF or FAG of the Supply Agreement, the Company may be dissolved and liquidated notwithstanding the preceding sentence.</w:t>
      </w:r>
    </w:p>
    <w:p>
      <w:pPr>
        <w:spacing w:after="0" w:line="176"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Transfers.</w:t>
      </w:r>
    </w:p>
    <w:p>
      <w:pPr>
        <w:spacing w:after="0" w:line="185" w:lineRule="exact"/>
        <w:rPr>
          <w:sz w:val="20"/>
          <w:szCs w:val="20"/>
          <w:color w:val="auto"/>
        </w:rPr>
      </w:pPr>
    </w:p>
    <w:p>
      <w:pPr>
        <w:ind w:left="364" w:right="2839" w:firstLine="830"/>
        <w:spacing w:after="0" w:line="251" w:lineRule="auto"/>
        <w:rPr>
          <w:sz w:val="20"/>
          <w:szCs w:val="20"/>
          <w:color w:val="auto"/>
        </w:rPr>
      </w:pPr>
      <w:r>
        <w:rPr>
          <w:rFonts w:ascii="Courier New" w:cs="Courier New" w:eastAsia="Courier New" w:hAnsi="Courier New"/>
          <w:sz w:val="15"/>
          <w:szCs w:val="15"/>
          <w:color w:val="auto"/>
        </w:rPr>
        <w:t>8.1 Each of the parties hereby agrees to license to the Company, on a non-exclusive, nontransferable, fully paid up basis, any and all technology, know how, software, operating practices and similar intangible assets held by such party that are used exclusively in the Business of the Company and that were not previously transferred to the</w:t>
      </w:r>
    </w:p>
    <w:p>
      <w:pPr>
        <w:sectPr>
          <w:pgSz w:w="11900" w:h="16838" w:orient="portrait"/>
          <w:cols w:equalWidth="0" w:num="1">
            <w:col w:w="9763"/>
          </w:cols>
          <w:pgMar w:left="696" w:top="142" w:right="1440" w:bottom="0" w:gutter="0" w:footer="0" w:header="0"/>
        </w:sectPr>
      </w:pPr>
    </w:p>
    <w:bookmarkStart w:id="92" w:name="page93"/>
    <w:bookmarkEnd w:id="92"/>
    <w:p>
      <w:pPr>
        <w:jc w:val="both"/>
        <w:ind w:left="360" w:right="3019"/>
        <w:spacing w:after="0" w:line="252" w:lineRule="auto"/>
        <w:rPr>
          <w:sz w:val="20"/>
          <w:szCs w:val="20"/>
          <w:color w:val="auto"/>
        </w:rPr>
      </w:pPr>
      <w:r>
        <w:rPr>
          <w:rFonts w:ascii="Courier New" w:cs="Courier New" w:eastAsia="Courier New" w:hAnsi="Courier New"/>
          <w:sz w:val="15"/>
          <w:szCs w:val="15"/>
          <w:color w:val="auto"/>
        </w:rPr>
        <w:t>Company or a subsidiary of the Company and to execute and deliver all documents reasonably necessary to effect or memorialize such license agreement.</w:t>
      </w:r>
    </w:p>
    <w:p>
      <w:pPr>
        <w:spacing w:after="0" w:line="175"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8.2 The parties shall cause the Company to license to NNBR on a non-exclusive, non-transferable, fully paid basis, any and all technology, know how, software, operating practices and similar intangible assets now or hereafter held by the Company that are used in the manufacture of precision steel balls and to execute and deliver all documents reasonably necessary to effect or memorialize such agreement.</w:t>
      </w:r>
    </w:p>
    <w:p>
      <w:pPr>
        <w:spacing w:after="0" w:line="176" w:lineRule="exact"/>
        <w:rPr>
          <w:sz w:val="20"/>
          <w:szCs w:val="20"/>
          <w:color w:val="auto"/>
        </w:rPr>
      </w:pPr>
    </w:p>
    <w:p>
      <w:pPr>
        <w:ind w:left="1200" w:hanging="835"/>
        <w:spacing w:after="0"/>
        <w:tabs>
          <w:tab w:leader="none" w:pos="12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 Arbitration.</w:t>
      </w:r>
    </w:p>
    <w:p>
      <w:pPr>
        <w:spacing w:after="0" w:line="185"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9.1 Prior to pursuing arbitration with respect to any dispute hereunder, the chief executive officers or general managers of SKF, FAG and NNBR (or a direct subordinate officer or general manager appointed by them) shall meet to seek an amicable resolution to such dispute. No party shall be entitled to commence arbitration proceedings unless it has attempted for a period of forty-five (45) days from written notice of a dispute to reach such amicable resolution.</w:t>
      </w:r>
    </w:p>
    <w:p>
      <w:pPr>
        <w:spacing w:after="0" w:line="176" w:lineRule="exact"/>
        <w:rPr>
          <w:sz w:val="20"/>
          <w:szCs w:val="20"/>
          <w:color w:val="auto"/>
        </w:rPr>
      </w:pPr>
    </w:p>
    <w:p>
      <w:pPr>
        <w:ind w:left="360" w:right="2839" w:firstLine="830"/>
        <w:spacing w:after="0" w:line="250" w:lineRule="auto"/>
        <w:rPr>
          <w:sz w:val="20"/>
          <w:szCs w:val="20"/>
          <w:color w:val="auto"/>
        </w:rPr>
      </w:pPr>
      <w:r>
        <w:rPr>
          <w:rFonts w:ascii="Courier New" w:cs="Courier New" w:eastAsia="Courier New" w:hAnsi="Courier New"/>
          <w:sz w:val="15"/>
          <w:szCs w:val="15"/>
          <w:color w:val="auto"/>
        </w:rPr>
        <w:t>9.2 After expiration of the forty-five (45) day period referred to in the prior section, any and all disputes, controversies or claims arising out of or relating to this Agreement, or the transactions contemplated hereby, or the breach, termination or invalidity thereof, shall be settled by final and binding arbitration by three (3) arbitrators in accordance with the UNCITRAL Arbitration Rules as at present in effect. The appointing authority shall be the International Chamber of Commerce in Paris, France. The place of arbitration shall be Copenhagen, Denmark or such other location as may be agreed among the parties. The arbitration proceedings shall be conducted in the English language. Among the remedies available to them, the arbitrators shall be authorized to order the specific performance of provisions of this Agreement and of the Associated Agreements. The award rendered by the arbitrators may include costs of arbitration, reasonable counsel's fees, and reasonable costs for expert and other witnesses.</w:t>
      </w:r>
    </w:p>
    <w:p>
      <w:pPr>
        <w:spacing w:after="0" w:line="3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360" w:right="2939" w:firstLine="830"/>
        <w:spacing w:after="0" w:line="250" w:lineRule="auto"/>
        <w:rPr>
          <w:sz w:val="20"/>
          <w:szCs w:val="20"/>
          <w:color w:val="auto"/>
        </w:rPr>
      </w:pPr>
      <w:r>
        <w:rPr>
          <w:rFonts w:ascii="Courier New" w:cs="Courier New" w:eastAsia="Courier New" w:hAnsi="Courier New"/>
          <w:sz w:val="15"/>
          <w:szCs w:val="15"/>
          <w:color w:val="auto"/>
        </w:rPr>
        <w:t>9.3 All papers, documents or evidence, whether 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 arbitration proceedings, except to the extent reasonably necessary to assist counsel in the arbitration or preparation for arbitration of the dispute. Confidential Information may be disclosed (i) to a Party's attorneys, (ii) to another Party,</w:t>
      </w:r>
    </w:p>
    <w:p>
      <w:pPr>
        <w:spacing w:after="0" w:line="4" w:lineRule="exact"/>
        <w:rPr>
          <w:sz w:val="20"/>
          <w:szCs w:val="20"/>
          <w:color w:val="auto"/>
        </w:rPr>
      </w:pPr>
    </w:p>
    <w:p>
      <w:pPr>
        <w:ind w:left="360" w:right="2839" w:firstLine="5"/>
        <w:spacing w:after="0" w:line="250" w:lineRule="auto"/>
        <w:tabs>
          <w:tab w:leader="none" w:pos="91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courts for purpose of interim measures of protection, enforcement or similar proceedings, (iv) to outside experts requested by either party's counsel to furnish technical or expert services or to give testimony at the arbitration proceedings, subject, in the case of such experts, to execution of a legally binding written statement that such expert is fully familiar with the terms of this Section, agrees to comply with the confidentiality terms of this Section, and will not use any Confidential Information disclosed to such expert for personal or business advantage, or (v) as required by law or any applicable stock regulations.</w:t>
      </w:r>
    </w:p>
    <w:p>
      <w:pPr>
        <w:spacing w:after="0" w:line="182"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9.4 The written decisions and conclusions of a majority of the arbitration panel shall be final and binding on the JV Parties and enforcement thereof may be rendered thereon by any court having jurisdiction upon application of any JV Party.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 Miscellaneous.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10.1 Governing Law. This Agreement is governed by and shall be construed in accordance with, the laws of Denmark excluding any choice of law rules that would refer the matter to the laws of another jurisdiction.</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10.2 Force Majeure. No party shall be liable for failure to perform, in whole or in material part, its obligations under this Agreement if such failure is caused by an event or condition not existing as of the date of this Agreement and not reasonably within the control of the affected party, including without limitation, by fire, flood, typhoon, earthquake, explosion, strikes, labor troubles or other industrial disturbances, unavoidable accidents, war (declared or undeclared), acts of terrorism, sabotage, embargoes, blockage, acts of Governmental Authorities, riots, insurrections, or any other cause beyond the control of the parties the consequences of which could not reasonably have been avoided; provided, that the affected party promptly notifies the other party in writing of the occurrence of the event of force majeure and takes all reasonable steps necessary to resume performance of its obligations so interfered with.</w:t>
      </w:r>
    </w:p>
    <w:p>
      <w:pPr>
        <w:spacing w:after="0" w:line="183"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10.3 Notices. All notices and communications required, made or permitted hereunder shall be in writing and shall be delivered by hand or by messenger, or by recognized courier service (with written receipt confirming delivery), or by postage prepaid, return receipt requested, registered or certified airmail or telecopy, addressed:</w:t>
      </w:r>
    </w:p>
    <w:p>
      <w:pPr>
        <w:sectPr>
          <w:pgSz w:w="11900" w:h="16838" w:orient="portrait"/>
          <w:cols w:equalWidth="0" w:num="1">
            <w:col w:w="9759"/>
          </w:cols>
          <w:pgMar w:left="700" w:top="141" w:right="1440" w:bottom="8" w:gutter="0" w:footer="0" w:header="0"/>
        </w:sectPr>
      </w:pPr>
    </w:p>
    <w:bookmarkStart w:id="93" w:name="page94"/>
    <w:bookmarkEnd w:id="93"/>
    <w:p>
      <w:pPr>
        <w:ind w:left="278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NNBR:</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800 Tennessee Road</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Erwin, TN  37650</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USA</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David L. Dyckman</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423.743.8870</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Blackwell Sanders Peper Martin LLP</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2300 Main St., Suite 1000</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Kansas City, MO  64108</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USA</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James M. Ash</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816.983.9137</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SKF:</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AB SKF</w:t>
            </w:r>
          </w:p>
        </w:tc>
        <w:tc>
          <w:tcPr>
            <w:tcW w:w="2580" w:type="dxa"/>
            <w:vAlign w:val="bottom"/>
          </w:tcPr>
          <w:p>
            <w:pPr>
              <w:spacing w:after="0"/>
              <w:rPr>
                <w:sz w:val="24"/>
                <w:szCs w:val="24"/>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SKF Group Business Development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SE-415 50 Gothenberg</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Sweden</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the Director</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No. 46-31-337-2077</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AB SKF Group Headquarters</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SE-415 50 Gothenberg</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Sweden</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General Counsel</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No. 46-31-3371691</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FAG:</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FAG Kugelfischer Georg Schaefer AG</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Georg-Schaefer-Strasse 30</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D-97421 Schweinfurt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Rechtsabteilung-FR</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Fax:</w:t>
            </w:r>
          </w:p>
        </w:tc>
        <w:tc>
          <w:tcPr>
            <w:tcW w:w="258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49-97-21 91 31 21</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FAG Kugelfischer Georg Schaefer AG</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D-97421 Schweinfurt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Technische Koordination - VT</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Fax:</w:t>
            </w:r>
          </w:p>
        </w:tc>
        <w:tc>
          <w:tcPr>
            <w:tcW w:w="258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49-97-21-91-34-17</w:t>
            </w:r>
          </w:p>
        </w:tc>
      </w:tr>
    </w:tbl>
    <w:p>
      <w:pPr>
        <w:spacing w:after="0" w:line="183"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Each such notice or other communication shall for all purposes hereunder be treated as effective or as having been given as follows:</w:t>
      </w:r>
    </w:p>
    <w:p>
      <w:pPr>
        <w:spacing w:after="0" w:line="1" w:lineRule="exact"/>
        <w:rPr>
          <w:sz w:val="20"/>
          <w:szCs w:val="20"/>
          <w:color w:val="auto"/>
        </w:rPr>
      </w:pPr>
    </w:p>
    <w:p>
      <w:pPr>
        <w:ind w:right="2839" w:firstLine="5"/>
        <w:spacing w:after="0" w:line="251" w:lineRule="auto"/>
        <w:tabs>
          <w:tab w:leader="none" w:pos="36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delivered in person, when delivered, (ii) if sent by airmail, at the earlier of its receipt or at 5 p.m. local time of the recipient, on the seventh day after deposit in a regularly maintained receptacle for the deposit of airmail, (iii) if sent by a recognized courier service, on the date shown in the written confirmation of delivery issued by such delivery service and (iv) on the next</w:t>
      </w:r>
    </w:p>
    <w:p>
      <w:pPr>
        <w:spacing w:after="0" w:line="35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business day after the date of the transmission in case of telecopy with a telecopy receipt. Either party may change the addresses and/or addressees to whom notice may be given by giving notice pursuant to this section at least seven (7) days prior to the date the change becomes effective.</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10.4 Waiver. No delay or omission by a party in exercising any of its rights hereunder shall operate as a waiver of that or any other right. Unless otherwise expressly stated, a waiver given by a party on any one occasion shall be effective only in that instance and shall not be construed as a waiver of that right on any other occasion.</w:t>
      </w:r>
    </w:p>
    <w:p>
      <w:pPr>
        <w:spacing w:after="0" w:line="176"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10.5 Amendment. The parties may amend, modify, and supplement this Agreement, but such amendment, modification or supplement shall be valid only if made in writing signed by all parties.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10.6 Entire Agreement. This Agreement (of which the Exhibits and Schedules attached hereto form an integral part), the Company organizational documents, and the Formation Agreement embody the entire agreement among the parties hereto with respect to the formation of the Company and its governance and supersede all prior agreements and understandings relating to such subject matter.</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10.7 Successors. This Agreement shall be binding upon and inure to the benefit of each of the parties hereto and their respective successors and permitted assigns.</w:t>
      </w:r>
    </w:p>
    <w:p>
      <w:pPr>
        <w:spacing w:after="0" w:line="17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10.8 Headings. The headings used in this Agreement are for convenience only, do not constitute a part of this Agreement, and shall not be used as an aid to the interpretation of this Agreement.</w:t>
      </w:r>
    </w:p>
    <w:p>
      <w:pPr>
        <w:spacing w:after="0" w:line="175" w:lineRule="exact"/>
        <w:rPr>
          <w:sz w:val="20"/>
          <w:szCs w:val="20"/>
          <w:color w:val="auto"/>
        </w:rPr>
      </w:pPr>
    </w:p>
    <w:p>
      <w:pPr>
        <w:ind w:left="840"/>
        <w:spacing w:after="0"/>
        <w:tabs>
          <w:tab w:leader="none" w:pos="16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Severability.</w:t>
      </w:r>
    </w:p>
    <w:p>
      <w:pPr>
        <w:spacing w:after="0" w:line="185" w:lineRule="exact"/>
        <w:rPr>
          <w:sz w:val="20"/>
          <w:szCs w:val="20"/>
          <w:color w:val="auto"/>
        </w:rPr>
      </w:pPr>
    </w:p>
    <w:p>
      <w:pPr>
        <w:ind w:left="1020" w:right="2939" w:firstLine="461"/>
        <w:spacing w:after="0" w:line="252" w:lineRule="auto"/>
        <w:tabs>
          <w:tab w:leader="none" w:pos="185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due to a change in any applicable law or due to a decision or other act (including failure to act) by any competent authority one or more of the provisions of this</w:t>
      </w:r>
    </w:p>
    <w:p>
      <w:pPr>
        <w:sectPr>
          <w:pgSz w:w="11900" w:h="16838" w:orient="portrait"/>
          <w:cols w:equalWidth="0" w:num="1">
            <w:col w:w="9399"/>
          </w:cols>
          <w:pgMar w:left="1060" w:top="319" w:right="1440" w:bottom="0" w:gutter="0" w:footer="0" w:header="0"/>
        </w:sectPr>
      </w:pPr>
    </w:p>
    <w:bookmarkStart w:id="94" w:name="page95"/>
    <w:bookmarkEnd w:id="94"/>
    <w:p>
      <w:pPr>
        <w:ind w:left="640" w:right="2839"/>
        <w:spacing w:after="0" w:line="251" w:lineRule="auto"/>
        <w:rPr>
          <w:sz w:val="20"/>
          <w:szCs w:val="20"/>
          <w:color w:val="auto"/>
        </w:rPr>
      </w:pPr>
      <w:r>
        <w:rPr>
          <w:rFonts w:ascii="Courier New" w:cs="Courier New" w:eastAsia="Courier New" w:hAnsi="Courier New"/>
          <w:sz w:val="15"/>
          <w:szCs w:val="15"/>
          <w:color w:val="auto"/>
        </w:rPr>
        <w:t>Agreement can no longer be enforced or any amendment of one or more of the provisions of this Agreement is required, the parties agree that they shall endeavor to find an alternate solution approaching as near as possible the contractual situation existing prior to such a change, decision or act.</w:t>
      </w:r>
    </w:p>
    <w:p>
      <w:pPr>
        <w:spacing w:after="0" w:line="176" w:lineRule="exact"/>
        <w:rPr>
          <w:sz w:val="20"/>
          <w:szCs w:val="20"/>
          <w:color w:val="auto"/>
        </w:rPr>
      </w:pPr>
    </w:p>
    <w:p>
      <w:pPr>
        <w:ind w:left="640" w:right="2839" w:firstLine="461"/>
        <w:spacing w:after="0" w:line="251" w:lineRule="auto"/>
        <w:tabs>
          <w:tab w:leader="none" w:pos="147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Agreement is determined to be invalid or unenforceable, the remaining provisions shall not be effected thereby, and this Agreement shall be administrated as though the invalid or unenforceable provision was not a part of this Agreement</w:t>
      </w:r>
    </w:p>
    <w:p>
      <w:pPr>
        <w:spacing w:after="0" w:line="176"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Confidentiality.</w:t>
      </w:r>
    </w:p>
    <w:p>
      <w:pPr>
        <w:spacing w:after="0" w:line="185" w:lineRule="exact"/>
        <w:rPr>
          <w:sz w:val="20"/>
          <w:szCs w:val="20"/>
          <w:color w:val="auto"/>
        </w:rPr>
      </w:pPr>
    </w:p>
    <w:p>
      <w:pPr>
        <w:ind w:left="640" w:right="2839" w:firstLine="461"/>
        <w:spacing w:after="0" w:line="251" w:lineRule="auto"/>
        <w:tabs>
          <w:tab w:leader="none" w:pos="147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Use. Except as expressly authorized by any other party, each party agrees not to disclose, use or permit the disclosure or use by others of any trade secrets, know-how, data, formulas, processes, tools and techniques, software algorithms and routines, intellectual property or other information tangible or intangible ("Confidential Information") of such other party unless and</w:t>
      </w:r>
    </w:p>
    <w:p>
      <w:pPr>
        <w:spacing w:after="0" w:line="35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88265</wp:posOffset>
            </wp:positionV>
            <wp:extent cx="72891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40" w:right="2839"/>
        <w:spacing w:after="0" w:line="250" w:lineRule="auto"/>
        <w:rPr>
          <w:sz w:val="20"/>
          <w:szCs w:val="20"/>
          <w:color w:val="auto"/>
        </w:rPr>
      </w:pPr>
      <w:r>
        <w:rPr>
          <w:rFonts w:ascii="Courier New" w:cs="Courier New" w:eastAsia="Courier New" w:hAnsi="Courier New"/>
          <w:sz w:val="15"/>
          <w:szCs w:val="15"/>
          <w:color w:val="auto"/>
        </w:rPr>
        <w:t>to the extent such Confidential Information (i) is not marked or designated in writing as confidential and is provided for a purpose that reasonably contemplates disclosure to or use by others; provided, however, that information disclosed orally that is later designated in writing as confidential shall be treated as Confidential Information except to the extent it has already been disclosed or used by the receiving party, (ii) becomes a matter of public knowledge through no action or inaction of the party receiving the Confidential Information, (iii) was in the receiving party's possession before receipt from the party providing such Confidential Information, (iv) is rightfully received by the receiving party from a third party without any duty of confidentiality, (v) is disclosed to a third party by the party providing the Confidential Information without a duty of confidentiality on the third party, (vi) is disclosed with the prior written approval of the party providing such Confidential Information, or (vii) is independently developed by the receiving party without any use of either of the other parties' Confidential Information. Information shall not be deemed to be available to the general public for the purpose of the exclusion (ii) above with respect to each party merely because it is embraced by more general information in the prior possession of recipient or others.</w:t>
      </w:r>
    </w:p>
    <w:p>
      <w:pPr>
        <w:spacing w:after="0" w:line="365" w:lineRule="exact"/>
        <w:rPr>
          <w:sz w:val="20"/>
          <w:szCs w:val="20"/>
          <w:color w:val="auto"/>
        </w:rPr>
      </w:pPr>
    </w:p>
    <w:p>
      <w:pPr>
        <w:ind w:left="640" w:right="2839" w:firstLine="461"/>
        <w:spacing w:after="0" w:line="250" w:lineRule="auto"/>
        <w:tabs>
          <w:tab w:leader="none" w:pos="147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In furtherance, and not in limitation of the foregoing Section 10.10(a), each party agrees to do the following with respect to any such Confidential Information:</w:t>
      </w:r>
    </w:p>
    <w:p>
      <w:pPr>
        <w:spacing w:after="0" w:line="1" w:lineRule="exact"/>
        <w:rPr>
          <w:rFonts w:ascii="Courier New" w:cs="Courier New" w:eastAsia="Courier New" w:hAnsi="Courier New"/>
          <w:sz w:val="15"/>
          <w:szCs w:val="15"/>
          <w:color w:val="auto"/>
        </w:rPr>
      </w:pPr>
    </w:p>
    <w:p>
      <w:pPr>
        <w:ind w:left="640" w:right="2939"/>
        <w:spacing w:after="0" w:line="250" w:lineRule="auto"/>
        <w:tabs>
          <w:tab w:leader="none" w:pos="100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same degree of care to safeguard the confidentiality of, and prevent the unauthorized use of, such information as that party exercises to safeguard the confidentiality of its own Confidential Information; (ii) restrict disclosure of such information to those of its employees and agents who have a need to know, and (iii) instruct and require such employees and agents to maintain the confidentiality of such information and not to use such Confidential Information except as expressly permitted herein. Each party further agrees not to remove or destroy any proprietary or confidential legends or markings placed upon any documentation or other materials.</w:t>
      </w:r>
    </w:p>
    <w:p>
      <w:pPr>
        <w:spacing w:after="0" w:line="182" w:lineRule="exact"/>
        <w:rPr>
          <w:rFonts w:ascii="Courier New" w:cs="Courier New" w:eastAsia="Courier New" w:hAnsi="Courier New"/>
          <w:sz w:val="15"/>
          <w:szCs w:val="15"/>
          <w:color w:val="auto"/>
        </w:rPr>
      </w:pPr>
    </w:p>
    <w:p>
      <w:pPr>
        <w:ind w:left="640" w:right="2939" w:firstLine="461"/>
        <w:spacing w:after="0" w:line="252" w:lineRule="auto"/>
        <w:tabs>
          <w:tab w:leader="none" w:pos="147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Confidential. The foregoing confidentiality obligation shall also apply to the contents of this Agreement.</w:t>
      </w:r>
    </w:p>
    <w:p>
      <w:pPr>
        <w:spacing w:after="0" w:line="174" w:lineRule="exact"/>
        <w:rPr>
          <w:rFonts w:ascii="Courier New" w:cs="Courier New" w:eastAsia="Courier New" w:hAnsi="Courier New"/>
          <w:sz w:val="15"/>
          <w:szCs w:val="15"/>
          <w:color w:val="auto"/>
        </w:rPr>
      </w:pPr>
    </w:p>
    <w:p>
      <w:pPr>
        <w:ind w:left="1480" w:hanging="379"/>
        <w:spacing w:after="0"/>
        <w:tabs>
          <w:tab w:leader="none" w:pos="148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The obligations under this Section</w:t>
      </w:r>
    </w:p>
    <w:p>
      <w:pPr>
        <w:spacing w:after="0" w:line="8" w:lineRule="exact"/>
        <w:rPr>
          <w:sz w:val="20"/>
          <w:szCs w:val="20"/>
          <w:color w:val="auto"/>
        </w:rPr>
      </w:pPr>
    </w:p>
    <w:p>
      <w:pPr>
        <w:ind w:left="640" w:right="2839"/>
        <w:spacing w:after="0" w:line="251" w:lineRule="auto"/>
        <w:rPr>
          <w:sz w:val="20"/>
          <w:szCs w:val="20"/>
          <w:color w:val="auto"/>
        </w:rPr>
      </w:pPr>
      <w:r>
        <w:rPr>
          <w:rFonts w:ascii="Courier New" w:cs="Courier New" w:eastAsia="Courier New" w:hAnsi="Courier New"/>
          <w:sz w:val="15"/>
          <w:szCs w:val="15"/>
          <w:color w:val="auto"/>
        </w:rPr>
        <w:t>10.10 shall not prevent the parties from disclosing the Confidential Information or terms of this Agreement to any governmental authority as required by law or applicable stock regulations (provided that the party intending to make such disclosure in such circumstances has given the appropriate other party prompt notice prior to making such disclosure so that other party may seek a protective order or other appropriate remedy prior to such disclosure and cooperates fully with that party in seeking such order or remedy).</w:t>
      </w:r>
    </w:p>
    <w:p>
      <w:pPr>
        <w:spacing w:after="0" w:line="352" w:lineRule="exact"/>
        <w:rPr>
          <w:sz w:val="20"/>
          <w:szCs w:val="20"/>
          <w:color w:val="auto"/>
        </w:rPr>
      </w:pPr>
    </w:p>
    <w:p>
      <w:pPr>
        <w:ind w:left="640" w:right="3299" w:firstLine="461"/>
        <w:spacing w:after="0" w:line="252" w:lineRule="auto"/>
        <w:tabs>
          <w:tab w:leader="none" w:pos="147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provisions of this Section shall survive the expiration and any termination of this Agreement.</w:t>
      </w:r>
    </w:p>
    <w:p>
      <w:pPr>
        <w:sectPr>
          <w:pgSz w:w="11900" w:h="16838" w:orient="portrait"/>
          <w:cols w:equalWidth="0" w:num="1">
            <w:col w:w="9019"/>
          </w:cols>
          <w:pgMar w:left="1440" w:top="142" w:right="1440" w:bottom="16" w:gutter="0" w:footer="0" w:header="0"/>
        </w:sectPr>
      </w:pPr>
    </w:p>
    <w:p>
      <w:pPr>
        <w:spacing w:after="0" w:line="35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88265</wp:posOffset>
            </wp:positionV>
            <wp:extent cx="72891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019"/>
          </w:cols>
          <w:pgMar w:left="1440" w:top="142" w:right="1440" w:bottom="16" w:gutter="0" w:footer="0" w:header="0"/>
          <w:type w:val="continuous"/>
        </w:sectPr>
      </w:pPr>
    </w:p>
    <w:bookmarkStart w:id="95" w:name="page96"/>
    <w:bookmarkEnd w:id="95"/>
    <w:p>
      <w:pPr>
        <w:ind w:left="820" w:right="2839" w:firstLine="830"/>
        <w:spacing w:after="0" w:line="251" w:lineRule="auto"/>
        <w:rPr>
          <w:sz w:val="20"/>
          <w:szCs w:val="20"/>
          <w:color w:val="auto"/>
        </w:rPr>
      </w:pPr>
      <w:r>
        <w:rPr>
          <w:rFonts w:ascii="Courier New" w:cs="Courier New" w:eastAsia="Courier New" w:hAnsi="Courier New"/>
          <w:sz w:val="15"/>
          <w:szCs w:val="15"/>
          <w:color w:val="auto"/>
        </w:rPr>
        <w:t>10.11 Further Assurances. Each party will do all acts and things and execute all documents and instruments which the other party reasonably requests in order to carry out or give further effect to the provisions of this Agreement.</w:t>
      </w:r>
    </w:p>
    <w:p>
      <w:pPr>
        <w:spacing w:after="0" w:line="176"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10.12 Counterparts. This Agreement may be executed in three or more counterparts, each of which shall be deemed an original, but all of which together shall constitute but one and the same instrument.</w:t>
      </w:r>
    </w:p>
    <w:p>
      <w:pPr>
        <w:spacing w:after="0" w:line="175" w:lineRule="exact"/>
        <w:rPr>
          <w:sz w:val="20"/>
          <w:szCs w:val="20"/>
          <w:color w:val="auto"/>
        </w:rPr>
      </w:pPr>
    </w:p>
    <w:p>
      <w:pPr>
        <w:ind w:left="1660"/>
        <w:spacing w:after="0"/>
        <w:tabs>
          <w:tab w:leader="none" w:pos="24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Relationship of Parties and the Company.</w:t>
      </w:r>
    </w:p>
    <w:p>
      <w:pPr>
        <w:spacing w:after="0" w:line="185" w:lineRule="exact"/>
        <w:rPr>
          <w:sz w:val="20"/>
          <w:szCs w:val="20"/>
          <w:color w:val="auto"/>
        </w:rPr>
      </w:pPr>
    </w:p>
    <w:p>
      <w:pPr>
        <w:ind w:left="1840" w:right="2839" w:firstLine="461"/>
        <w:spacing w:after="0" w:line="251" w:lineRule="auto"/>
        <w:tabs>
          <w:tab w:leader="none" w:pos="267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relationship between NNBR, SKF and FAG is that of independent contractors and co-owners of the Company, and nothing in this Agreement shall be construed to constitute one as an employee, partner, or agent of the other. Without limiting the foregoing, neither NNBR, SKF nor FAG shall have the authority to act for or to bind the other in any way.</w:t>
      </w:r>
    </w:p>
    <w:p>
      <w:pPr>
        <w:spacing w:after="0" w:line="175" w:lineRule="exact"/>
        <w:rPr>
          <w:rFonts w:ascii="Courier New" w:cs="Courier New" w:eastAsia="Courier New" w:hAnsi="Courier New"/>
          <w:sz w:val="15"/>
          <w:szCs w:val="15"/>
          <w:color w:val="auto"/>
        </w:rPr>
      </w:pPr>
    </w:p>
    <w:p>
      <w:pPr>
        <w:ind w:left="1840" w:right="2839" w:firstLine="461"/>
        <w:spacing w:after="0" w:line="251" w:lineRule="auto"/>
        <w:tabs>
          <w:tab w:leader="none" w:pos="267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transactions between NNBR and the Company shall be on an arms-length basis and on market conditions. The Company will notify SKF and FAG whenever the Company enters into a transaction with NNBR. SKF and FAG shall have the right to audit the books and records of the Company to ensure compliance with this subsection.</w:t>
      </w:r>
    </w:p>
    <w:p>
      <w:pPr>
        <w:spacing w:after="0" w:line="200" w:lineRule="exact"/>
        <w:rPr>
          <w:sz w:val="20"/>
          <w:szCs w:val="20"/>
          <w:color w:val="auto"/>
        </w:rPr>
      </w:pPr>
    </w:p>
    <w:p>
      <w:pPr>
        <w:spacing w:after="0" w:line="33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 Follows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b w:val="1"/>
          <w:bCs w:val="1"/>
          <w:color w:val="auto"/>
        </w:rPr>
        <w:t>Signature Page</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parties have caused this Agreement to be duly signed as of the date first written above.</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NNBR</w:t>
      </w:r>
    </w:p>
    <w:p>
      <w:pPr>
        <w:sectPr>
          <w:pgSz w:w="11900" w:h="16838" w:orient="portrait"/>
          <w:cols w:equalWidth="0" w:num="1">
            <w:col w:w="10219"/>
          </w:cols>
          <w:pgMar w:left="240" w:top="141" w:right="1440" w:bottom="1440" w:gutter="0" w:footer="0" w:header="0"/>
        </w:sectPr>
      </w:pP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David L. Dyckman</w:t>
      </w:r>
    </w:p>
    <w:p>
      <w:pPr>
        <w:spacing w:after="0" w:line="200" w:lineRule="exact"/>
        <w:rPr>
          <w:sz w:val="20"/>
          <w:szCs w:val="20"/>
          <w:color w:val="auto"/>
        </w:rPr>
      </w:pPr>
    </w:p>
    <w:p>
      <w:pPr>
        <w:sectPr>
          <w:pgSz w:w="11900" w:h="16838" w:orient="portrait"/>
          <w:cols w:equalWidth="0" w:num="2">
            <w:col w:w="3400" w:space="0"/>
            <w:col w:w="6819"/>
          </w:cols>
          <w:pgMar w:left="240" w:top="141" w:right="1440" w:bottom="1440" w:gutter="0" w:footer="0" w:header="0"/>
          <w:type w:val="continuous"/>
        </w:sectPr>
      </w:pP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AB SKF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[publ]</w:t>
      </w:r>
    </w:p>
    <w:p>
      <w:pPr>
        <w:spacing w:after="0" w:line="185" w:lineRule="exact"/>
        <w:rPr>
          <w:sz w:val="20"/>
          <w:szCs w:val="20"/>
          <w:color w:val="auto"/>
        </w:rPr>
      </w:pPr>
    </w:p>
    <w:p>
      <w:pPr>
        <w:ind w:left="314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Kaj Thoren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Kaj Thoren</w:t>
      </w:r>
    </w:p>
    <w:p>
      <w:pPr>
        <w:sectPr>
          <w:pgSz w:w="11900" w:h="16838" w:orient="portrait"/>
          <w:cols w:equalWidth="0" w:num="1">
            <w:col w:w="10219"/>
          </w:cols>
          <w:pgMar w:left="240" w:top="141" w:right="1440" w:bottom="1440" w:gutter="0" w:footer="0" w:header="0"/>
          <w:type w:val="continuous"/>
        </w:sectPr>
      </w:pP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FAG</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right"/>
        <w:ind w:right="2839"/>
        <w:spacing w:after="0"/>
        <w:tabs>
          <w:tab w:leader="none" w:pos="1920" w:val="left"/>
        </w:tabs>
        <w:rPr>
          <w:sz w:val="20"/>
          <w:szCs w:val="20"/>
          <w:color w:val="auto"/>
        </w:rPr>
      </w:pPr>
      <w:r>
        <w:rPr>
          <w:rFonts w:ascii="Courier New" w:cs="Courier New" w:eastAsia="Courier New" w:hAnsi="Courier New"/>
          <w:sz w:val="15"/>
          <w:szCs w:val="15"/>
          <w:color w:val="auto"/>
        </w:rPr>
        <w:t>/s/ Dr. Uwe Loos</w:t>
        <w:tab/>
        <w:t>/s/ Dr. Gerhard Vogel</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tabs>
          <w:tab w:leader="none" w:pos="1560" w:val="left"/>
        </w:tabs>
        <w:rPr>
          <w:sz w:val="20"/>
          <w:szCs w:val="20"/>
          <w:color w:val="auto"/>
        </w:rPr>
      </w:pPr>
      <w:r>
        <w:rPr>
          <w:rFonts w:ascii="Courier New" w:cs="Courier New" w:eastAsia="Courier New" w:hAnsi="Courier New"/>
          <w:sz w:val="15"/>
          <w:szCs w:val="15"/>
          <w:color w:val="auto"/>
        </w:rPr>
        <w:t>Dr. Uwe Loos</w:t>
      </w:r>
      <w:r>
        <w:rPr>
          <w:sz w:val="20"/>
          <w:szCs w:val="20"/>
          <w:color w:val="auto"/>
        </w:rPr>
        <w:tab/>
      </w:r>
      <w:r>
        <w:rPr>
          <w:rFonts w:ascii="Courier New" w:cs="Courier New" w:eastAsia="Courier New" w:hAnsi="Courier New"/>
          <w:sz w:val="15"/>
          <w:szCs w:val="15"/>
          <w:color w:val="auto"/>
        </w:rPr>
        <w:t>Dr. Gerhard Vogel</w:t>
      </w:r>
    </w:p>
    <w:p>
      <w:pPr>
        <w:spacing w:after="0" w:line="200" w:lineRule="exact"/>
        <w:rPr>
          <w:sz w:val="20"/>
          <w:szCs w:val="20"/>
          <w:color w:val="auto"/>
        </w:rPr>
      </w:pPr>
    </w:p>
    <w:p>
      <w:pPr>
        <w:sectPr>
          <w:pgSz w:w="11900" w:h="16838" w:orient="portrait"/>
          <w:cols w:equalWidth="0" w:num="2">
            <w:col w:w="3400" w:space="0"/>
            <w:col w:w="6819"/>
          </w:cols>
          <w:pgMar w:left="240" w:top="1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1021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upperLetter"/>
      <w:start w:val="40"/>
    </w:lvl>
  </w:abstractNum>
  <w:abstractNum w:abstractNumId="1">
    <w:nsid w:val="6A5EE64"/>
    <w:multiLevelType w:val="hybridMultilevel"/>
    <w:lvl w:ilvl="0">
      <w:lvlJc w:val="left"/>
      <w:lvlText w:val="(%1)"/>
      <w:numFmt w:val="lowerRoman"/>
      <w:start w:val="2"/>
    </w:lvl>
  </w:abstractNum>
  <w:abstractNum w:abstractNumId="2">
    <w:nsid w:val="14330624"/>
    <w:multiLevelType w:val="hybridMultilevel"/>
    <w:lvl w:ilvl="0">
      <w:lvlJc w:val="left"/>
      <w:lvlText w:val="(%1)"/>
      <w:numFmt w:val="decimal"/>
      <w:start w:val="1"/>
    </w:lvl>
    <w:lvl w:ilvl="1">
      <w:lvlJc w:val="left"/>
      <w:lvlText w:val="(%2)"/>
      <w:numFmt w:val="lowerLetter"/>
      <w:start w:val="1"/>
    </w:lvl>
  </w:abstractNum>
  <w:abstractNum w:abstractNumId="3">
    <w:nsid w:val="7FFFCA11"/>
    <w:multiLevelType w:val="hybridMultilevel"/>
    <w:lvl w:ilvl="0">
      <w:lvlJc w:val="left"/>
      <w:lvlText w:val="(%1)"/>
      <w:numFmt w:val="lowerLetter"/>
      <w:start w:val="5"/>
    </w:lvl>
  </w:abstractNum>
  <w:abstractNum w:abstractNumId="4">
    <w:nsid w:val="1A27709E"/>
    <w:multiLevelType w:val="hybridMultilevel"/>
    <w:lvl w:ilvl="0">
      <w:lvlJc w:val="left"/>
      <w:lvlText w:val="(%1)"/>
      <w:numFmt w:val="lowerLetter"/>
      <w:start w:val="10"/>
    </w:lvl>
  </w:abstractNum>
  <w:abstractNum w:abstractNumId="5">
    <w:nsid w:val="71EA1109"/>
    <w:multiLevelType w:val="hybridMultilevel"/>
    <w:lvl w:ilvl="0">
      <w:lvlJc w:val="left"/>
      <w:lvlText w:val="(%1)"/>
      <w:numFmt w:val="lowerLetter"/>
      <w:start w:val="11"/>
    </w:lvl>
  </w:abstractNum>
  <w:abstractNum w:abstractNumId="6">
    <w:nsid w:val="100F59DC"/>
    <w:multiLevelType w:val="hybridMultilevel"/>
    <w:lvl w:ilvl="0">
      <w:lvlJc w:val="left"/>
      <w:lvlText w:val="%1"/>
      <w:numFmt w:val="decimal"/>
      <w:start w:val="1"/>
    </w:lvl>
    <w:lvl w:ilvl="1">
      <w:lvlJc w:val="left"/>
      <w:lvlText w:val="(%2)"/>
      <w:numFmt w:val="lowerLetter"/>
      <w:start w:val="17"/>
    </w:lvl>
  </w:abstractNum>
  <w:abstractNum w:abstractNumId="7">
    <w:nsid w:val="7FB7E0AA"/>
    <w:multiLevelType w:val="hybridMultilevel"/>
    <w:lvl w:ilvl="0">
      <w:lvlJc w:val="left"/>
      <w:lvlText w:val="(%1)"/>
      <w:numFmt w:val="decimal"/>
      <w:start w:val="2"/>
    </w:lvl>
    <w:lvl w:ilvl="1">
      <w:lvlJc w:val="left"/>
      <w:lvlText w:val="%2"/>
      <w:numFmt w:val="lowerLetter"/>
      <w:start w:val="1"/>
    </w:lvl>
  </w:abstractNum>
  <w:abstractNum w:abstractNumId="8">
    <w:nsid w:val="6EB5BD4"/>
    <w:multiLevelType w:val="hybridMultilevel"/>
    <w:lvl w:ilvl="0">
      <w:lvlJc w:val="left"/>
      <w:lvlText w:val="%1"/>
      <w:numFmt w:val="decimal"/>
      <w:start w:val="1"/>
    </w:lvl>
    <w:lvl w:ilvl="1">
      <w:lvlJc w:val="left"/>
      <w:lvlText w:val="(%2)"/>
      <w:numFmt w:val="decimal"/>
      <w:start w:val="4"/>
    </w:lvl>
  </w:abstractNum>
  <w:abstractNum w:abstractNumId="9">
    <w:nsid w:val="6F6DD9AC"/>
    <w:multiLevelType w:val="hybridMultilevel"/>
    <w:lvl w:ilvl="0">
      <w:lvlJc w:val="left"/>
      <w:lvlText w:val="(%1)"/>
      <w:numFmt w:val="decimal"/>
      <w:start w:val="5"/>
    </w:lvl>
    <w:lvl w:ilvl="1">
      <w:lvlJc w:val="left"/>
      <w:lvlText w:val="%2"/>
      <w:numFmt w:val="decimal"/>
      <w:start w:val="1"/>
    </w:lvl>
  </w:abstractNum>
  <w:abstractNum w:abstractNumId="10">
    <w:nsid w:val="94211F2"/>
    <w:multiLevelType w:val="hybridMultilevel"/>
    <w:lvl w:ilvl="0">
      <w:lvlJc w:val="left"/>
      <w:lvlText w:val="(%1)"/>
      <w:numFmt w:val="decimal"/>
      <w:start w:val="8"/>
    </w:lvl>
    <w:lvl w:ilvl="1">
      <w:lvlJc w:val="left"/>
      <w:lvlText w:val="(%2)"/>
      <w:numFmt w:val="lowerLetter"/>
      <w:start w:val="1"/>
    </w:lvl>
  </w:abstractNum>
  <w:abstractNum w:abstractNumId="11">
    <w:nsid w:val="885E1B"/>
    <w:multiLevelType w:val="hybridMultilevel"/>
    <w:lvl w:ilvl="0">
      <w:lvlJc w:val="left"/>
      <w:lvlText w:val="(%1)"/>
      <w:numFmt w:val="lowerLetter"/>
      <w:start w:val="2"/>
    </w:lvl>
  </w:abstractNum>
  <w:abstractNum w:abstractNumId="12">
    <w:nsid w:val="76272110"/>
    <w:multiLevelType w:val="hybridMultilevel"/>
    <w:lvl w:ilvl="0">
      <w:lvlJc w:val="left"/>
      <w:lvlText w:val="(%1)"/>
      <w:numFmt w:val="decimal"/>
      <w:start w:val="9"/>
    </w:lvl>
  </w:abstractNum>
  <w:abstractNum w:abstractNumId="13">
    <w:nsid w:val="4C04A8AF"/>
    <w:multiLevelType w:val="hybridMultilevel"/>
    <w:lvl w:ilvl="0">
      <w:lvlJc w:val="left"/>
      <w:lvlText w:val="(%1)"/>
      <w:numFmt w:val="decimal"/>
      <w:start w:val="10"/>
    </w:lvl>
  </w:abstractNum>
  <w:abstractNum w:abstractNumId="14">
    <w:nsid w:val="1716703B"/>
    <w:multiLevelType w:val="hybridMultilevel"/>
    <w:lvl w:ilvl="0">
      <w:lvlJc w:val="left"/>
      <w:lvlText w:val="(%1)"/>
      <w:numFmt w:val="decimal"/>
      <w:start w:val="11"/>
    </w:lvl>
  </w:abstractNum>
  <w:abstractNum w:abstractNumId="15">
    <w:nsid w:val="14E17E33"/>
    <w:multiLevelType w:val="hybridMultilevel"/>
    <w:lvl w:ilvl="0">
      <w:lvlJc w:val="left"/>
      <w:lvlText w:val="(%1)"/>
      <w:numFmt w:val="decimal"/>
      <w:start w:val="12"/>
    </w:lvl>
  </w:abstractNum>
  <w:abstractNum w:abstractNumId="16">
    <w:nsid w:val="3222E7CD"/>
    <w:multiLevelType w:val="hybridMultilevel"/>
    <w:lvl w:ilvl="0">
      <w:lvlJc w:val="left"/>
      <w:lvlText w:val="(%1)"/>
      <w:numFmt w:val="decimal"/>
      <w:start w:val="14"/>
    </w:lvl>
  </w:abstractNum>
  <w:abstractNum w:abstractNumId="17">
    <w:nsid w:val="74DE0EE3"/>
    <w:multiLevelType w:val="hybridMultilevel"/>
    <w:lvl w:ilvl="0">
      <w:lvlJc w:val="left"/>
      <w:lvlText w:val="(%1)"/>
      <w:numFmt w:val="decimal"/>
      <w:start w:val="15"/>
    </w:lvl>
  </w:abstractNum>
  <w:abstractNum w:abstractNumId="18">
    <w:nsid w:val="68EBC550"/>
    <w:multiLevelType w:val="hybridMultilevel"/>
    <w:lvl w:ilvl="0">
      <w:lvlJc w:val="left"/>
      <w:lvlText w:val="%1"/>
      <w:numFmt w:val="decimal"/>
      <w:start w:val="1"/>
    </w:lvl>
    <w:lvl w:ilvl="1">
      <w:lvlJc w:val="left"/>
      <w:lvlText w:val="(%2)"/>
      <w:numFmt w:val="decimal"/>
      <w:start w:val="17"/>
    </w:lvl>
  </w:abstractNum>
  <w:abstractNum w:abstractNumId="19">
    <w:nsid w:val="2DF6D648"/>
    <w:multiLevelType w:val="hybridMultilevel"/>
    <w:lvl w:ilvl="0">
      <w:lvlJc w:val="left"/>
      <w:lvlText w:val="(%1)"/>
      <w:numFmt w:val="decimal"/>
      <w:start w:val="18"/>
    </w:lvl>
    <w:lvl w:ilvl="1">
      <w:lvlJc w:val="left"/>
      <w:lvlText w:val="%2"/>
      <w:numFmt w:val="decimal"/>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1)"/>
      <w:numFmt w:val="lowerLetter"/>
      <w:start w:val="2"/>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
    <w:nsid w:val="49DA307D"/>
    <w:multiLevelType w:val="hybridMultilevel"/>
    <w:lvl w:ilvl="0">
      <w:lvlJc w:val="left"/>
      <w:lvlText w:val="(%1)"/>
      <w:numFmt w:val="lowerLetter"/>
      <w:start w:val="2"/>
    </w:lvl>
    <w:lvl w:ilvl="1">
      <w:lvlJc w:val="left"/>
      <w:lvlText w:val="(%2)"/>
      <w:numFmt w:val="lowerLetter"/>
      <w:start w:val="9"/>
    </w:lvl>
  </w:abstractNum>
  <w:abstractNum w:abstractNumId="30">
    <w:nsid w:val="7055A5F5"/>
    <w:multiLevelType w:val="hybridMultilevel"/>
    <w:lvl w:ilvl="0">
      <w:lvlJc w:val="left"/>
      <w:lvlText w:val="(%1)"/>
      <w:numFmt w:val="lowerRoman"/>
      <w:start w:val="2"/>
    </w:lvl>
    <w:lvl w:ilvl="1">
      <w:lvlJc w:val="left"/>
      <w:lvlText w:val="(%2)"/>
      <w:numFmt w:val="upperLetter"/>
      <w:start w:val="1"/>
    </w:lvl>
  </w:abstractNum>
  <w:abstractNum w:abstractNumId="31">
    <w:nsid w:val="5FB8370B"/>
    <w:multiLevelType w:val="hybridMultilevel"/>
    <w:lvl w:ilvl="0">
      <w:lvlJc w:val="left"/>
      <w:lvlText w:val="%1"/>
      <w:numFmt w:val="lowerLetter"/>
      <w:start w:val="1"/>
    </w:lvl>
    <w:lvl w:ilvl="1">
      <w:lvlJc w:val="left"/>
      <w:lvlText w:val="(%2)"/>
      <w:numFmt w:val="lowerLetter"/>
      <w:start w:val="3"/>
    </w:lvl>
  </w:abstractNum>
  <w:abstractNum w:abstractNumId="32">
    <w:nsid w:val="50801EE1"/>
    <w:multiLevelType w:val="hybridMultilevel"/>
    <w:lvl w:ilvl="0">
      <w:lvlJc w:val="left"/>
      <w:lvlText w:val="(%1)"/>
      <w:numFmt w:val="lowerLetter"/>
      <w:start w:val="61"/>
    </w:lvl>
    <w:lvl w:ilvl="1">
      <w:lvlJc w:val="left"/>
      <w:lvlText w:val="(%2)"/>
      <w:numFmt w:val="lowerLetter"/>
      <w:start w:val="5"/>
    </w:lvl>
  </w:abstractNum>
  <w:abstractNum w:abstractNumId="33">
    <w:nsid w:val="488AC1A"/>
    <w:multiLevelType w:val="hybridMultilevel"/>
    <w:lvl w:ilvl="0">
      <w:lvlJc w:val="left"/>
      <w:lvlText w:val="%1"/>
      <w:numFmt w:val="decimal"/>
      <w:start w:val="1"/>
    </w:lvl>
    <w:lvl w:ilvl="1">
      <w:lvlJc w:val="left"/>
      <w:lvlText w:val="(%2)"/>
      <w:numFmt w:val="lowerLetter"/>
      <w:start w:val="6"/>
    </w:lvl>
  </w:abstractNum>
  <w:abstractNum w:abstractNumId="34">
    <w:nsid w:val="5FB8011C"/>
    <w:multiLevelType w:val="hybridMultilevel"/>
    <w:lvl w:ilvl="0">
      <w:lvlJc w:val="left"/>
      <w:lvlText w:val="%1."/>
      <w:numFmt w:val="decimal"/>
      <w:start w:val="4"/>
    </w:lvl>
    <w:lvl w:ilvl="1">
      <w:lvlJc w:val="left"/>
      <w:lvlText w:val="(%2)"/>
      <w:numFmt w:val="lowerLetter"/>
      <w:start w:val="1"/>
    </w:lvl>
  </w:abstractNum>
  <w:abstractNum w:abstractNumId="35">
    <w:nsid w:val="6AA78F7F"/>
    <w:multiLevelType w:val="hybridMultilevel"/>
    <w:lvl w:ilvl="0">
      <w:lvlJc w:val="left"/>
      <w:lvlText w:val="(%1)"/>
      <w:numFmt w:val="lowerLetter"/>
      <w:start w:val="2"/>
    </w:lvl>
  </w:abstractNum>
  <w:abstractNum w:abstractNumId="36">
    <w:nsid w:val="7672BD23"/>
    <w:multiLevelType w:val="hybridMultilevel"/>
    <w:lvl w:ilvl="0">
      <w:lvlJc w:val="left"/>
      <w:lvlText w:val="%1"/>
      <w:numFmt w:val="decimal"/>
      <w:start w:val="1"/>
    </w:lvl>
    <w:lvl w:ilvl="1">
      <w:lvlJc w:val="left"/>
      <w:lvlText w:val="(%2)"/>
      <w:numFmt w:val="lowerLetter"/>
      <w:start w:val="4"/>
    </w:lvl>
  </w:abstractNum>
  <w:abstractNum w:abstractNumId="37">
    <w:nsid w:val="6FC75AF8"/>
    <w:multiLevelType w:val="hybridMultilevel"/>
    <w:lvl w:ilvl="0">
      <w:lvlJc w:val="left"/>
      <w:lvlText w:val="%1."/>
      <w:numFmt w:val="decimal"/>
      <w:start w:val="5"/>
    </w:lvl>
    <w:lvl w:ilvl="1">
      <w:lvlJc w:val="left"/>
      <w:lvlText w:val="%2"/>
      <w:numFmt w:val="lowerLetter"/>
      <w:start w:val="1"/>
    </w:lvl>
  </w:abstractNum>
  <w:abstractNum w:abstractNumId="38">
    <w:nsid w:val="6A5F7029"/>
    <w:multiLevelType w:val="hybridMultilevel"/>
    <w:lvl w:ilvl="0">
      <w:lvlJc w:val="left"/>
      <w:lvlText w:val="%1."/>
      <w:numFmt w:val="decimal"/>
      <w:start w:val="7"/>
    </w:lvl>
  </w:abstractNum>
  <w:abstractNum w:abstractNumId="39">
    <w:nsid w:val="7D5E18F8"/>
    <w:multiLevelType w:val="hybridMultilevel"/>
    <w:lvl w:ilvl="0">
      <w:lvlJc w:val="left"/>
      <w:lvlText w:val="%1."/>
      <w:numFmt w:val="decimal"/>
      <w:start w:val="1"/>
    </w:lvl>
  </w:abstractNum>
  <w:abstractNum w:abstractNumId="40">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73A1821B"/>
    <w:multiLevelType w:val="hybridMultilevel"/>
    <w:lvl w:ilvl="0">
      <w:lvlJc w:val="left"/>
      <w:lvlText w:val="(%1)"/>
      <w:numFmt w:val="lowerLetter"/>
      <w:start w:val="2"/>
    </w:lvl>
    <w:lvl w:ilvl="1">
      <w:lvlJc w:val="left"/>
      <w:lvlText w:val="(%2)"/>
      <w:numFmt w:val="lowerLetter"/>
      <w:start w:val="9"/>
    </w:lvl>
  </w:abstractNum>
  <w:abstractNum w:abstractNumId="42">
    <w:nsid w:val="7DE67713"/>
    <w:multiLevelType w:val="hybridMultilevel"/>
    <w:lvl w:ilvl="0">
      <w:lvlJc w:val="left"/>
      <w:lvlText w:val="(%1)"/>
      <w:numFmt w:val="lowerRoman"/>
      <w:start w:val="2"/>
    </w:lvl>
    <w:lvl w:ilvl="1">
      <w:lvlJc w:val="left"/>
      <w:lvlText w:val="(%2)"/>
      <w:numFmt w:val="upperLetter"/>
      <w:start w:val="1"/>
    </w:lvl>
  </w:abstractNum>
  <w:abstractNum w:abstractNumId="43">
    <w:nsid w:val="555C55B5"/>
    <w:multiLevelType w:val="hybridMultilevel"/>
    <w:lvl w:ilvl="0">
      <w:lvlJc w:val="left"/>
      <w:lvlText w:val="(%1)"/>
      <w:numFmt w:val="lowerLetter"/>
      <w:start w:val="3"/>
    </w:lvl>
  </w:abstractNum>
  <w:abstractNum w:abstractNumId="44">
    <w:nsid w:val="3FA62ACA"/>
    <w:multiLevelType w:val="hybridMultilevel"/>
    <w:lvl w:ilvl="0">
      <w:lvlJc w:val="left"/>
      <w:lvlText w:val="%1"/>
      <w:numFmt w:val="lowerLetter"/>
      <w:start w:val="1"/>
    </w:lvl>
    <w:lvl w:ilvl="1">
      <w:lvlJc w:val="left"/>
      <w:lvlText w:val="(%2)"/>
      <w:numFmt w:val="lowerLetter"/>
      <w:start w:val="4"/>
    </w:lvl>
  </w:abstractNum>
  <w:abstractNum w:abstractNumId="45">
    <w:nsid w:val="14FCE74E"/>
    <w:multiLevelType w:val="hybridMultilevel"/>
    <w:lvl w:ilvl="0">
      <w:lvlJc w:val="left"/>
      <w:lvlText w:val="(%1)"/>
      <w:numFmt w:val="lowerLetter"/>
      <w:start w:val="61"/>
    </w:lvl>
    <w:lvl w:ilvl="1">
      <w:lvlJc w:val="left"/>
      <w:lvlText w:val="(%2)"/>
      <w:numFmt w:val="lowerLetter"/>
      <w:start w:val="5"/>
    </w:lvl>
  </w:abstractNum>
  <w:abstractNum w:abstractNumId="46">
    <w:nsid w:val="6A3DD3E8"/>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7">
    <w:nsid w:val="71C9129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8">
    <w:nsid w:val="9DAF632"/>
    <w:multiLevelType w:val="hybridMultilevel"/>
    <w:lvl w:ilvl="0">
      <w:lvlJc w:val="left"/>
      <w:lvlText w:val="(%1)"/>
      <w:numFmt w:val="lowerLetter"/>
      <w:start w:val="3"/>
    </w:lvl>
  </w:abstractNum>
  <w:abstractNum w:abstractNumId="49">
    <w:nsid w:val="53299938"/>
    <w:multiLevelType w:val="hybridMultilevel"/>
    <w:lvl w:ilvl="0">
      <w:lvlJc w:val="left"/>
      <w:lvlText w:val="%1"/>
      <w:numFmt w:val="decimal"/>
      <w:start w:val="1"/>
    </w:lvl>
    <w:lvl w:ilvl="1">
      <w:lvlJc w:val="left"/>
      <w:lvlText w:val="(%2)"/>
      <w:numFmt w:val="lowerLetter"/>
      <w:start w:val="4"/>
    </w:lvl>
  </w:abstractNum>
  <w:abstractNum w:abstractNumId="50">
    <w:nsid w:val="1FBFE8E0"/>
    <w:multiLevelType w:val="hybridMultilevel"/>
    <w:lvl w:ilvl="0">
      <w:lvlJc w:val="left"/>
      <w:lvlText w:val="%1."/>
      <w:numFmt w:val="decimal"/>
      <w:start w:val="5"/>
    </w:lvl>
    <w:lvl w:ilvl="1">
      <w:lvlJc w:val="left"/>
      <w:lvlText w:val="%2"/>
      <w:numFmt w:val="lowerLetter"/>
      <w:start w:val="1"/>
    </w:lvl>
  </w:abstractNum>
  <w:abstractNum w:abstractNumId="51">
    <w:nsid w:val="5092CA79"/>
    <w:multiLevelType w:val="hybridMultilevel"/>
    <w:lvl w:ilvl="0">
      <w:lvlJc w:val="left"/>
      <w:lvlText w:val="%1."/>
      <w:numFmt w:val="decimal"/>
      <w:start w:val="7"/>
    </w:lvl>
  </w:abstractNum>
  <w:abstractNum w:abstractNumId="52">
    <w:nsid w:val="1D545C4D"/>
    <w:multiLevelType w:val="hybridMultilevel"/>
    <w:lvl w:ilvl="0">
      <w:lvlJc w:val="left"/>
      <w:lvlText w:val="%1."/>
      <w:numFmt w:val="decimal"/>
      <w:start w:val="9"/>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decimal"/>
      <w:start w:val="1"/>
    </w:lvl>
  </w:abstractNum>
  <w:abstractNum w:abstractNumId="55">
    <w:nsid w:val="2A155DBC"/>
    <w:multiLevelType w:val="hybridMultilevel"/>
    <w:lvl w:ilvl="0">
      <w:lvlJc w:val="left"/>
      <w:lvlText w:val="%1."/>
      <w:numFmt w:val="decimal"/>
      <w:start w:val="6"/>
    </w:lvl>
    <w:lvl w:ilvl="1">
      <w:lvlJc w:val="left"/>
      <w:lvlText w:val="(%2)"/>
      <w:numFmt w:val="lowerLetter"/>
      <w:start w:val="1"/>
    </w:lvl>
  </w:abstractNum>
  <w:abstractNum w:abstractNumId="56">
    <w:nsid w:val="1D9F6E5F"/>
    <w:multiLevelType w:val="hybridMultilevel"/>
    <w:lvl w:ilvl="0">
      <w:lvlJc w:val="left"/>
      <w:lvlText w:val="%1"/>
      <w:numFmt w:val="decimal"/>
      <w:start w:val="1"/>
    </w:lvl>
    <w:lvl w:ilvl="1">
      <w:lvlJc w:val="left"/>
      <w:lvlText w:val="(%2)"/>
      <w:numFmt w:val="lowerLetter"/>
      <w:start w:val="4"/>
    </w:lvl>
  </w:abstractNum>
  <w:abstractNum w:abstractNumId="57">
    <w:nsid w:val="97E1B4E"/>
    <w:multiLevelType w:val="hybridMultilevel"/>
    <w:lvl w:ilvl="0">
      <w:lvlJc w:val="left"/>
      <w:lvlText w:val="%1."/>
      <w:numFmt w:val="decimal"/>
      <w:start w:val="7"/>
    </w:lvl>
    <w:lvl w:ilvl="1">
      <w:lvlJc w:val="left"/>
      <w:lvlText w:val="(%2)"/>
      <w:numFmt w:val="lowerLetter"/>
      <w:start w:val="1"/>
    </w:lvl>
  </w:abstractNum>
  <w:abstractNum w:abstractNumId="58">
    <w:nsid w:val="51088277"/>
    <w:multiLevelType w:val="hybridMultilevel"/>
    <w:lvl w:ilvl="0">
      <w:lvlJc w:val="left"/>
      <w:lvlText w:val="(%1)"/>
      <w:numFmt w:val="lowerLetter"/>
      <w:start w:val="2"/>
    </w:lvl>
    <w:lvl w:ilvl="1">
      <w:lvlJc w:val="left"/>
      <w:lvlText w:val="%2."/>
      <w:numFmt w:val="upperLetter"/>
      <w:start w:val="1"/>
    </w:lvl>
  </w:abstractNum>
  <w:abstractNum w:abstractNumId="59">
    <w:nsid w:val="1CA0C5F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
    <w:nsid w:val="53584BCB"/>
    <w:multiLevelType w:val="hybridMultilevel"/>
    <w:lvl w:ilvl="0">
      <w:lvlJc w:val="left"/>
      <w:lvlText w:val="%1"/>
      <w:numFmt w:val="decimal"/>
      <w:start w:val="1"/>
    </w:lvl>
    <w:lvl w:ilvl="1">
      <w:lvlJc w:val="left"/>
      <w:lvlText w:val="(%2)"/>
      <w:numFmt w:val="lowerLetter"/>
      <w:start w:val="3"/>
    </w:lvl>
  </w:abstractNum>
  <w:abstractNum w:abstractNumId="61">
    <w:nsid w:val="415E286C"/>
    <w:multiLevelType w:val="hybridMultilevel"/>
    <w:lvl w:ilvl="0">
      <w:lvlJc w:val="left"/>
      <w:lvlText w:val="%1."/>
      <w:numFmt w:val="decimal"/>
      <w:start w:val="10"/>
    </w:lvl>
    <w:lvl w:ilvl="1">
      <w:lvlJc w:val="left"/>
      <w:lvlText w:val="(%2)"/>
      <w:numFmt w:val="lowerLetter"/>
      <w:start w:val="1"/>
    </w:lvl>
  </w:abstractNum>
  <w:abstractNum w:abstractNumId="62">
    <w:nsid w:val="7C58FD05"/>
    <w:multiLevelType w:val="hybridMultilevel"/>
    <w:lvl w:ilvl="0">
      <w:lvlJc w:val="left"/>
      <w:lvlText w:val="%1"/>
      <w:numFmt w:val="decimal"/>
      <w:start w:val="1"/>
    </w:lvl>
    <w:lvl w:ilvl="1">
      <w:lvlJc w:val="left"/>
      <w:lvlText w:val="(%2)"/>
      <w:numFmt w:val="lowerLetter"/>
      <w:start w:val="3"/>
    </w:lvl>
  </w:abstractNum>
  <w:abstractNum w:abstractNumId="63">
    <w:nsid w:val="23D86AAC"/>
    <w:multiLevelType w:val="hybridMultilevel"/>
    <w:lvl w:ilvl="0">
      <w:lvlJc w:val="left"/>
      <w:lvlText w:val="%1."/>
      <w:numFmt w:val="decimal"/>
      <w:start w:val="11"/>
    </w:lvl>
    <w:lvl w:ilvl="1">
      <w:lvlJc w:val="left"/>
      <w:lvlText w:val="%2"/>
      <w:numFmt w:val="lowerLetter"/>
      <w:start w:val="1"/>
    </w:lvl>
  </w:abstractNum>
  <w:abstractNum w:abstractNumId="64">
    <w:nsid w:val="45E6D486"/>
    <w:multiLevelType w:val="hybridMultilevel"/>
    <w:lvl w:ilvl="0">
      <w:lvlJc w:val="left"/>
      <w:lvlText w:val="%1."/>
      <w:numFmt w:val="decimal"/>
      <w:start w:val="12"/>
    </w:lvl>
  </w:abstractNum>
  <w:abstractNum w:abstractNumId="65">
    <w:nsid w:val="5C10FE21"/>
    <w:multiLevelType w:val="hybridMultilevel"/>
    <w:lvl w:ilvl="0">
      <w:lvlJc w:val="left"/>
      <w:lvlText w:val="%1."/>
      <w:numFmt w:val="decimal"/>
      <w:start w:val="18"/>
    </w:lvl>
  </w:abstractNum>
  <w:abstractNum w:abstractNumId="66">
    <w:nsid w:val="E7FFA2B"/>
    <w:multiLevelType w:val="hybridMultilevel"/>
    <w:lvl w:ilvl="0">
      <w:lvlJc w:val="left"/>
      <w:lvlText w:val="%1."/>
      <w:numFmt w:val="decimal"/>
      <w:start w:val="20"/>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9">
    <w:nsid w:val="78DF6A55"/>
    <w:multiLevelType w:val="hybridMultilevel"/>
    <w:lvl w:ilvl="0">
      <w:lvlJc w:val="left"/>
      <w:lvlText w:val="(%1)"/>
      <w:numFmt w:val="lowerLetter"/>
      <w:start w:val="2"/>
    </w:lvl>
    <w:lvl w:ilvl="1">
      <w:lvlJc w:val="left"/>
      <w:lvlText w:val="(%2)"/>
      <w:numFmt w:val="lowerLetter"/>
      <w:start w:val="9"/>
    </w:lvl>
  </w:abstractNum>
  <w:abstractNum w:abstractNumId="70">
    <w:nsid w:val="39B7AAA2"/>
    <w:multiLevelType w:val="hybridMultilevel"/>
    <w:lvl w:ilvl="0">
      <w:lvlJc w:val="left"/>
      <w:lvlText w:val="(%1)"/>
      <w:numFmt w:val="lowerRoman"/>
      <w:start w:val="2"/>
    </w:lvl>
    <w:lvl w:ilvl="1">
      <w:lvlJc w:val="left"/>
      <w:lvlText w:val="(%2)"/>
      <w:numFmt w:val="upperLetter"/>
      <w:start w:val="1"/>
    </w:lvl>
  </w:abstractNum>
  <w:abstractNum w:abstractNumId="71">
    <w:nsid w:val="2B0D8DBE"/>
    <w:multiLevelType w:val="hybridMultilevel"/>
    <w:lvl w:ilvl="0">
      <w:lvlJc w:val="left"/>
      <w:lvlText w:val="%1"/>
      <w:numFmt w:val="lowerLetter"/>
      <w:start w:val="1"/>
    </w:lvl>
    <w:lvl w:ilvl="1">
      <w:lvlJc w:val="left"/>
      <w:lvlText w:val="(%2)"/>
      <w:numFmt w:val="lowerLetter"/>
      <w:start w:val="3"/>
    </w:lvl>
  </w:abstractNum>
  <w:abstractNum w:abstractNumId="72">
    <w:nsid w:val="6C80EC70"/>
    <w:multiLevelType w:val="hybridMultilevel"/>
    <w:lvl w:ilvl="0">
      <w:lvlJc w:val="left"/>
      <w:lvlText w:val="(%1)"/>
      <w:numFmt w:val="lowerLetter"/>
      <w:start w:val="61"/>
    </w:lvl>
    <w:lvl w:ilvl="1">
      <w:lvlJc w:val="left"/>
      <w:lvlText w:val="(%2)"/>
      <w:numFmt w:val="lowerLetter"/>
      <w:start w:val="3"/>
    </w:lvl>
  </w:abstractNum>
  <w:abstractNum w:abstractNumId="73">
    <w:nsid w:val="379E21B5"/>
    <w:multiLevelType w:val="hybridMultilevel"/>
    <w:lvl w:ilvl="0">
      <w:lvlJc w:val="left"/>
      <w:lvlText w:val="%1"/>
      <w:numFmt w:val="decimal"/>
      <w:start w:val="1"/>
    </w:lvl>
    <w:lvl w:ilvl="1">
      <w:lvlJc w:val="left"/>
      <w:lvlText w:val="(%2)"/>
      <w:numFmt w:val="lowerLetter"/>
      <w:start w:val="6"/>
    </w:lvl>
  </w:abstractNum>
  <w:abstractNum w:abstractNumId="74">
    <w:nsid w:val="69E373"/>
    <w:multiLevelType w:val="hybridMultilevel"/>
    <w:lvl w:ilvl="0">
      <w:lvlJc w:val="left"/>
      <w:lvlText w:val="%1."/>
      <w:numFmt w:val="decimal"/>
      <w:start w:val="4"/>
    </w:lvl>
    <w:lvl w:ilvl="1">
      <w:lvlJc w:val="left"/>
      <w:lvlText w:val="(%2)"/>
      <w:numFmt w:val="lowerLetter"/>
      <w:start w:val="1"/>
    </w:lvl>
  </w:abstractNum>
  <w:abstractNum w:abstractNumId="75">
    <w:nsid w:val="2C27173B"/>
    <w:multiLevelType w:val="hybridMultilevel"/>
    <w:lvl w:ilvl="0">
      <w:lvlJc w:val="left"/>
      <w:lvlText w:val="(%1)"/>
      <w:numFmt w:val="lowerLetter"/>
      <w:start w:val="2"/>
    </w:lvl>
  </w:abstractNum>
  <w:abstractNum w:abstractNumId="76">
    <w:nsid w:val="4C9B0904"/>
    <w:multiLevelType w:val="hybridMultilevel"/>
    <w:lvl w:ilvl="0">
      <w:lvlJc w:val="left"/>
      <w:lvlText w:val="%1"/>
      <w:numFmt w:val="decimal"/>
      <w:start w:val="1"/>
    </w:lvl>
    <w:lvl w:ilvl="1">
      <w:lvlJc w:val="left"/>
      <w:lvlText w:val="(%2)"/>
      <w:numFmt w:val="lowerLetter"/>
      <w:start w:val="4"/>
    </w:lvl>
  </w:abstractNum>
  <w:abstractNum w:abstractNumId="77">
    <w:nsid w:val="6AA7B75C"/>
    <w:multiLevelType w:val="hybridMultilevel"/>
    <w:lvl w:ilvl="0">
      <w:lvlJc w:val="left"/>
      <w:lvlText w:val="%1."/>
      <w:numFmt w:val="decimal"/>
      <w:start w:val="5"/>
    </w:lvl>
    <w:lvl w:ilvl="1">
      <w:lvlJc w:val="left"/>
      <w:lvlText w:val="%2"/>
      <w:numFmt w:val="lowerLetter"/>
      <w:start w:val="1"/>
    </w:lvl>
  </w:abstractNum>
  <w:abstractNum w:abstractNumId="78">
    <w:nsid w:val="1DF029D3"/>
    <w:multiLevelType w:val="hybridMultilevel"/>
    <w:lvl w:ilvl="0">
      <w:lvlJc w:val="left"/>
      <w:lvlText w:val="%1."/>
      <w:numFmt w:val="decimal"/>
      <w:start w:val="7"/>
    </w:lvl>
  </w:abstractNum>
  <w:abstractNum w:abstractNumId="79">
    <w:nsid w:val="5675FF36"/>
    <w:multiLevelType w:val="hybridMultilevel"/>
    <w:lvl w:ilvl="0">
      <w:lvlJc w:val="left"/>
      <w:lvlText w:val="%1."/>
      <w:numFmt w:val="decimal"/>
      <w:start w:val="2"/>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6"/>
    </w:lvl>
    <w:lvl w:ilvl="1">
      <w:lvlJc w:val="left"/>
      <w:lvlText w:val="(%2)"/>
      <w:numFmt w:val="lowerLetter"/>
      <w:start w:val="1"/>
    </w:lvl>
  </w:abstractNum>
  <w:abstractNum w:abstractNumId="82">
    <w:nsid w:val="2708C9AF"/>
    <w:multiLevelType w:val="hybridMultilevel"/>
    <w:lvl w:ilvl="0">
      <w:lvlJc w:val="left"/>
      <w:lvlText w:val="%1"/>
      <w:numFmt w:val="decimal"/>
      <w:start w:val="1"/>
    </w:lvl>
    <w:lvl w:ilvl="1">
      <w:lvlJc w:val="left"/>
      <w:lvlText w:val="(%2)"/>
      <w:numFmt w:val="lowerLetter"/>
      <w:start w:val="4"/>
    </w:lvl>
  </w:abstractNum>
  <w:abstractNum w:abstractNumId="83">
    <w:nsid w:val="5B25ACE2"/>
    <w:multiLevelType w:val="hybridMultilevel"/>
    <w:lvl w:ilvl="0">
      <w:lvlJc w:val="left"/>
      <w:lvlText w:val="%1."/>
      <w:numFmt w:val="decimal"/>
      <w:start w:val="7"/>
    </w:lvl>
    <w:lvl w:ilvl="1">
      <w:lvlJc w:val="left"/>
      <w:lvlText w:val="(%2)"/>
      <w:numFmt w:val="lowerLetter"/>
      <w:start w:val="1"/>
    </w:lvl>
  </w:abstractNum>
  <w:abstractNum w:abstractNumId="84">
    <w:nsid w:val="175DFCF0"/>
    <w:multiLevelType w:val="hybridMultilevel"/>
    <w:lvl w:ilvl="0">
      <w:lvlJc w:val="left"/>
      <w:lvlText w:val="(%1)"/>
      <w:numFmt w:val="lowerLetter"/>
      <w:start w:val="2"/>
    </w:lvl>
    <w:lvl w:ilvl="1">
      <w:lvlJc w:val="left"/>
      <w:lvlText w:val="%2."/>
      <w:numFmt w:val="upperLetter"/>
      <w:start w:val="1"/>
    </w:lvl>
  </w:abstractNum>
  <w:abstractNum w:abstractNumId="85">
    <w:nsid w:val="4F97E3E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6">
    <w:nsid w:val="53B0A9E"/>
    <w:multiLevelType w:val="hybridMultilevel"/>
    <w:lvl w:ilvl="0">
      <w:lvlJc w:val="left"/>
      <w:lvlText w:val="%1"/>
      <w:numFmt w:val="decimal"/>
      <w:start w:val="1"/>
    </w:lvl>
    <w:lvl w:ilvl="1">
      <w:lvlJc w:val="left"/>
      <w:lvlText w:val="(%2)"/>
      <w:numFmt w:val="lowerLetter"/>
      <w:start w:val="3"/>
    </w:lvl>
  </w:abstractNum>
  <w:abstractNum w:abstractNumId="87">
    <w:nsid w:val="34FD6B4F"/>
    <w:multiLevelType w:val="hybridMultilevel"/>
    <w:lvl w:ilvl="0">
      <w:lvlJc w:val="left"/>
      <w:lvlText w:val="%1."/>
      <w:numFmt w:val="decimal"/>
      <w:start w:val="10"/>
    </w:lvl>
    <w:lvl w:ilvl="1">
      <w:lvlJc w:val="left"/>
      <w:lvlText w:val="(%2)"/>
      <w:numFmt w:val="lowerLetter"/>
      <w:start w:val="1"/>
    </w:lvl>
  </w:abstractNum>
  <w:abstractNum w:abstractNumId="88">
    <w:nsid w:val="5915FF32"/>
    <w:multiLevelType w:val="hybridMultilevel"/>
    <w:lvl w:ilvl="0">
      <w:lvlJc w:val="left"/>
      <w:lvlText w:val="%1"/>
      <w:numFmt w:val="decimal"/>
      <w:start w:val="1"/>
    </w:lvl>
    <w:lvl w:ilvl="1">
      <w:lvlJc w:val="left"/>
      <w:lvlText w:val="(%2)"/>
      <w:numFmt w:val="lowerLetter"/>
      <w:start w:val="3"/>
    </w:lvl>
  </w:abstractNum>
  <w:abstractNum w:abstractNumId="89">
    <w:nsid w:val="56438D15"/>
    <w:multiLevelType w:val="hybridMultilevel"/>
    <w:lvl w:ilvl="0">
      <w:lvlJc w:val="left"/>
      <w:lvlText w:val="%1."/>
      <w:numFmt w:val="decimal"/>
      <w:start w:val="11"/>
    </w:lvl>
    <w:lvl w:ilvl="1">
      <w:lvlJc w:val="left"/>
      <w:lvlText w:val="%2"/>
      <w:numFmt w:val="lowerLetter"/>
      <w:start w:val="1"/>
    </w:lvl>
  </w:abstractNum>
  <w:abstractNum w:abstractNumId="90">
    <w:nsid w:val="519E3149"/>
    <w:multiLevelType w:val="hybridMultilevel"/>
    <w:lvl w:ilvl="0">
      <w:lvlJc w:val="left"/>
      <w:lvlText w:val="%1."/>
      <w:numFmt w:val="decimal"/>
      <w:start w:val="12"/>
    </w:lvl>
  </w:abstractNum>
  <w:abstractNum w:abstractNumId="91">
    <w:nsid w:val="2C6E4AFD"/>
    <w:multiLevelType w:val="hybridMultilevel"/>
    <w:lvl w:ilvl="0">
      <w:lvlJc w:val="left"/>
      <w:lvlText w:val="%1."/>
      <w:numFmt w:val="decimal"/>
      <w:start w:val="18"/>
    </w:lvl>
  </w:abstractNum>
  <w:abstractNum w:abstractNumId="92">
    <w:nsid w:val="17A1B582"/>
    <w:multiLevelType w:val="hybridMultilevel"/>
    <w:lvl w:ilvl="0">
      <w:lvlJc w:val="left"/>
      <w:lvlText w:val="%1."/>
      <w:numFmt w:val="decimal"/>
      <w:start w:val="20"/>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5">
    <w:nsid w:val="5D888A08"/>
    <w:multiLevelType w:val="hybridMultilevel"/>
    <w:lvl w:ilvl="0">
      <w:lvlJc w:val="left"/>
      <w:lvlText w:val="(%1)"/>
      <w:numFmt w:val="lowerLetter"/>
      <w:start w:val="2"/>
    </w:lvl>
    <w:lvl w:ilvl="1">
      <w:lvlJc w:val="left"/>
      <w:lvlText w:val="(%2)"/>
      <w:numFmt w:val="lowerLetter"/>
      <w:start w:val="9"/>
    </w:lvl>
  </w:abstractNum>
  <w:abstractNum w:abstractNumId="96">
    <w:nsid w:val="2A082C70"/>
    <w:multiLevelType w:val="hybridMultilevel"/>
    <w:lvl w:ilvl="0">
      <w:lvlJc w:val="left"/>
      <w:lvlText w:val="(%1)"/>
      <w:numFmt w:val="lowerRoman"/>
      <w:start w:val="2"/>
    </w:lvl>
    <w:lvl w:ilvl="1">
      <w:lvlJc w:val="left"/>
      <w:lvlText w:val="(%2)"/>
      <w:numFmt w:val="upperLetter"/>
      <w:start w:val="1"/>
    </w:lvl>
  </w:abstractNum>
  <w:abstractNum w:abstractNumId="97">
    <w:nsid w:val="5EC6AFD4"/>
    <w:multiLevelType w:val="hybridMultilevel"/>
    <w:lvl w:ilvl="0">
      <w:lvlJc w:val="left"/>
      <w:lvlText w:val="%1"/>
      <w:numFmt w:val="lowerLetter"/>
      <w:start w:val="1"/>
    </w:lvl>
    <w:lvl w:ilvl="1">
      <w:lvlJc w:val="left"/>
      <w:lvlText w:val="(%2)"/>
      <w:numFmt w:val="lowerLetter"/>
      <w:start w:val="3"/>
    </w:lvl>
  </w:abstractNum>
  <w:abstractNum w:abstractNumId="98">
    <w:nsid w:val="19E21BB2"/>
    <w:multiLevelType w:val="hybridMultilevel"/>
    <w:lvl w:ilvl="0">
      <w:lvlJc w:val="left"/>
      <w:lvlText w:val="(%1)"/>
      <w:numFmt w:val="lowerLetter"/>
      <w:start w:val="61"/>
    </w:lvl>
    <w:lvl w:ilvl="1">
      <w:lvlJc w:val="left"/>
      <w:lvlText w:val="(%2)"/>
      <w:numFmt w:val="lowerLetter"/>
      <w:start w:val="5"/>
    </w:lvl>
  </w:abstractNum>
  <w:abstractNum w:abstractNumId="99">
    <w:nsid w:val="75E0858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00">
    <w:nsid w:val="57A61A2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1">
    <w:nsid w:val="5399C654"/>
    <w:multiLevelType w:val="hybridMultilevel"/>
    <w:lvl w:ilvl="0">
      <w:lvlJc w:val="left"/>
      <w:lvlText w:val="(%1)"/>
      <w:numFmt w:val="lowerLetter"/>
      <w:start w:val="2"/>
    </w:lvl>
  </w:abstractNum>
  <w:abstractNum w:abstractNumId="102">
    <w:nsid w:val="20EE1348"/>
    <w:multiLevelType w:val="hybridMultilevel"/>
    <w:lvl w:ilvl="0">
      <w:lvlJc w:val="left"/>
      <w:lvlText w:val="%1"/>
      <w:numFmt w:val="decimal"/>
      <w:start w:val="1"/>
    </w:lvl>
    <w:lvl w:ilvl="1">
      <w:lvlJc w:val="left"/>
      <w:lvlText w:val="(%2)"/>
      <w:numFmt w:val="lowerLetter"/>
      <w:start w:val="4"/>
    </w:lvl>
  </w:abstractNum>
  <w:abstractNum w:abstractNumId="103">
    <w:nsid w:val="4427069A"/>
    <w:multiLevelType w:val="hybridMultilevel"/>
    <w:lvl w:ilvl="0">
      <w:lvlJc w:val="left"/>
      <w:lvlText w:val="%1."/>
      <w:numFmt w:val="decimal"/>
      <w:start w:val="5"/>
    </w:lvl>
    <w:lvl w:ilvl="1">
      <w:lvlJc w:val="left"/>
      <w:lvlText w:val="%2"/>
      <w:numFmt w:val="lowerLetter"/>
      <w:start w:val="1"/>
    </w:lvl>
  </w:abstractNum>
  <w:abstractNum w:abstractNumId="104">
    <w:nsid w:val="B37E80A"/>
    <w:multiLevelType w:val="hybridMultilevel"/>
    <w:lvl w:ilvl="0">
      <w:lvlJc w:val="left"/>
      <w:lvlText w:val="%1."/>
      <w:numFmt w:val="decimal"/>
      <w:start w:val="7"/>
    </w:lvl>
  </w:abstractNum>
  <w:abstractNum w:abstractNumId="105">
    <w:nsid w:val="2157F6BC"/>
    <w:multiLevelType w:val="hybridMultilevel"/>
    <w:lvl w:ilvl="0">
      <w:lvlJc w:val="left"/>
      <w:lvlText w:val="%1."/>
      <w:numFmt w:val="decimal"/>
      <w:start w:val="1"/>
    </w:lvl>
  </w:abstractNum>
  <w:abstractNum w:abstractNumId="106">
    <w:nsid w:val="704E1DD5"/>
    <w:multiLevelType w:val="hybridMultilevel"/>
    <w:lvl w:ilvl="0">
      <w:lvlJc w:val="left"/>
      <w:lvlText w:val="%1."/>
      <w:numFmt w:val="decimal"/>
      <w:start w:val="1"/>
    </w:lvl>
  </w:abstractNum>
  <w:abstractNum w:abstractNumId="107">
    <w:nsid w:val="57D2F10E"/>
    <w:multiLevelType w:val="hybridMultilevel"/>
    <w:lvl w:ilvl="0">
      <w:lvlJc w:val="left"/>
      <w:lvlText w:val="%1."/>
      <w:numFmt w:val="decimal"/>
      <w:start w:val="6"/>
    </w:lvl>
    <w:lvl w:ilvl="1">
      <w:lvlJc w:val="left"/>
      <w:lvlText w:val="(%2)"/>
      <w:numFmt w:val="lowerLetter"/>
      <w:start w:val="1"/>
    </w:lvl>
  </w:abstractNum>
  <w:abstractNum w:abstractNumId="108">
    <w:nsid w:val="BFFAE18"/>
    <w:multiLevelType w:val="hybridMultilevel"/>
    <w:lvl w:ilvl="0">
      <w:lvlJc w:val="left"/>
      <w:lvlText w:val="%1"/>
      <w:numFmt w:val="decimal"/>
      <w:start w:val="1"/>
    </w:lvl>
    <w:lvl w:ilvl="1">
      <w:lvlJc w:val="left"/>
      <w:lvlText w:val="(%2)"/>
      <w:numFmt w:val="lowerLetter"/>
      <w:start w:val="4"/>
    </w:lvl>
  </w:abstractNum>
  <w:abstractNum w:abstractNumId="109">
    <w:nsid w:val="E3E47A8"/>
    <w:multiLevelType w:val="hybridMultilevel"/>
    <w:lvl w:ilvl="0">
      <w:lvlJc w:val="left"/>
      <w:lvlText w:val="%1."/>
      <w:numFmt w:val="decimal"/>
      <w:start w:val="7"/>
    </w:lvl>
    <w:lvl w:ilvl="1">
      <w:lvlJc w:val="left"/>
      <w:lvlText w:val="(%2)"/>
      <w:numFmt w:val="lowerLetter"/>
      <w:start w:val="1"/>
    </w:lvl>
  </w:abstractNum>
  <w:abstractNum w:abstractNumId="110">
    <w:nsid w:val="2E48F044"/>
    <w:multiLevelType w:val="hybridMultilevel"/>
    <w:lvl w:ilvl="0">
      <w:lvlJc w:val="left"/>
      <w:lvlText w:val="(%1)"/>
      <w:numFmt w:val="lowerLetter"/>
      <w:start w:val="2"/>
    </w:lvl>
    <w:lvl w:ilvl="1">
      <w:lvlJc w:val="left"/>
      <w:lvlText w:val="%2."/>
      <w:numFmt w:val="upperLetter"/>
      <w:start w:val="1"/>
    </w:lvl>
  </w:abstractNum>
  <w:abstractNum w:abstractNumId="111">
    <w:nsid w:val="49D0FEA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2">
    <w:nsid w:val="4BEE5A5B"/>
    <w:multiLevelType w:val="hybridMultilevel"/>
    <w:lvl w:ilvl="0">
      <w:lvlJc w:val="left"/>
      <w:lvlText w:val="%1"/>
      <w:numFmt w:val="decimal"/>
      <w:start w:val="1"/>
    </w:lvl>
    <w:lvl w:ilvl="1">
      <w:lvlJc w:val="left"/>
      <w:lvlText w:val="(%2)"/>
      <w:numFmt w:val="lowerLetter"/>
      <w:start w:val="3"/>
    </w:lvl>
  </w:abstractNum>
  <w:abstractNum w:abstractNumId="113">
    <w:nsid w:val="5551B9F3"/>
    <w:multiLevelType w:val="hybridMultilevel"/>
    <w:lvl w:ilvl="0">
      <w:lvlJc w:val="left"/>
      <w:lvlText w:val="%1."/>
      <w:numFmt w:val="decimal"/>
      <w:start w:val="10"/>
    </w:lvl>
    <w:lvl w:ilvl="1">
      <w:lvlJc w:val="left"/>
      <w:lvlText w:val="(%2)"/>
      <w:numFmt w:val="lowerLetter"/>
      <w:start w:val="1"/>
    </w:lvl>
  </w:abstractNum>
  <w:abstractNum w:abstractNumId="114">
    <w:nsid w:val="24F6AB8E"/>
    <w:multiLevelType w:val="hybridMultilevel"/>
    <w:lvl w:ilvl="0">
      <w:lvlJc w:val="left"/>
      <w:lvlText w:val="%1"/>
      <w:numFmt w:val="decimal"/>
      <w:start w:val="1"/>
    </w:lvl>
    <w:lvl w:ilvl="1">
      <w:lvlJc w:val="left"/>
      <w:lvlText w:val="(%2)"/>
      <w:numFmt w:val="lowerLetter"/>
      <w:start w:val="2"/>
    </w:lvl>
  </w:abstractNum>
  <w:abstractNum w:abstractNumId="115">
    <w:nsid w:val="634C574C"/>
    <w:multiLevelType w:val="hybridMultilevel"/>
    <w:lvl w:ilvl="0">
      <w:lvlJc w:val="left"/>
      <w:lvlText w:val="%1."/>
      <w:numFmt w:val="decimal"/>
      <w:start w:val="11"/>
    </w:lvl>
    <w:lvl w:ilvl="1">
      <w:lvlJc w:val="left"/>
      <w:lvlText w:val="%2"/>
      <w:numFmt w:val="lowerLetter"/>
      <w:start w:val="1"/>
    </w:lvl>
  </w:abstractNum>
  <w:abstractNum w:abstractNumId="116">
    <w:nsid w:val="24E99DD7"/>
    <w:multiLevelType w:val="hybridMultilevel"/>
    <w:lvl w:ilvl="0">
      <w:lvlJc w:val="left"/>
      <w:lvlText w:val="%1."/>
      <w:numFmt w:val="decimal"/>
      <w:start w:val="12"/>
    </w:lvl>
  </w:abstractNum>
  <w:abstractNum w:abstractNumId="117">
    <w:nsid w:val="2A31B62D"/>
    <w:multiLevelType w:val="hybridMultilevel"/>
    <w:lvl w:ilvl="0">
      <w:lvlJc w:val="left"/>
      <w:lvlText w:val="%1."/>
      <w:numFmt w:val="decimal"/>
      <w:start w:val="18"/>
    </w:lvl>
  </w:abstractNum>
  <w:abstractNum w:abstractNumId="118">
    <w:nsid w:val="1849C29B"/>
    <w:multiLevelType w:val="hybridMultilevel"/>
    <w:lvl w:ilvl="0">
      <w:lvlJc w:val="left"/>
      <w:lvlText w:val="%1."/>
      <w:numFmt w:val="decimal"/>
      <w:start w:val="20"/>
    </w:lvl>
  </w:abstractNum>
  <w:abstractNum w:abstractNumId="119">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0">
    <w:nsid w:val="754342"/>
    <w:multiLevelType w:val="hybridMultilevel"/>
    <w:lvl w:ilvl="0">
      <w:lvlJc w:val="left"/>
      <w:lvlText w:val="(%1)"/>
      <w:numFmt w:val="lowerLetter"/>
      <w:start w:val="2"/>
    </w:lvl>
    <w:lvl w:ilvl="1">
      <w:lvlJc w:val="left"/>
      <w:lvlText w:val="(%2)"/>
      <w:numFmt w:val="lowerLetter"/>
      <w:start w:val="9"/>
    </w:lvl>
  </w:abstractNum>
  <w:abstractNum w:abstractNumId="121">
    <w:nsid w:val="69E7F3E5"/>
    <w:multiLevelType w:val="hybridMultilevel"/>
    <w:lvl w:ilvl="0">
      <w:lvlJc w:val="left"/>
      <w:lvlText w:val="(%1)"/>
      <w:numFmt w:val="lowerRoman"/>
      <w:start w:val="2"/>
    </w:lvl>
    <w:lvl w:ilvl="1">
      <w:lvlJc w:val="left"/>
      <w:lvlText w:val="(%2)"/>
      <w:numFmt w:val="upperLetter"/>
      <w:start w:val="1"/>
    </w:lvl>
  </w:abstractNum>
  <w:abstractNum w:abstractNumId="122">
    <w:nsid w:val="2A6DE806"/>
    <w:multiLevelType w:val="hybridMultilevel"/>
    <w:lvl w:ilvl="0">
      <w:lvlJc w:val="left"/>
      <w:lvlText w:val="%1"/>
      <w:numFmt w:val="lowerLetter"/>
      <w:start w:val="1"/>
    </w:lvl>
    <w:lvl w:ilvl="1">
      <w:lvlJc w:val="left"/>
      <w:lvlText w:val="(%2)"/>
      <w:numFmt w:val="lowerLetter"/>
      <w:start w:val="4"/>
    </w:lvl>
  </w:abstractNum>
  <w:abstractNum w:abstractNumId="123">
    <w:nsid w:val="1816F8C4"/>
    <w:multiLevelType w:val="hybridMultilevel"/>
    <w:lvl w:ilvl="0">
      <w:lvlJc w:val="left"/>
      <w:lvlText w:val="(%1)"/>
      <w:numFmt w:val="lowerLetter"/>
      <w:start w:val="61"/>
    </w:lvl>
    <w:lvl w:ilvl="1">
      <w:lvlJc w:val="left"/>
      <w:lvlText w:val="(%2)"/>
      <w:numFmt w:val="lowerLetter"/>
      <w:start w:val="5"/>
    </w:lvl>
  </w:abstractNum>
  <w:abstractNum w:abstractNumId="124">
    <w:nsid w:val="37DF223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25">
    <w:nsid w:val="7AB49D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6">
    <w:nsid w:val="759F82CD"/>
    <w:multiLevelType w:val="hybridMultilevel"/>
    <w:lvl w:ilvl="0">
      <w:lvlJc w:val="left"/>
      <w:lvlText w:val="(%1)"/>
      <w:numFmt w:val="lowerLetter"/>
      <w:start w:val="3"/>
    </w:lvl>
  </w:abstractNum>
  <w:abstractNum w:abstractNumId="127">
    <w:nsid w:val="61E74EA3"/>
    <w:multiLevelType w:val="hybridMultilevel"/>
    <w:lvl w:ilvl="0">
      <w:lvlJc w:val="left"/>
      <w:lvlText w:val="%1"/>
      <w:numFmt w:val="decimal"/>
      <w:start w:val="1"/>
    </w:lvl>
    <w:lvl w:ilvl="1">
      <w:lvlJc w:val="left"/>
      <w:lvlText w:val="(%2)"/>
      <w:numFmt w:val="lowerLetter"/>
      <w:start w:val="4"/>
    </w:lvl>
  </w:abstractNum>
  <w:abstractNum w:abstractNumId="128">
    <w:nsid w:val="597B4D84"/>
    <w:multiLevelType w:val="hybridMultilevel"/>
    <w:lvl w:ilvl="0">
      <w:lvlJc w:val="left"/>
      <w:lvlText w:val="%1."/>
      <w:numFmt w:val="decimal"/>
      <w:start w:val="5"/>
    </w:lvl>
    <w:lvl w:ilvl="1">
      <w:lvlJc w:val="left"/>
      <w:lvlText w:val="%2"/>
      <w:numFmt w:val="lowerLetter"/>
      <w:start w:val="1"/>
    </w:lvl>
  </w:abstractNum>
  <w:abstractNum w:abstractNumId="129">
    <w:nsid w:val="F819E7F"/>
    <w:multiLevelType w:val="hybridMultilevel"/>
    <w:lvl w:ilvl="0">
      <w:lvlJc w:val="left"/>
      <w:lvlText w:val="%1."/>
      <w:numFmt w:val="decimal"/>
      <w:start w:val="8"/>
    </w:lvl>
  </w:abstractNum>
  <w:abstractNum w:abstractNumId="130">
    <w:nsid w:val="57C7D42D"/>
    <w:multiLevelType w:val="hybridMultilevel"/>
    <w:lvl w:ilvl="0">
      <w:lvlJc w:val="left"/>
      <w:lvlText w:val="%1."/>
      <w:numFmt w:val="decimal"/>
      <w:start w:val="12"/>
    </w:lvl>
  </w:abstractNum>
  <w:abstractNum w:abstractNumId="131">
    <w:nsid w:val="312167AD"/>
    <w:multiLevelType w:val="hybridMultilevel"/>
    <w:lvl w:ilvl="0">
      <w:lvlJc w:val="left"/>
      <w:lvlText w:val="%1."/>
      <w:numFmt w:val="decimal"/>
      <w:start w:val="1"/>
    </w:lvl>
  </w:abstractNum>
  <w:abstractNum w:abstractNumId="132">
    <w:nsid w:val="631B64D4"/>
    <w:multiLevelType w:val="hybridMultilevel"/>
    <w:lvl w:ilvl="0">
      <w:lvlJc w:val="left"/>
      <w:lvlText w:val="%1"/>
      <w:numFmt w:val="upperLetter"/>
      <w:start w:val="40"/>
    </w:lvl>
  </w:abstractNum>
  <w:abstractNum w:abstractNumId="133">
    <w:nsid w:val="78B5E776"/>
    <w:multiLevelType w:val="hybridMultilevel"/>
    <w:lvl w:ilvl="0">
      <w:lvlJc w:val="left"/>
      <w:lvlText w:val="%1."/>
      <w:numFmt w:val="upperLetter"/>
      <w:start w:val="1"/>
    </w:lvl>
  </w:abstractNum>
  <w:abstractNum w:abstractNumId="134">
    <w:nsid w:val="75486E47"/>
    <w:multiLevelType w:val="hybridMultilevel"/>
    <w:lvl w:ilvl="0">
      <w:lvlJc w:val="left"/>
      <w:lvlText w:val="(%1)"/>
      <w:numFmt w:val="lowerLetter"/>
      <w:start w:val="2"/>
    </w:lvl>
  </w:abstractNum>
  <w:abstractNum w:abstractNumId="135">
    <w:nsid w:val="6E534CDE"/>
    <w:multiLevelType w:val="hybridMultilevel"/>
    <w:lvl w:ilvl="0">
      <w:lvlJc w:val="left"/>
      <w:lvlText w:val="(%1)"/>
      <w:numFmt w:val="lowerLetter"/>
      <w:start w:val="3"/>
    </w:lvl>
  </w:abstractNum>
  <w:abstractNum w:abstractNumId="136">
    <w:nsid w:val="1A0DDE32"/>
    <w:multiLevelType w:val="hybridMultilevel"/>
    <w:lvl w:ilvl="0">
      <w:lvlJc w:val="left"/>
      <w:lvlText w:val="%1."/>
      <w:numFmt w:val="decimal"/>
      <w:start w:val="3"/>
    </w:lvl>
    <w:lvl w:ilvl="1">
      <w:lvlJc w:val="left"/>
      <w:lvlText w:val="(%2)"/>
      <w:numFmt w:val="lowerLetter"/>
      <w:start w:val="1"/>
    </w:lvl>
  </w:abstractNum>
  <w:abstractNum w:abstractNumId="137">
    <w:nsid w:val="65968C1C"/>
    <w:multiLevelType w:val="hybridMultilevel"/>
    <w:lvl w:ilvl="0">
      <w:lvlJc w:val="left"/>
      <w:lvlText w:val="%1"/>
      <w:numFmt w:val="decimal"/>
      <w:start w:val="1"/>
    </w:lvl>
    <w:lvl w:ilvl="1">
      <w:lvlJc w:val="left"/>
      <w:lvlText w:val="(%2)"/>
      <w:numFmt w:val="lowerLetter"/>
      <w:start w:val="1"/>
    </w:lvl>
  </w:abstractNum>
  <w:abstractNum w:abstractNumId="138">
    <w:nsid w:val="46263DEC"/>
    <w:multiLevelType w:val="hybridMultilevel"/>
    <w:lvl w:ilvl="0">
      <w:lvlJc w:val="left"/>
      <w:lvlText w:val="(%1)"/>
      <w:numFmt w:val="decimal"/>
      <w:start w:val="7"/>
    </w:lvl>
    <w:lvl w:ilvl="1">
      <w:lvlJc w:val="left"/>
      <w:lvlText w:val="(%2)"/>
      <w:numFmt w:val="lowerLetter"/>
      <w:start w:val="2"/>
    </w:lvl>
  </w:abstractNum>
  <w:abstractNum w:abstractNumId="139">
    <w:nsid w:val="260D8C4A"/>
    <w:multiLevelType w:val="hybridMultilevel"/>
    <w:lvl w:ilvl="0">
      <w:lvlJc w:val="left"/>
      <w:lvlText w:val="(%1)"/>
      <w:numFmt w:val="lowerLetter"/>
      <w:start w:val="1"/>
    </w:lvl>
  </w:abstractNum>
  <w:abstractNum w:abstractNumId="140">
    <w:nsid w:val="73D4D3C4"/>
    <w:multiLevelType w:val="hybridMultilevel"/>
    <w:lvl w:ilvl="0">
      <w:lvlJc w:val="left"/>
      <w:lvlText w:val="(%1)"/>
      <w:numFmt w:val="lowerLetter"/>
      <w:start w:val="2"/>
    </w:lvl>
  </w:abstractNum>
  <w:abstractNum w:abstractNumId="141">
    <w:nsid w:val="746F2E30"/>
    <w:multiLevelType w:val="hybridMultilevel"/>
    <w:lvl w:ilvl="0">
      <w:lvlJc w:val="left"/>
      <w:lvlText w:val="(%1)"/>
      <w:numFmt w:val="lowerLetter"/>
      <w:start w:val="4"/>
    </w:lvl>
  </w:abstractNum>
  <w:abstractNum w:abstractNumId="142">
    <w:nsid w:val="6FDE8AF6"/>
    <w:multiLevelType w:val="hybridMultilevel"/>
    <w:lvl w:ilvl="0">
      <w:lvlJc w:val="left"/>
      <w:lvlText w:val="(%1)"/>
      <w:numFmt w:val="lowerLetter"/>
      <w:start w:val="1"/>
    </w:lvl>
    <w:lvl w:ilvl="1">
      <w:lvlJc w:val="left"/>
      <w:lvlText w:val="(%2)"/>
      <w:numFmt w:val="lowerRoman"/>
      <w:start w:val="1"/>
    </w:lvl>
  </w:abstractNum>
  <w:abstractNum w:abstractNumId="143">
    <w:nsid w:val="3FC32E20"/>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144">
    <w:nsid w:val="49C0E823"/>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145">
    <w:nsid w:val="14D53685"/>
    <w:multiLevelType w:val="hybridMultilevel"/>
    <w:lvl w:ilvl="0">
      <w:lvlJc w:val="left"/>
      <w:lvlText w:val="(%1)"/>
      <w:numFmt w:val="lowerLetter"/>
      <w:start w:val="1"/>
    </w:lvl>
  </w:abstractNum>
  <w:abstractNum w:abstractNumId="146">
    <w:nsid w:val="230F856C"/>
    <w:multiLevelType w:val="hybridMultilevel"/>
    <w:lvl w:ilvl="0">
      <w:lvlJc w:val="left"/>
      <w:lvlText w:val="(%1)"/>
      <w:numFmt w:val="lowerLetter"/>
      <w:start w:val="2"/>
    </w:lvl>
  </w:abstractNum>
  <w:abstractNum w:abstractNumId="147">
    <w:nsid w:val="6EAA85FB"/>
    <w:multiLevelType w:val="hybridMultilevel"/>
    <w:lvl w:ilvl="0">
      <w:lvlJc w:val="left"/>
      <w:lvlText w:val="(%1)"/>
      <w:numFmt w:val="lowerLetter"/>
      <w:start w:val="1"/>
    </w:lvl>
  </w:abstractNum>
  <w:abstractNum w:abstractNumId="148">
    <w:nsid w:val="3F06ECB2"/>
    <w:multiLevelType w:val="hybridMultilevel"/>
    <w:lvl w:ilvl="0">
      <w:lvlJc w:val="left"/>
      <w:lvlText w:val="%1"/>
      <w:numFmt w:val="lowerLetter"/>
      <w:start w:val="1"/>
    </w:lvl>
    <w:lvl w:ilvl="1">
      <w:lvlJc w:val="left"/>
      <w:lvlText w:val="(%2)"/>
      <w:numFmt w:val="decimal"/>
      <w:start w:val="2"/>
    </w:lvl>
  </w:abstractNum>
  <w:abstractNum w:abstractNumId="149">
    <w:nsid w:val="3B594807"/>
    <w:multiLevelType w:val="hybridMultilevel"/>
    <w:lvl w:ilvl="0">
      <w:lvlJc w:val="left"/>
      <w:lvlText w:val="(%1)"/>
      <w:numFmt w:val="lowerLetter"/>
      <w:start w:val="4"/>
    </w:lvl>
    <w:lvl w:ilvl="1">
      <w:lvlJc w:val="left"/>
      <w:lvlText w:val="%2"/>
      <w:numFmt w:val="decimal"/>
      <w:start w:val="1"/>
    </w:lvl>
  </w:abstractNum>
  <w:abstractNum w:abstractNumId="150">
    <w:nsid w:val="6CAA2304"/>
    <w:multiLevelType w:val="hybridMultilevel"/>
    <w:lvl w:ilvl="0">
      <w:lvlJc w:val="left"/>
      <w:lvlText w:val="%1."/>
      <w:numFmt w:val="decimal"/>
      <w:start w:val="6"/>
    </w:lvl>
  </w:abstractNum>
  <w:abstractNum w:abstractNumId="151">
    <w:nsid w:val="3F7C2FF4"/>
    <w:multiLevelType w:val="hybridMultilevel"/>
    <w:lvl w:ilvl="0">
      <w:lvlJc w:val="left"/>
      <w:lvlText w:val="%1."/>
      <w:numFmt w:val="decimal"/>
      <w:start w:val="9"/>
    </w:lvl>
  </w:abstractNum>
  <w:abstractNum w:abstractNumId="152">
    <w:nsid w:val="25413BEC"/>
    <w:multiLevelType w:val="hybridMultilevel"/>
    <w:lvl w:ilvl="0">
      <w:lvlJc w:val="left"/>
      <w:lvlText w:val="(%1)"/>
      <w:numFmt w:val="lowerRoman"/>
      <w:start w:val="3"/>
    </w:lvl>
  </w:abstractNum>
  <w:abstractNum w:abstractNumId="153">
    <w:nsid w:val="17180B0B"/>
    <w:multiLevelType w:val="hybridMultilevel"/>
    <w:lvl w:ilvl="0">
      <w:lvlJc w:val="left"/>
      <w:lvlText w:val="(%1)"/>
      <w:numFmt w:val="lowerRoman"/>
      <w:start w:val="1"/>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lowerLetter"/>
      <w:start w:val="2"/>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lowerLetter"/>
      <w:start w:val="1"/>
    </w:lvl>
    <w:lvl w:ilvl="1">
      <w:lvlJc w:val="left"/>
      <w:lvlText w:val="(%2)"/>
      <w:numFmt w:val="lowerLetter"/>
      <w:start w:val="2"/>
    </w:lvl>
  </w:abstractNum>
  <w:abstractNum w:abstractNumId="158">
    <w:nsid w:val="3F07ACC3"/>
    <w:multiLevelType w:val="hybridMultilevel"/>
    <w:lvl w:ilvl="0">
      <w:lvlJc w:val="left"/>
      <w:lvlText w:val="(%1)"/>
      <w:numFmt w:val="lowerLetter"/>
      <w:start w:val="9"/>
    </w:lvl>
    <w:lvl w:ilvl="1">
      <w:lvlJc w:val="left"/>
      <w:lvlText w:val="(%2)"/>
      <w:numFmt w:val="lowerLetter"/>
      <w:start w:val="3"/>
    </w:lvl>
  </w:abstractNum>
  <w:abstractNum w:abstractNumId="159">
    <w:nsid w:val="6B47F63E"/>
    <w:multiLevelType w:val="hybridMultilevel"/>
    <w:lvl w:ilvl="0">
      <w:lvlJc w:val="left"/>
      <w:lvlText w:val="(%1)"/>
      <w:numFmt w:val="lowerLetter"/>
      <w:start w:val="5"/>
    </w:lvl>
  </w:abstractNum>
  <w:abstractNum w:abstractNumId="160">
    <w:nsid w:val="5CB44A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2019-12-11T23:10:11Z</dcterms:created>
  <dcterms:modified xsi:type="dcterms:W3CDTF">2019-12-11T23:10:11Z</dcterms:modified>
</cp:coreProperties>
</file>