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07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079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NIXON D. GAIL</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15"/>
        <w:spacing w:after="0"/>
        <w:rPr>
          <w:sz w:val="20"/>
          <w:szCs w:val="20"/>
          <w:color w:val="auto"/>
        </w:rPr>
      </w:pPr>
      <w:r>
        <w:rPr>
          <w:rFonts w:ascii="Arial" w:cs="Arial" w:eastAsia="Arial" w:hAnsi="Arial"/>
          <w:sz w:val="17"/>
          <w:szCs w:val="17"/>
          <w:color w:val="0000FF"/>
        </w:rPr>
        <w:t>Senior VP, Human Resources</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60" w:type="dxa"/>
            <w:vAlign w:val="bottom"/>
          </w:tcPr>
          <w:p>
            <w:pPr>
              <w:ind w:left="120"/>
              <w:spacing w:after="0"/>
              <w:rPr>
                <w:sz w:val="20"/>
                <w:szCs w:val="20"/>
                <w:color w:val="auto"/>
              </w:rPr>
            </w:pPr>
            <w:r>
              <w:rPr>
                <w:rFonts w:ascii="Arial" w:cs="Arial" w:eastAsia="Arial" w:hAnsi="Arial"/>
                <w:sz w:val="17"/>
                <w:szCs w:val="17"/>
                <w:color w:val="0000FF"/>
              </w:rPr>
              <w:t>NC</w:t>
            </w:r>
          </w:p>
        </w:tc>
        <w:tc>
          <w:tcPr>
            <w:tcW w:w="166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02/18/2020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20,126</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46,182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ind w:left="260"/>
              <w:spacing w:after="0"/>
              <w:rPr>
                <w:sz w:val="20"/>
                <w:szCs w:val="20"/>
                <w:color w:val="auto"/>
              </w:rPr>
            </w:pPr>
            <w:r>
              <w:rPr>
                <w:rFonts w:ascii="Arial" w:cs="Arial" w:eastAsia="Arial" w:hAnsi="Arial"/>
                <w:sz w:val="13"/>
                <w:szCs w:val="13"/>
                <w:color w:val="0000FF"/>
              </w:rPr>
              <w:t>02/18/2020</w:t>
            </w:r>
          </w:p>
        </w:tc>
        <w:tc>
          <w:tcPr>
            <w:tcW w:w="112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5,768</w:t>
            </w:r>
          </w:p>
        </w:tc>
        <w:tc>
          <w:tcPr>
            <w:tcW w:w="30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40"/>
              <w:spacing w:after="0"/>
              <w:rPr>
                <w:sz w:val="20"/>
                <w:szCs w:val="20"/>
                <w:color w:val="auto"/>
              </w:rPr>
            </w:pPr>
            <w:r>
              <w:rPr>
                <w:rFonts w:ascii="Arial" w:cs="Arial" w:eastAsia="Arial" w:hAnsi="Arial"/>
                <w:sz w:val="11"/>
                <w:szCs w:val="11"/>
                <w:color w:val="008000"/>
              </w:rPr>
              <w:t>(3)</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5,768</w:t>
            </w:r>
          </w:p>
        </w:tc>
        <w:tc>
          <w:tcPr>
            <w:tcW w:w="4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5,768</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with 6,541 shares vesting in three equal annual installments beginning on February 18, 2021 with the remaining 13,585 shares vesting in full on February 18, 2021.</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0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2020 and ending December 31, 2022. The performance rights granted represent the right to receive the target shares, and actual performance rights earned may be between 50% and 150% of the target shares.</w:t>
      </w:r>
    </w:p>
    <w:p>
      <w:pPr>
        <w:sectPr>
          <w:pgSz w:w="11900" w:h="16838" w:orient="portrait"/>
          <w:cols w:equalWidth="0" w:num="1">
            <w:col w:w="11520"/>
          </w:cols>
          <w:pgMar w:left="240" w:top="225" w:right="13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350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2020-02-20T15:23:07Z</dcterms:created>
  <dcterms:modified xsi:type="dcterms:W3CDTF">2020-02-20T15:23:07Z</dcterms:modified>
</cp:coreProperties>
</file>