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44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Veltman Warren A</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04/30/2015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75"/>
        <w:spacing w:after="0"/>
        <w:rPr>
          <w:sz w:val="20"/>
          <w:szCs w:val="20"/>
          <w:color w:val="auto"/>
        </w:rPr>
      </w:pPr>
      <w:r>
        <w:rPr>
          <w:rFonts w:ascii="Arial" w:cs="Arial" w:eastAsia="Arial" w:hAnsi="Arial"/>
          <w:sz w:val="16"/>
          <w:szCs w:val="16"/>
          <w:color w:val="0000FF"/>
        </w:rPr>
        <w:t>SVP/GM Autocam Precision Comp.</w:t>
      </w:r>
    </w:p>
    <w:p>
      <w:pPr>
        <w:spacing w:after="0" w:line="345"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9"/>
          </w:tcPr>
          <w:p>
            <w:pPr>
              <w:jc w:val="center"/>
              <w:ind w:right="72"/>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960" w:type="dxa"/>
            <w:vAlign w:val="bottom"/>
            <w:tcBorders>
              <w:bottom w:val="single" w:sz="8" w:color="2C2C2C"/>
            </w:tcBorders>
            <w:gridSpan w:val="7"/>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gridSpan w:val="2"/>
          </w:tcPr>
          <w:p>
            <w:pPr>
              <w:ind w:left="88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jc w:val="right"/>
              <w:ind w:right="12"/>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04/30/2015</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82"/>
              </w:rPr>
              <w:t>3,460</w:t>
            </w:r>
            <w:r>
              <w:rPr>
                <w:rFonts w:ascii="Arial" w:cs="Arial" w:eastAsia="Arial" w:hAnsi="Arial"/>
                <w:sz w:val="22"/>
                <w:szCs w:val="22"/>
                <w:color w:val="008000"/>
                <w:w w:val="82"/>
                <w:vertAlign w:val="superscript"/>
              </w:rPr>
              <w:t>(1)</w:t>
            </w:r>
          </w:p>
        </w:tc>
        <w:tc>
          <w:tcPr>
            <w:tcW w:w="64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10,760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gridSpan w:val="12"/>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04/30/2015</w:t>
            </w:r>
          </w:p>
        </w:tc>
        <w:tc>
          <w:tcPr>
            <w:tcW w:w="13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3,460</w:t>
            </w:r>
          </w:p>
        </w:tc>
        <w:tc>
          <w:tcPr>
            <w:tcW w:w="34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ind w:left="240"/>
              <w:spacing w:after="0"/>
              <w:rPr>
                <w:sz w:val="20"/>
                <w:szCs w:val="20"/>
                <w:color w:val="auto"/>
              </w:rPr>
            </w:pPr>
            <w:r>
              <w:rPr>
                <w:rFonts w:ascii="Arial" w:cs="Arial" w:eastAsia="Arial" w:hAnsi="Arial"/>
                <w:sz w:val="11"/>
                <w:szCs w:val="11"/>
                <w:color w:val="008000"/>
              </w:rPr>
              <w:t>(3)</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3,460</w:t>
            </w:r>
          </w:p>
        </w:tc>
        <w:tc>
          <w:tcPr>
            <w:tcW w:w="60" w:type="dxa"/>
            <w:vAlign w:val="bottom"/>
          </w:tcPr>
          <w:p>
            <w:pPr>
              <w:spacing w:after="0"/>
              <w:rPr>
                <w:sz w:val="20"/>
                <w:szCs w:val="20"/>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3,460</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which vest over a period of three years beginning on April 30, 2015.</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140" w:firstLine="7"/>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February 1, 2015 and ending December 31, 2017. The Performance rights will vest on December 31, 2017 subject to the reporting person's continuous employment through December 31, 2017 and subject to certain conditions as set forth in the Issuer's 2011 Stock Incentive Plan. Performance rights granted represent the right to receive the target shares, and actual performance rights earned may be between 50% and 150% of the target shares. Performance rights that do not vest on December 30, 2017 expire automatically.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William C. Kelly, Jr., by</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05/04/2015</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2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875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2019-12-23T21:38:07Z</dcterms:created>
  <dcterms:modified xsi:type="dcterms:W3CDTF">2019-12-23T21:38:07Z</dcterms:modified>
</cp:coreProperties>
</file>