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NN, Inc., a Delaware corporation (the “Company”), on December 18, 2024 posted an investor presentation to its website, https://investors.nninc.com/, which we may use with investors from time to time and is included as Exhibit 99.1 to this Current Report.</w:t>
      </w:r>
    </w:p>
    <w:p>
      <w:pPr>
        <w:spacing w:after="0" w:line="39"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information furnished pursuant to this Item 7.01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99.1</w:t>
            </w:r>
          </w:p>
        </w:tc>
        <w:tc>
          <w:tcPr>
            <w:tcW w:w="400" w:type="dxa"/>
            <w:vAlign w:val="bottom"/>
          </w:tcPr>
          <w:p>
            <w:pPr>
              <w:spacing w:after="0"/>
              <w:rPr>
                <w:sz w:val="12"/>
                <w:szCs w:val="12"/>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Investor Presentation, dated December 2024</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400" w:type="dxa"/>
            <w:vAlign w:val="bottom"/>
          </w:tcPr>
          <w:p>
            <w:pPr>
              <w:spacing w:after="0"/>
              <w:rPr>
                <w:sz w:val="13"/>
                <w:szCs w:val="13"/>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December 19,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2024-12-19T15:13:06Z</dcterms:created>
  <dcterms:modified xsi:type="dcterms:W3CDTF">2024-12-19T15:13:06Z</dcterms:modified>
</cp:coreProperties>
</file>