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60"/>
        <w:spacing w:after="0"/>
        <w:rPr>
          <w:sz w:val="20"/>
          <w:szCs w:val="20"/>
          <w:color w:val="auto"/>
        </w:rPr>
      </w:pPr>
      <w:r>
        <w:rPr>
          <w:rFonts w:ascii="Arial" w:cs="Arial" w:eastAsia="Arial" w:hAnsi="Arial"/>
          <w:sz w:val="18"/>
          <w:szCs w:val="18"/>
          <w:b w:val="1"/>
          <w:bCs w:val="1"/>
          <w:color w:val="auto"/>
        </w:rPr>
        <w:t>As Filed with the Securities and Exchange Commission on March 16,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REGISTRATION STATEMENT</w:t>
      </w:r>
    </w:p>
    <w:p>
      <w:pPr>
        <w:jc w:val="center"/>
        <w:ind w:right="48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8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407670</wp:posOffset>
            </wp:positionV>
            <wp:extent cx="60007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48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center"/>
              <w:ind w:left="4136"/>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5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60" w:type="dxa"/>
            <w:vAlign w:val="bottom"/>
          </w:tcPr>
          <w:p>
            <w:pPr>
              <w:jc w:val="center"/>
              <w:ind w:left="4136"/>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1900" w:type="dxa"/>
            <w:vAlign w:val="bottom"/>
          </w:tcPr>
          <w:p>
            <w:pPr>
              <w:spacing w:after="0"/>
              <w:rPr>
                <w:sz w:val="24"/>
                <w:szCs w:val="24"/>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93"/>
              </w:rPr>
              <w:t>207 Mockingbird Lane</w:t>
            </w:r>
          </w:p>
        </w:tc>
      </w:tr>
      <w:tr>
        <w:trPr>
          <w:trHeight w:val="212"/>
        </w:trPr>
        <w:tc>
          <w:tcPr>
            <w:tcW w:w="1900" w:type="dxa"/>
            <w:vAlign w:val="bottom"/>
          </w:tcPr>
          <w:p>
            <w:pPr>
              <w:spacing w:after="0"/>
              <w:rPr>
                <w:sz w:val="18"/>
                <w:szCs w:val="18"/>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86"/>
              </w:rPr>
              <w:t>Johnson City, Tennessee 37604</w:t>
            </w:r>
          </w:p>
        </w:tc>
      </w:tr>
      <w:tr>
        <w:trPr>
          <w:trHeight w:val="186"/>
        </w:trPr>
        <w:tc>
          <w:tcPr>
            <w:tcW w:w="1900" w:type="dxa"/>
            <w:vAlign w:val="bottom"/>
          </w:tcPr>
          <w:p>
            <w:pPr>
              <w:spacing w:after="0"/>
              <w:rPr>
                <w:sz w:val="16"/>
                <w:szCs w:val="16"/>
                <w:color w:val="auto"/>
              </w:rPr>
            </w:pPr>
          </w:p>
        </w:tc>
        <w:tc>
          <w:tcPr>
            <w:tcW w:w="5360" w:type="dxa"/>
            <w:vAlign w:val="bottom"/>
          </w:tcPr>
          <w:p>
            <w:pPr>
              <w:jc w:val="center"/>
              <w:ind w:right="1556"/>
              <w:spacing w:after="0"/>
              <w:rPr>
                <w:sz w:val="20"/>
                <w:szCs w:val="20"/>
                <w:color w:val="auto"/>
              </w:rPr>
            </w:pPr>
            <w:r>
              <w:rPr>
                <w:rFonts w:ascii="Arial" w:cs="Arial" w:eastAsia="Arial" w:hAnsi="Arial"/>
                <w:sz w:val="14"/>
                <w:szCs w:val="14"/>
                <w:b w:val="1"/>
                <w:bCs w:val="1"/>
                <w:color w:val="auto"/>
                <w:w w:val="91"/>
              </w:rPr>
              <w:t>(Address, including zip code, of principal executive offices)</w:t>
            </w:r>
          </w:p>
        </w:tc>
      </w:tr>
      <w:tr>
        <w:trPr>
          <w:trHeight w:val="394"/>
        </w:trPr>
        <w:tc>
          <w:tcPr>
            <w:tcW w:w="1900" w:type="dxa"/>
            <w:vAlign w:val="bottom"/>
          </w:tcPr>
          <w:p>
            <w:pPr>
              <w:spacing w:after="0"/>
              <w:rPr>
                <w:sz w:val="24"/>
                <w:szCs w:val="24"/>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rPr>
              <w:t>NN, INC. 2016 OMNIBUS INCENTIVE PLAN</w:t>
            </w:r>
          </w:p>
        </w:tc>
      </w:tr>
      <w:tr>
        <w:trPr>
          <w:trHeight w:val="186"/>
        </w:trPr>
        <w:tc>
          <w:tcPr>
            <w:tcW w:w="1900" w:type="dxa"/>
            <w:vAlign w:val="bottom"/>
          </w:tcPr>
          <w:p>
            <w:pPr>
              <w:spacing w:after="0"/>
              <w:rPr>
                <w:sz w:val="16"/>
                <w:szCs w:val="16"/>
                <w:color w:val="auto"/>
              </w:rPr>
            </w:pPr>
          </w:p>
        </w:tc>
        <w:tc>
          <w:tcPr>
            <w:tcW w:w="5360" w:type="dxa"/>
            <w:vAlign w:val="bottom"/>
          </w:tcPr>
          <w:p>
            <w:pPr>
              <w:jc w:val="center"/>
              <w:ind w:right="1576"/>
              <w:spacing w:after="0"/>
              <w:rPr>
                <w:sz w:val="20"/>
                <w:szCs w:val="20"/>
                <w:color w:val="auto"/>
              </w:rPr>
            </w:pPr>
            <w:r>
              <w:rPr>
                <w:rFonts w:ascii="Arial" w:cs="Arial" w:eastAsia="Arial" w:hAnsi="Arial"/>
                <w:sz w:val="14"/>
                <w:szCs w:val="14"/>
                <w:b w:val="1"/>
                <w:bCs w:val="1"/>
                <w:color w:val="auto"/>
                <w:w w:val="94"/>
              </w:rPr>
              <w:t>(Full title of the plan)</w:t>
            </w:r>
          </w:p>
        </w:tc>
      </w:tr>
      <w:tr>
        <w:trPr>
          <w:trHeight w:val="399"/>
        </w:trPr>
        <w:tc>
          <w:tcPr>
            <w:tcW w:w="1900" w:type="dxa"/>
            <w:vAlign w:val="bottom"/>
          </w:tcPr>
          <w:p>
            <w:pPr>
              <w:spacing w:after="0"/>
              <w:rPr>
                <w:sz w:val="24"/>
                <w:szCs w:val="24"/>
                <w:color w:val="auto"/>
              </w:rPr>
            </w:pPr>
          </w:p>
        </w:tc>
        <w:tc>
          <w:tcPr>
            <w:tcW w:w="5360" w:type="dxa"/>
            <w:vAlign w:val="bottom"/>
          </w:tcPr>
          <w:p>
            <w:pPr>
              <w:jc w:val="center"/>
              <w:ind w:right="1576"/>
              <w:spacing w:after="0"/>
              <w:rPr>
                <w:sz w:val="20"/>
                <w:szCs w:val="20"/>
                <w:color w:val="auto"/>
              </w:rPr>
            </w:pPr>
            <w:r>
              <w:rPr>
                <w:rFonts w:ascii="Arial" w:cs="Arial" w:eastAsia="Arial" w:hAnsi="Arial"/>
                <w:sz w:val="18"/>
                <w:szCs w:val="18"/>
                <w:b w:val="1"/>
                <w:bCs w:val="1"/>
                <w:color w:val="auto"/>
                <w:w w:val="91"/>
              </w:rPr>
              <w:t>Matthew S. Heiter, Esq.</w:t>
            </w:r>
          </w:p>
        </w:tc>
      </w:tr>
      <w:tr>
        <w:trPr>
          <w:trHeight w:val="216"/>
        </w:trPr>
        <w:tc>
          <w:tcPr>
            <w:tcW w:w="1900" w:type="dxa"/>
            <w:vAlign w:val="bottom"/>
          </w:tcPr>
          <w:p>
            <w:pPr>
              <w:spacing w:after="0"/>
              <w:rPr>
                <w:sz w:val="18"/>
                <w:szCs w:val="18"/>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89"/>
              </w:rPr>
              <w:t>Senior Vice President and General Counsel</w:t>
            </w:r>
          </w:p>
        </w:tc>
      </w:tr>
      <w:tr>
        <w:trPr>
          <w:trHeight w:val="216"/>
        </w:trPr>
        <w:tc>
          <w:tcPr>
            <w:tcW w:w="1900" w:type="dxa"/>
            <w:vAlign w:val="bottom"/>
          </w:tcPr>
          <w:p>
            <w:pPr>
              <w:spacing w:after="0"/>
              <w:rPr>
                <w:sz w:val="18"/>
                <w:szCs w:val="18"/>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95"/>
              </w:rPr>
              <w:t>NN, Inc.</w:t>
            </w:r>
          </w:p>
        </w:tc>
      </w:tr>
      <w:tr>
        <w:trPr>
          <w:trHeight w:val="216"/>
        </w:trPr>
        <w:tc>
          <w:tcPr>
            <w:tcW w:w="1900" w:type="dxa"/>
            <w:vAlign w:val="bottom"/>
          </w:tcPr>
          <w:p>
            <w:pPr>
              <w:spacing w:after="0"/>
              <w:rPr>
                <w:sz w:val="18"/>
                <w:szCs w:val="18"/>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93"/>
              </w:rPr>
              <w:t>207 Mockingbird Lane</w:t>
            </w:r>
          </w:p>
        </w:tc>
      </w:tr>
      <w:tr>
        <w:trPr>
          <w:trHeight w:val="212"/>
        </w:trPr>
        <w:tc>
          <w:tcPr>
            <w:tcW w:w="1900" w:type="dxa"/>
            <w:vAlign w:val="bottom"/>
          </w:tcPr>
          <w:p>
            <w:pPr>
              <w:spacing w:after="0"/>
              <w:rPr>
                <w:sz w:val="18"/>
                <w:szCs w:val="18"/>
                <w:color w:val="auto"/>
              </w:rPr>
            </w:pPr>
          </w:p>
        </w:tc>
        <w:tc>
          <w:tcPr>
            <w:tcW w:w="5360" w:type="dxa"/>
            <w:vAlign w:val="bottom"/>
          </w:tcPr>
          <w:p>
            <w:pPr>
              <w:jc w:val="center"/>
              <w:ind w:right="1556"/>
              <w:spacing w:after="0"/>
              <w:rPr>
                <w:sz w:val="20"/>
                <w:szCs w:val="20"/>
                <w:color w:val="auto"/>
              </w:rPr>
            </w:pPr>
            <w:r>
              <w:rPr>
                <w:rFonts w:ascii="Arial" w:cs="Arial" w:eastAsia="Arial" w:hAnsi="Arial"/>
                <w:sz w:val="18"/>
                <w:szCs w:val="18"/>
                <w:b w:val="1"/>
                <w:bCs w:val="1"/>
                <w:color w:val="auto"/>
                <w:w w:val="86"/>
              </w:rPr>
              <w:t>Johnson City, Tennessee 37604</w:t>
            </w:r>
          </w:p>
        </w:tc>
      </w:tr>
      <w:tr>
        <w:trPr>
          <w:trHeight w:val="186"/>
        </w:trPr>
        <w:tc>
          <w:tcPr>
            <w:tcW w:w="1900" w:type="dxa"/>
            <w:vAlign w:val="bottom"/>
          </w:tcPr>
          <w:p>
            <w:pPr>
              <w:spacing w:after="0"/>
              <w:rPr>
                <w:sz w:val="16"/>
                <w:szCs w:val="16"/>
                <w:color w:val="auto"/>
              </w:rPr>
            </w:pPr>
          </w:p>
        </w:tc>
        <w:tc>
          <w:tcPr>
            <w:tcW w:w="5360" w:type="dxa"/>
            <w:vAlign w:val="bottom"/>
          </w:tcPr>
          <w:p>
            <w:pPr>
              <w:jc w:val="center"/>
              <w:ind w:right="1556"/>
              <w:spacing w:after="0"/>
              <w:rPr>
                <w:sz w:val="20"/>
                <w:szCs w:val="20"/>
                <w:color w:val="auto"/>
              </w:rPr>
            </w:pPr>
            <w:r>
              <w:rPr>
                <w:rFonts w:ascii="Arial" w:cs="Arial" w:eastAsia="Arial" w:hAnsi="Arial"/>
                <w:sz w:val="14"/>
                <w:szCs w:val="14"/>
                <w:b w:val="1"/>
                <w:bCs w:val="1"/>
                <w:color w:val="auto"/>
                <w:w w:val="91"/>
              </w:rPr>
              <w:t>(Name and address of agent for service)</w:t>
            </w:r>
          </w:p>
        </w:tc>
      </w:tr>
    </w:tbl>
    <w:p>
      <w:pPr>
        <w:spacing w:after="0" w:line="183"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Richard F. Mattern, Esq.</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Bass, Berry &amp; Sims PLC</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100 Peabody Place, Suite 1300</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(901) 543-5933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500"/>
          </w:cols>
          <w:pgMar w:left="1440" w:top="229" w:right="959" w:bottom="1440"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1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6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5"/>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Title of securities</w:t>
            </w: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2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to be registered</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 xml:space="preserve">registered </w:t>
            </w:r>
            <w:r>
              <w:rPr>
                <w:rFonts w:ascii="Arial" w:cs="Arial" w:eastAsia="Arial" w:hAnsi="Arial"/>
                <w:sz w:val="12"/>
                <w:szCs w:val="12"/>
                <w:b w:val="1"/>
                <w:bCs w:val="1"/>
                <w:color w:val="auto"/>
                <w:w w:val="92"/>
              </w:rPr>
              <w:t>(1)</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12"/>
                <w:szCs w:val="12"/>
                <w:b w:val="1"/>
                <w:bCs w:val="1"/>
                <w:color w:val="auto"/>
                <w:w w:val="93"/>
              </w:rPr>
              <w:t>(2)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offering price</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2,300,000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0"/>
              </w:rPr>
              <w:t>$22.13</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89"/>
              </w:rPr>
              <w:t>$50,899,000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$5,918</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00" w:hanging="452"/>
        <w:spacing w:after="0" w:line="290"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Pursuant to Rule 416 under the Securities Act of 1933, as amended (the “Securities Act”), this registration statement includes an indeterminate number of additional shares which may be offered and issued to prevent dilution resulting from stock splits, stock dividends or similar transactions.</w:t>
      </w:r>
    </w:p>
    <w:p>
      <w:pPr>
        <w:spacing w:after="0" w:line="1" w:lineRule="exact"/>
        <w:rPr>
          <w:rFonts w:ascii="Arial" w:cs="Arial" w:eastAsia="Arial" w:hAnsi="Arial"/>
          <w:sz w:val="14"/>
          <w:szCs w:val="14"/>
          <w:color w:val="auto"/>
        </w:rPr>
      </w:pPr>
    </w:p>
    <w:p>
      <w:pPr>
        <w:ind w:left="460" w:right="60" w:hanging="452"/>
        <w:spacing w:after="0" w:line="255"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Pursuant to Rules 457(c) and 457(h) under the Securities Act, the proposed maximum offering price is determined, solely for the purpose of calculating the registration fee, on the basis of the average of the high and low sales prices of the Registrant’s common stock, par value $0.01 per share (the “Common Stock”) on the NASDAQ Global Select Market on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NN, Inc. (the “Registrant”) has sent or given or will send or give documents containing the information specified by Part I of this Form S-8 Registration Statement (the “Registration Statement”) to participants in the plan to which this Registration Statement relates, as specified in Rule 428(b)(1) promulgated by the Securities and Exchange Commission (the “Commission”) under the Securities Act. The Registrant is not filing such documents with the Commission, but these documents constitute (along with the documents incorporated by reference into the Registration Statement pursuant to Item 3 of Part II hereof) a prospectus that meets the requirements of Section 10(a) of the Securities 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jc w:val="both"/>
        <w:ind w:right="540" w:firstLine="456"/>
        <w:spacing w:after="0" w:line="342" w:lineRule="auto"/>
        <w:rPr>
          <w:sz w:val="20"/>
          <w:szCs w:val="20"/>
          <w:color w:val="auto"/>
        </w:rPr>
      </w:pPr>
      <w:r>
        <w:rPr>
          <w:rFonts w:ascii="Arial" w:cs="Arial" w:eastAsia="Arial" w:hAnsi="Arial"/>
          <w:sz w:val="16"/>
          <w:szCs w:val="16"/>
          <w:color w:val="auto"/>
        </w:rPr>
        <w:t>The following documents filed by the Registrant with the Commission, pursuant to the Securities Act or the Securities Exchange Act of 1934, as amended (the “Exchange Act”), are hereby incorporated by reference and shall be deemed to be a part hereof from the date of filing of such document:</w:t>
      </w:r>
    </w:p>
    <w:p>
      <w:pPr>
        <w:spacing w:after="0" w:line="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for the fiscal year ended December 31, 2016, filed with the Commission on March 16, 2017; and</w:t>
      </w:r>
    </w:p>
    <w:p>
      <w:pPr>
        <w:spacing w:after="0" w:line="142" w:lineRule="exact"/>
        <w:rPr>
          <w:rFonts w:ascii="Arial" w:cs="Arial" w:eastAsia="Arial" w:hAnsi="Arial"/>
          <w:sz w:val="17"/>
          <w:szCs w:val="17"/>
          <w:color w:val="auto"/>
        </w:rPr>
      </w:pPr>
    </w:p>
    <w:p>
      <w:pPr>
        <w:ind w:left="580" w:right="320" w:hanging="572"/>
        <w:spacing w:after="0" w:line="308"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the Registrant’s Amendment No. 1 to Registration Statement on Form 8-A/A, filed with the Commission on November 22, 2002, including any amendment or report filed for the purpose of updating such description.</w:t>
      </w:r>
    </w:p>
    <w:p>
      <w:pPr>
        <w:spacing w:after="0" w:line="14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Except to the extent that information therein is deemed furnished and not filed pursuant to the Exchange Act, all documents filed by the Registrant pursuant to Sections 13(a), 13(c), 14 and 15(d) of the Exchange Act after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deemed to be modified or replaced for purposes hereof to the extent that a statement 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is not incorporated by reference in this Registration Statement or the related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Section 102(b)(7) of the General Corporation Law of the State of Delaware (“DGCL”), which is applicable to the Registrant,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0" w:right="239" w:bottom="1440" w:gutter="0" w:footer="0" w:header="0"/>
        </w:sectPr>
      </w:pPr>
    </w:p>
    <w:bookmarkStart w:id="3" w:name="page4"/>
    <w:bookmarkEnd w:id="3"/>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145 of the DGCL also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Registrant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Registrant.</w:t>
      </w:r>
    </w:p>
    <w:p>
      <w:pPr>
        <w:spacing w:after="0" w:line="18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Registrant’s certificate of incorporation and bylaws provide that the Registrant will indemnify its directors and executive officers to the fullest extent provided by the DGCL and that any repeal or modification of such provisions will be prospective only and will not adversely affect the rights provided by the certificate of incorporation and bylaws in effect at the time of the alleged occurrence of any action or omission to act that is the cause of any proceeding against any agent of the Registrant. In addition, the Registrant’s bylaws provide that the Registrant is not required to indemnify any director or executive officer in connection with any proceeding initiated by such person unless the indemnification is expressly required to be made by law, the proceeding was authorized by the Board of Directors of the Registrant, such indemnification is provided by the Registrant, in its sole discretion, pursuant to the DGCL or any other applicable law. The Registrant’s bylaws further provide that the Registrant may modify the extent of indemnification of its directors and executive officers by individual contract.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364" w:lineRule="exact"/>
        <w:rPr>
          <w:sz w:val="20"/>
          <w:szCs w:val="20"/>
          <w:color w:val="auto"/>
        </w:rPr>
      </w:pPr>
    </w:p>
    <w:p>
      <w:pPr>
        <w:ind w:left="700" w:right="140" w:hanging="598"/>
        <w:spacing w:after="0" w:line="277"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NN, Inc. (incorporated by reference to Exhibit 3.1 of NN, Inc.’s Registration Statement No. 333-89950 on Form S-3 filed June 6, 2002).</w:t>
      </w:r>
    </w:p>
    <w:p>
      <w:pPr>
        <w:spacing w:after="0" w:line="62" w:lineRule="exact"/>
        <w:rPr>
          <w:sz w:val="20"/>
          <w:szCs w:val="20"/>
          <w:color w:val="auto"/>
        </w:rPr>
      </w:pPr>
    </w:p>
    <w:p>
      <w:pPr>
        <w:ind w:left="700" w:right="700" w:hanging="598"/>
        <w:spacing w:after="0" w:line="277"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of Series A Junior Participating Preferred Stock of NN, Inc., as filed with the Secretary of the State of Delaware (incorporated by reference to Exhibit 3.1 to NN, Inc.’s Current Report on Form 8-K filed on December 19, 2008).</w:t>
      </w:r>
    </w:p>
    <w:p>
      <w:pPr>
        <w:spacing w:after="0" w:line="62" w:lineRule="exact"/>
        <w:rPr>
          <w:sz w:val="20"/>
          <w:szCs w:val="20"/>
          <w:color w:val="auto"/>
        </w:rPr>
      </w:pPr>
    </w:p>
    <w:p>
      <w:pPr>
        <w:ind w:left="700" w:right="760" w:hanging="598"/>
        <w:spacing w:after="0" w:line="277" w:lineRule="auto"/>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NN, Inc. (incorporated by reference to Exhibit 3.1 to NN, Inc.’s Current Report on Form 8-K filed on November 20, 2015).</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4" w:right="299" w:bottom="1440" w:gutter="0" w:footer="0" w:header="0"/>
        </w:sectPr>
      </w:pPr>
    </w:p>
    <w:bookmarkStart w:id="4" w:name="page5"/>
    <w:bookmarkEnd w:id="4"/>
    <w:p>
      <w:pPr>
        <w:ind w:left="740" w:right="80" w:hanging="638"/>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w:t>
      </w:r>
      <w:r>
        <w:rPr>
          <w:sz w:val="20"/>
          <w:szCs w:val="20"/>
          <w:color w:val="auto"/>
        </w:rPr>
        <w:tab/>
      </w:r>
      <w:r>
        <w:rPr>
          <w:rFonts w:ascii="Arial" w:cs="Arial" w:eastAsia="Arial" w:hAnsi="Arial"/>
          <w:sz w:val="18"/>
          <w:szCs w:val="18"/>
          <w:color w:val="auto"/>
        </w:rPr>
        <w:t>The specimen stock certificate representing NN, Inc.’s Common Stock, par value $0.01 per share (incorporated by reference to Exhibit 4.1 of NN, Inc.’s Registration Statement No. 333-89950 on Form S-3 filed on June 6, 2002).</w:t>
      </w:r>
    </w:p>
    <w:p>
      <w:pPr>
        <w:spacing w:after="0" w:line="6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Bass, Berry &amp; Sims PLC.</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Touche Tohmatsu Certified Public Accountants LLP, Independent Registered Public Accounting Firm.</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Bass, Berry &amp; Sims PLC (included in Exhibit 5.1).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 hereto).</w:t>
      </w:r>
    </w:p>
    <w:p>
      <w:pPr>
        <w:spacing w:after="0" w:line="117" w:lineRule="exact"/>
        <w:rPr>
          <w:sz w:val="20"/>
          <w:szCs w:val="20"/>
          <w:color w:val="auto"/>
        </w:rPr>
      </w:pPr>
    </w:p>
    <w:p>
      <w:pPr>
        <w:ind w:left="740" w:right="280" w:hanging="728"/>
        <w:spacing w:after="0" w:line="277" w:lineRule="auto"/>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NN, Inc. 2016 Omnibus Incentive Plan (incorporated by reference to Appendix A to NN, Inc. definitive proxy statement on Schedule 14A filed with the Securities and Exchange Commission on November 10,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right="100" w:firstLine="1492"/>
        <w:spacing w:after="0" w:line="293" w:lineRule="auto"/>
        <w:tabs>
          <w:tab w:leader="none" w:pos="1748"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100" w:firstLine="1492"/>
        <w:spacing w:after="0" w:line="277" w:lineRule="auto"/>
        <w:tabs>
          <w:tab w:leader="none" w:pos="1798"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15(d) of the Securities Exchange Act of 1934 that are incorporated by reference in the registration statement.</w:t>
      </w:r>
    </w:p>
    <w:p>
      <w:pPr>
        <w:spacing w:after="0" w:line="73" w:lineRule="exact"/>
        <w:rPr>
          <w:sz w:val="20"/>
          <w:szCs w:val="20"/>
          <w:color w:val="auto"/>
        </w:rPr>
      </w:pPr>
    </w:p>
    <w:p>
      <w:pPr>
        <w:ind w:right="80" w:firstLine="921"/>
        <w:spacing w:after="0" w:line="264"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480" w:firstLine="921"/>
        <w:spacing w:after="0" w:line="277"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40"/>
          </w:cols>
          <w:pgMar w:left="240" w:top="382" w:right="319" w:bottom="1440" w:gutter="0" w:footer="0" w:header="0"/>
        </w:sectPr>
      </w:pPr>
    </w:p>
    <w:bookmarkStart w:id="5" w:name="page6"/>
    <w:bookmarkEnd w:id="5"/>
    <w:p>
      <w:pPr>
        <w:ind w:left="-464" w:right="40" w:firstLine="464"/>
        <w:spacing w:after="0" w:line="257"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left="-464" w:firstLine="464"/>
        <w:spacing w:after="0" w:line="291" w:lineRule="auto"/>
        <w:tabs>
          <w:tab w:leader="none" w:pos="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rFonts w:ascii="Arial" w:cs="Arial" w:eastAsia="Arial" w:hAnsi="Arial"/>
          <w:sz w:val="16"/>
          <w:szCs w:val="16"/>
          <w:color w:val="auto"/>
        </w:rPr>
      </w:pPr>
    </w:p>
    <w:p>
      <w:pPr>
        <w:ind w:left="5196" w:hanging="96"/>
        <w:spacing w:after="0"/>
        <w:tabs>
          <w:tab w:leader="none" w:pos="5196" w:val="left"/>
        </w:tabs>
        <w:numPr>
          <w:ilvl w:val="1"/>
          <w:numId w:val="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56"/>
          </w:cols>
          <w:pgMar w:left="704" w:top="2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Johnson City, State of Tennessee, on this 16th day of March,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each person whose signature appears below hereby constitutes and appoints Richard D. Holder,</w:t>
      </w:r>
      <w:r>
        <w:rPr>
          <w:rFonts w:ascii="Arial" w:cs="Arial" w:eastAsia="Arial" w:hAnsi="Arial"/>
          <w:sz w:val="16"/>
          <w:szCs w:val="16"/>
          <w:b w:val="1"/>
          <w:bCs w:val="1"/>
          <w:color w:val="auto"/>
        </w:rPr>
        <w:t xml:space="preserve"> </w:t>
      </w:r>
      <w:r>
        <w:rPr>
          <w:rFonts w:ascii="Arial" w:cs="Arial" w:eastAsia="Arial" w:hAnsi="Arial"/>
          <w:sz w:val="16"/>
          <w:szCs w:val="16"/>
          <w:color w:val="auto"/>
        </w:rPr>
        <w:t>Thomas C. Burwell, Jr., Matthew S. Heiter and J. Robert Atkinson,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 and Signature</w:t>
            </w:r>
          </w:p>
        </w:tc>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420" w:type="dxa"/>
            <w:vAlign w:val="bottom"/>
          </w:tcPr>
          <w:p>
            <w:pPr>
              <w:spacing w:after="0"/>
              <w:rPr>
                <w:sz w:val="14"/>
                <w:szCs w:val="14"/>
                <w:color w:val="auto"/>
              </w:rPr>
            </w:pPr>
          </w:p>
        </w:tc>
      </w:tr>
      <w:tr>
        <w:trPr>
          <w:trHeight w:val="426"/>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Richard D. Holder</w:t>
            </w:r>
          </w:p>
        </w:tc>
        <w:tc>
          <w:tcPr>
            <w:tcW w:w="1540" w:type="dxa"/>
            <w:vAlign w:val="bottom"/>
          </w:tcPr>
          <w:p>
            <w:pPr>
              <w:spacing w:after="0"/>
              <w:rPr>
                <w:sz w:val="19"/>
                <w:szCs w:val="19"/>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HOMAS</w:t>
            </w:r>
            <w:r>
              <w:rPr>
                <w:rFonts w:ascii="Arial" w:cs="Arial" w:eastAsia="Arial" w:hAnsi="Arial"/>
                <w:sz w:val="18"/>
                <w:szCs w:val="18"/>
                <w:color w:val="auto"/>
              </w:rPr>
              <w:t xml:space="preserve"> C. B</w:t>
            </w:r>
            <w:r>
              <w:rPr>
                <w:rFonts w:ascii="Arial" w:cs="Arial" w:eastAsia="Arial" w:hAnsi="Arial"/>
                <w:sz w:val="15"/>
                <w:szCs w:val="15"/>
                <w:color w:val="auto"/>
              </w:rPr>
              <w:t>URWELL</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w w:val="96"/>
              </w:rPr>
              <w:t>Senior Vice President and Chief Financial Officer (Principal Financial</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Thomas C. Burwell, Jr.</w:t>
            </w:r>
          </w:p>
        </w:tc>
        <w:tc>
          <w:tcPr>
            <w:tcW w:w="1540" w:type="dxa"/>
            <w:vAlign w:val="bottom"/>
          </w:tcPr>
          <w:p>
            <w:pPr>
              <w:spacing w:after="0"/>
              <w:rPr>
                <w:sz w:val="19"/>
                <w:szCs w:val="19"/>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Officer &amp; Principal Accounting Officer)</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 R</w:t>
            </w:r>
            <w:r>
              <w:rPr>
                <w:rFonts w:ascii="Arial" w:cs="Arial" w:eastAsia="Arial" w:hAnsi="Arial"/>
                <w:sz w:val="15"/>
                <w:szCs w:val="15"/>
                <w:color w:val="auto"/>
              </w:rPr>
              <w:t>ONALD</w:t>
            </w:r>
            <w:r>
              <w:rPr>
                <w:rFonts w:ascii="Arial" w:cs="Arial" w:eastAsia="Arial" w:hAnsi="Arial"/>
                <w:sz w:val="18"/>
                <w:szCs w:val="18"/>
                <w:color w:val="auto"/>
              </w:rPr>
              <w:t xml:space="preserve"> M</w:t>
            </w:r>
            <w:r>
              <w:rPr>
                <w:rFonts w:ascii="Arial" w:cs="Arial" w:eastAsia="Arial" w:hAnsi="Arial"/>
                <w:sz w:val="15"/>
                <w:szCs w:val="15"/>
                <w:color w:val="auto"/>
              </w:rPr>
              <w:t>ORRIS</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Non-Executive Chairman, 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G. Ronald Morris</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OBERT</w:t>
            </w:r>
            <w:r>
              <w:rPr>
                <w:rFonts w:ascii="Arial" w:cs="Arial" w:eastAsia="Arial" w:hAnsi="Arial"/>
                <w:sz w:val="18"/>
                <w:szCs w:val="18"/>
                <w:color w:val="auto"/>
              </w:rPr>
              <w:t xml:space="preserve"> E. B</w:t>
            </w:r>
            <w:r>
              <w:rPr>
                <w:rFonts w:ascii="Arial" w:cs="Arial" w:eastAsia="Arial" w:hAnsi="Arial"/>
                <w:sz w:val="15"/>
                <w:szCs w:val="15"/>
                <w:color w:val="auto"/>
              </w:rPr>
              <w:t>RUNNER</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Robert E. Brunner</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ILLIAM</w:t>
            </w:r>
            <w:r>
              <w:rPr>
                <w:rFonts w:ascii="Arial" w:cs="Arial" w:eastAsia="Arial" w:hAnsi="Arial"/>
                <w:sz w:val="18"/>
                <w:szCs w:val="18"/>
                <w:color w:val="auto"/>
              </w:rPr>
              <w:t xml:space="preserve"> D</w:t>
            </w:r>
            <w:r>
              <w:rPr>
                <w:rFonts w:ascii="Arial" w:cs="Arial" w:eastAsia="Arial" w:hAnsi="Arial"/>
                <w:sz w:val="15"/>
                <w:szCs w:val="15"/>
                <w:color w:val="auto"/>
              </w:rPr>
              <w:t>RIES</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William Dries</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AVID</w:t>
            </w:r>
            <w:r>
              <w:rPr>
                <w:rFonts w:ascii="Arial" w:cs="Arial" w:eastAsia="Arial" w:hAnsi="Arial"/>
                <w:sz w:val="18"/>
                <w:szCs w:val="18"/>
                <w:color w:val="auto"/>
              </w:rPr>
              <w:t xml:space="preserve"> K. F</w:t>
            </w:r>
            <w:r>
              <w:rPr>
                <w:rFonts w:ascii="Arial" w:cs="Arial" w:eastAsia="Arial" w:hAnsi="Arial"/>
                <w:sz w:val="15"/>
                <w:szCs w:val="15"/>
                <w:color w:val="auto"/>
              </w:rPr>
              <w:t>LOYD</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David K. Floyd</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AVID</w:t>
            </w:r>
            <w:r>
              <w:rPr>
                <w:rFonts w:ascii="Arial" w:cs="Arial" w:eastAsia="Arial" w:hAnsi="Arial"/>
                <w:sz w:val="18"/>
                <w:szCs w:val="18"/>
                <w:color w:val="auto"/>
              </w:rPr>
              <w:t xml:space="preserve"> L. P</w:t>
            </w:r>
            <w:r>
              <w:rPr>
                <w:rFonts w:ascii="Arial" w:cs="Arial" w:eastAsia="Arial" w:hAnsi="Arial"/>
                <w:sz w:val="15"/>
                <w:szCs w:val="15"/>
                <w:color w:val="auto"/>
              </w:rPr>
              <w:t>UGH</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David L. Pugh</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TEVEN</w:t>
            </w:r>
            <w:r>
              <w:rPr>
                <w:rFonts w:ascii="Arial" w:cs="Arial" w:eastAsia="Arial" w:hAnsi="Arial"/>
                <w:sz w:val="18"/>
                <w:szCs w:val="18"/>
                <w:color w:val="auto"/>
              </w:rPr>
              <w:t xml:space="preserve"> T. W</w:t>
            </w:r>
            <w:r>
              <w:rPr>
                <w:rFonts w:ascii="Arial" w:cs="Arial" w:eastAsia="Arial" w:hAnsi="Arial"/>
                <w:sz w:val="15"/>
                <w:szCs w:val="15"/>
                <w:color w:val="auto"/>
              </w:rPr>
              <w:t>ARSHAW</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March 16, 2017</w:t>
            </w:r>
          </w:p>
        </w:tc>
      </w:tr>
      <w:tr>
        <w:trPr>
          <w:trHeight w:val="224"/>
        </w:trPr>
        <w:tc>
          <w:tcPr>
            <w:tcW w:w="28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Steven T. Warshaw</w:t>
            </w:r>
          </w:p>
        </w:tc>
        <w:tc>
          <w:tcPr>
            <w:tcW w:w="1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40" w:type="dxa"/>
            <w:vAlign w:val="bottom"/>
            <w:gridSpan w:val="2"/>
          </w:tcPr>
          <w:p>
            <w:pPr>
              <w:jc w:val="right"/>
              <w:ind w:right="830"/>
              <w:spacing w:after="0"/>
              <w:rPr>
                <w:sz w:val="20"/>
                <w:szCs w:val="20"/>
                <w:color w:val="auto"/>
              </w:rPr>
            </w:pPr>
            <w:r>
              <w:rPr>
                <w:rFonts w:ascii="Arial" w:cs="Arial" w:eastAsia="Arial" w:hAnsi="Arial"/>
                <w:sz w:val="18"/>
                <w:szCs w:val="18"/>
                <w:color w:val="auto"/>
              </w:rPr>
              <w:t>- 6 -</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64" w:lineRule="exact"/>
        <w:rPr>
          <w:sz w:val="20"/>
          <w:szCs w:val="20"/>
          <w:color w:val="auto"/>
        </w:rPr>
      </w:pPr>
    </w:p>
    <w:p>
      <w:pPr>
        <w:ind w:left="740" w:hanging="638"/>
        <w:spacing w:after="0" w:line="277" w:lineRule="auto"/>
        <w:tabs>
          <w:tab w:leader="none" w:pos="7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NN, Inc. (incorporated by reference to Exhibit 3.1 of NN, Inc.’s Registration Statement No. 333-89950 on Form S-3 filed June 6, 2002).</w:t>
      </w:r>
    </w:p>
    <w:p>
      <w:pPr>
        <w:spacing w:after="0" w:line="62" w:lineRule="exact"/>
        <w:rPr>
          <w:sz w:val="20"/>
          <w:szCs w:val="20"/>
          <w:color w:val="auto"/>
        </w:rPr>
      </w:pPr>
    </w:p>
    <w:p>
      <w:pPr>
        <w:ind w:left="740" w:right="540" w:hanging="638"/>
        <w:spacing w:after="0" w:line="277" w:lineRule="auto"/>
        <w:tabs>
          <w:tab w:leader="none" w:pos="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of Series A Junior Participating Preferred Stock of NN, Inc., as filed with the Secretary of the State of Delaware (incorporated by reference to Exhibit 3.1 to NN, Inc.’s Current Report on Form 8-K filed on December 19, 2008).</w:t>
      </w:r>
    </w:p>
    <w:p>
      <w:pPr>
        <w:spacing w:after="0" w:line="62" w:lineRule="exact"/>
        <w:rPr>
          <w:sz w:val="20"/>
          <w:szCs w:val="20"/>
          <w:color w:val="auto"/>
        </w:rPr>
      </w:pPr>
    </w:p>
    <w:p>
      <w:pPr>
        <w:ind w:left="740" w:right="620" w:hanging="638"/>
        <w:spacing w:after="0" w:line="277" w:lineRule="auto"/>
        <w:tabs>
          <w:tab w:leader="none" w:pos="7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NN, Inc. (incorporated by reference to Exhibit 3.1 to NN, Inc.’s Current Report on Form 8-K filed on November 20, 2015).</w:t>
      </w:r>
    </w:p>
    <w:p>
      <w:pPr>
        <w:spacing w:after="0" w:line="62" w:lineRule="exact"/>
        <w:rPr>
          <w:sz w:val="20"/>
          <w:szCs w:val="20"/>
          <w:color w:val="auto"/>
        </w:rPr>
      </w:pPr>
    </w:p>
    <w:p>
      <w:pPr>
        <w:ind w:left="740" w:hanging="638"/>
        <w:spacing w:after="0" w:line="277" w:lineRule="auto"/>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NN, Inc.’s Common Stock, par value $0.01 per share (incorporated by reference to Exhibit 4.1 of NN, Inc.’s Registration Statement No. 333-89950 on Form S-3 filed on June 6, 2002).</w:t>
      </w:r>
    </w:p>
    <w:p>
      <w:pPr>
        <w:spacing w:after="0" w:line="62"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Bass, Berry &amp; Sims PLC.</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Touche Tohmatsu Certified Public Accountants LLP, Independent Registered Public Accounting Firm.</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Bass, Berry &amp; Sims PLC (included in Exhibit 5.1).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 hereto).</w:t>
      </w:r>
    </w:p>
    <w:p>
      <w:pPr>
        <w:spacing w:after="0" w:line="117" w:lineRule="exact"/>
        <w:rPr>
          <w:sz w:val="20"/>
          <w:szCs w:val="20"/>
          <w:color w:val="auto"/>
        </w:rPr>
      </w:pPr>
    </w:p>
    <w:p>
      <w:pPr>
        <w:ind w:left="740" w:right="200" w:hanging="728"/>
        <w:spacing w:after="0" w:line="277" w:lineRule="auto"/>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NN, Inc. 2016 Omnibus Incentive Plan (incorporated by reference to Appendix A to NN, Inc. definitive proxy statement on Schedule 14A filed with the Securities and Exchange Commission on November 10,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260"/>
          </w:cols>
          <w:pgMar w:left="240" w:top="270" w:right="3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334645</wp:posOffset>
            </wp:positionV>
            <wp:extent cx="21609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9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Tower at Peabody Place</w:t>
      </w:r>
    </w:p>
    <w:p>
      <w:pPr>
        <w:jc w:val="center"/>
        <w:spacing w:after="0" w:line="221" w:lineRule="auto"/>
        <w:rPr>
          <w:sz w:val="20"/>
          <w:szCs w:val="20"/>
          <w:color w:val="auto"/>
        </w:rPr>
      </w:pPr>
      <w:r>
        <w:rPr>
          <w:rFonts w:ascii="Arial" w:cs="Arial" w:eastAsia="Arial" w:hAnsi="Arial"/>
          <w:sz w:val="14"/>
          <w:szCs w:val="14"/>
          <w:color w:val="auto"/>
        </w:rPr>
        <w:t>100 Peabody Place, Suite 1300</w:t>
      </w:r>
    </w:p>
    <w:p>
      <w:pPr>
        <w:jc w:val="center"/>
        <w:spacing w:after="0" w:line="221" w:lineRule="auto"/>
        <w:rPr>
          <w:sz w:val="20"/>
          <w:szCs w:val="20"/>
          <w:color w:val="auto"/>
        </w:rPr>
      </w:pPr>
      <w:r>
        <w:rPr>
          <w:rFonts w:ascii="Arial" w:cs="Arial" w:eastAsia="Arial" w:hAnsi="Arial"/>
          <w:sz w:val="14"/>
          <w:szCs w:val="14"/>
          <w:color w:val="auto"/>
        </w:rPr>
        <w:t>Memphis, Tennessee 38103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(901) 543-5900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 relating to the NN, Inc. 2016 Omnibus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have acted as counsel to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of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2,300,000 shares of Company’s common stock, par value $0.01 per share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available for issuance pursuant to the NN, Inc. 2016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qualifications, assumptions and limitations set forth herein, we are of the opinion that:</w:t>
      </w:r>
    </w:p>
    <w:p>
      <w:pPr>
        <w:spacing w:after="0" w:line="117" w:lineRule="exact"/>
        <w:rPr>
          <w:sz w:val="20"/>
          <w:szCs w:val="20"/>
          <w:color w:val="auto"/>
        </w:rPr>
      </w:pPr>
    </w:p>
    <w:p>
      <w:pPr>
        <w:ind w:right="20" w:firstLine="464"/>
        <w:spacing w:after="0" w:line="277"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Delaware and in good standing with the Secretary of State of the State of Delaware; and</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issuable in connection with the Plan have been duly authorized and, when issued in accordance with the terms of the Plan, will be validly issued, fully paid and non-assessable.</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hereby consent to the filing of this opinion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opinion is limited to the specific issues addressed herein, and no opinion may be inferred or implied beyond that expressly stated herein.</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opinion is furnished to you in connection with the filing of the Registration Statement. Our opinion is rendered as of the date hereof, and we</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assume no obligation to advise you of changes in law or fact (or the effect thereof on the opinions expressed herein) that hereafter may come to our attention.</w:t>
      </w:r>
    </w:p>
    <w:p>
      <w:pPr>
        <w:spacing w:after="0" w:line="2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Bass, Berry &amp; Sims PLC</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5788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8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16, 2017 relating to the financial statements, and the effectiveness of internal control over financial reporting, which appears in NN, Inc’s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16, 2017, related to the financial statements of Wuxi Weifu Autocam Precision Machinery Company, Ltd. as of and for the year ended December 31, 2016, appearing in the Annual Report on Form 10-K of NN, Inc.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1)"/>
      <w:numFmt w:val="lowerLetter"/>
      <w:start w:val="2"/>
    </w:lvl>
    <w:lvl w:ilvl="1">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2019-12-05T23:24:47Z</dcterms:created>
  <dcterms:modified xsi:type="dcterms:W3CDTF">2019-12-05T23:24:47Z</dcterms:modified>
</cp:coreProperties>
</file>