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574"/>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790"/>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006"/>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1703"/>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194"/>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411"/>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2627"/>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540" w:h="160" w:wrap="auto" w:vAnchor="page" w:hAnchor="page" w:x="3680" w:y="3329"/>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May 8, 2013</w:t>
      </w:r>
    </w:p>
    <w:p>
      <w:pPr>
        <w:spacing w:after="0" w:line="188" w:lineRule="auto"/>
        <w:framePr w:w="1380" w:h="289" w:wrap="auto" w:vAnchor="page" w:hAnchor="page" w:x="5260" w:y="5496"/>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t>NN, INC.</w:t>
      </w:r>
    </w:p>
    <w:p>
      <w:pPr>
        <w:spacing w:after="0" w:line="200" w:lineRule="exact"/>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2404110</wp:posOffset>
            </wp:positionV>
            <wp:extent cx="62611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12" w:lineRule="exact"/>
        <w:rPr>
          <w:rFonts w:ascii="Arial" w:cs="Arial" w:eastAsia="Arial" w:hAnsi="Arial"/>
          <w:sz w:val="32"/>
          <w:szCs w:val="32"/>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5"/>
          </w:tcPr>
          <w:p>
            <w:pPr>
              <w:ind w:left="1540"/>
              <w:spacing w:after="0"/>
              <w:rPr>
                <w:sz w:val="20"/>
                <w:szCs w:val="20"/>
                <w:color w:val="auto"/>
              </w:rPr>
            </w:pPr>
            <w:r>
              <w:rPr>
                <w:rFonts w:ascii="Arial" w:cs="Arial" w:eastAsia="Arial" w:hAnsi="Arial"/>
                <w:sz w:val="18"/>
                <w:szCs w:val="18"/>
                <w:color w:val="auto"/>
                <w:w w:val="96"/>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860" w:type="dxa"/>
            <w:vAlign w:val="bottom"/>
          </w:tcPr>
          <w:p>
            <w:pPr>
              <w:spacing w:after="0"/>
              <w:rPr>
                <w:sz w:val="24"/>
                <w:szCs w:val="2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04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2"/>
          <w:szCs w:val="32"/>
          <w:b w:val="1"/>
          <w:bCs w:val="1"/>
          <w:u w:val="single" w:color="auto"/>
          <w:color w:val="auto"/>
        </w:rPr>
      </w:pPr>
    </w:p>
    <w:p>
      <w:pPr>
        <w:spacing w:after="0" w:line="295" w:lineRule="exact"/>
        <w:rPr>
          <w:rFonts w:ascii="Arial" w:cs="Arial" w:eastAsia="Arial" w:hAnsi="Arial"/>
          <w:sz w:val="32"/>
          <w:szCs w:val="32"/>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2"/>
          <w:szCs w:val="32"/>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2"/>
          <w:szCs w:val="32"/>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996"/>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5.02 below.</w:t>
      </w:r>
    </w:p>
    <w:p>
      <w:pPr>
        <w:spacing w:after="0" w:line="24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10, 2013, NN, Inc. (the “Company”) announced that Richard D. Holder has been appointed as President and Chief Executive Officer of the Company effective June 3, 2013. There are no arrangements or understandings between Mr. Holder and any other persons pursuant to which he was appointed as Chief Executive Officer and President, and he has no direct or indirect material interest in any transaction required to be disclosed pursuant to Item 404(a) of Regulation S-K.</w:t>
      </w:r>
    </w:p>
    <w:p>
      <w:pPr>
        <w:spacing w:after="0" w:line="21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Prior to joining the Company, Mr. Holder has been President, Electrical Components Organization of Eaton Corporation since January 2010. Eaton Corporation is a diversified industrial manufacturer of power management and electrical systems. From May 2006 to December 2009, Mr. Holder was Executive Vice President, Eaton Business System of Eaton Corporation. Prior to joining Eaton Corporation in July 2001, Mr. Holder served as Director of Aircraft and Technical Purchasing for U.S. Airways and also held a variety of leadership positions at Allied Signal Corporation and Parker Hannifin Corporation.</w:t>
      </w:r>
    </w:p>
    <w:p>
      <w:pPr>
        <w:spacing w:after="0" w:line="21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entered into an Executive Employment Agreement dated May 8, 2013 (the “</w:t>
      </w:r>
      <w:r>
        <w:rPr>
          <w:rFonts w:ascii="Arial" w:cs="Arial" w:eastAsia="Arial" w:hAnsi="Arial"/>
          <w:sz w:val="18"/>
          <w:szCs w:val="18"/>
          <w:u w:val="single" w:color="auto"/>
          <w:color w:val="auto"/>
        </w:rPr>
        <w:t>Agreement</w:t>
      </w:r>
      <w:r>
        <w:rPr>
          <w:rFonts w:ascii="Arial" w:cs="Arial" w:eastAsia="Arial" w:hAnsi="Arial"/>
          <w:sz w:val="18"/>
          <w:szCs w:val="18"/>
          <w:color w:val="auto"/>
        </w:rPr>
        <w:t>”) with Mr. Holder. The material terms of the Agreement are summarized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Mr. Holder’s employment will commence on June 3, 2013, and the initial term of the Agreement is for one year, ending on June 3, 2014. The Agreement will be automatically extended for additional one-year periods, unless the Agreement is terminated by the Company with six months prior written notice.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Base Salary and Bonus. </w:t>
      </w:r>
      <w:r>
        <w:rPr>
          <w:rFonts w:ascii="Arial" w:cs="Arial" w:eastAsia="Arial" w:hAnsi="Arial"/>
          <w:sz w:val="18"/>
          <w:szCs w:val="18"/>
          <w:color w:val="auto"/>
        </w:rPr>
        <w:t>Mr. Holder will receive an annual base salary of $500,000, subject to review by the Board. He will also be eligible for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bonus under the Company’s Annual Non-Equity Incentive Plan with a target incentive of 75%-90% of base salary. The actual amount of the annual bonus will be determined based on (i) the Company’s financial performance and (ii) the Compensation Committee’s assessment of Mr. Holder’s individual performance.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Compensation. </w:t>
      </w:r>
      <w:r>
        <w:rPr>
          <w:rFonts w:ascii="Arial" w:cs="Arial" w:eastAsia="Arial" w:hAnsi="Arial"/>
          <w:sz w:val="18"/>
          <w:szCs w:val="18"/>
          <w:color w:val="auto"/>
        </w:rPr>
        <w:t>Mr. Holder will also receive an equity award for 2013 that will vest equally over 3 years. The award consists of options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100,000 shares of the Company’s Common Stock and 50,000 shares of Restricted Stock Units. The exercise price and per share value, as applicable, will be equal to the fair market value of the Company’s Common Stock as of the date of grant, which is anticipated to be June 3, 2013. The equity award is subject to all terms and provisions of the Company’s 2011 Stock Incentive Plan.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One Time Retention Award. </w:t>
      </w:r>
      <w:r>
        <w:rPr>
          <w:rFonts w:ascii="Arial" w:cs="Arial" w:eastAsia="Arial" w:hAnsi="Arial"/>
          <w:sz w:val="18"/>
          <w:szCs w:val="18"/>
          <w:color w:val="auto"/>
        </w:rPr>
        <w:t>For the fiscal year ending December 31, 2013, and so long as Mr. Holder remains in the employ of the Company, Mr. Holder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non-equity incentive compensation equal to 65% of his annual base salary, pro-rated for the period of time in 2013 that he is employed by the Company.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Severance Terms. </w:t>
      </w:r>
      <w:r>
        <w:rPr>
          <w:rFonts w:ascii="Arial" w:cs="Arial" w:eastAsia="Arial" w:hAnsi="Arial"/>
          <w:sz w:val="18"/>
          <w:szCs w:val="18"/>
          <w:color w:val="auto"/>
        </w:rPr>
        <w:t>If Mr. Holder’s service with the Company is terminated by the Company not for cause or by Mr. Holder for good reason, and he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the Company for 12 years or less, he is entitled to an amount equal to his annual salary in effect on the date of termination. If Mr. Holder’s service with the Company is terminated by the Company not for cause or by Mr. Holder for good reason, and he has been employed by the Company for 12 years or more, he is entitled to an amount equal to his annual salary in effect on the date of termination, plus an amount equal to one month of his annual salary for each year of service over 12 years, subject to a maximum of six months if employed for 18 years or more. If Mr. Holder’s service with the Company is terminated by the Company not for cause or by Mr. Holder for good reason, he is entitled to the median bonus available to him for the year in which the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If Mr. Holder’s service with the Company is terminated by the Company within two years following a change in control and such termination is without cause or if he is constructively terminated, he is entitled to a lump sum payment of two times his base salary (as of the date of his termination) and the median bonus available to him. Mr. Holder will also be entitled to a payment equal to the bonus he would have been entitled to, but for the termination, for the year in which the termination occurs.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Benefits. </w:t>
      </w:r>
      <w:r>
        <w:rPr>
          <w:rFonts w:ascii="Arial" w:cs="Arial" w:eastAsia="Arial" w:hAnsi="Arial"/>
          <w:sz w:val="18"/>
          <w:szCs w:val="18"/>
          <w:color w:val="auto"/>
        </w:rPr>
        <w:t>Subject to his eligibility, Mr. Holder will be entitled to participate in all benefit programs offered by the Company. He will receive a car</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of $14,400 per year and a Company provided laptop computer, iPad and cell phone.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of the Agreement set forth above is qualified in its entirety by reference to the full text of the Agreement, which is filed hereto as Exhibit 10.1 and is incorporated by reference herein.</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47"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auto"/>
          <w:vertAlign w:val="superscript"/>
        </w:rPr>
        <w:t>Exhibit</w:t>
      </w:r>
      <w:r>
        <w:rPr>
          <w:rFonts w:ascii="Arial" w:cs="Arial" w:eastAsia="Arial" w:hAnsi="Arial"/>
          <w:sz w:val="18"/>
          <w:szCs w:val="18"/>
          <w:b w:val="1"/>
          <w:bCs w:val="1"/>
          <w:u w:val="single" w:color="auto"/>
          <w:color w:val="auto"/>
        </w:rPr>
        <w:t>Description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Executive Employment Agreement, dated May 8, 2013, by and between NN, Inc. and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2013</w:t>
      </w:r>
    </w:p>
    <w:p>
      <w:pPr>
        <w:spacing w:after="0" w:line="200" w:lineRule="exact"/>
        <w:rPr>
          <w:sz w:val="20"/>
          <w:szCs w:val="20"/>
          <w:color w:val="auto"/>
        </w:rPr>
      </w:pPr>
    </w:p>
    <w:p>
      <w:pPr>
        <w:spacing w:after="0" w:line="29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NN, Inc.</w:t>
      </w:r>
    </w:p>
    <w:p>
      <w:pPr>
        <w:spacing w:after="0" w:line="313" w:lineRule="exact"/>
        <w:rPr>
          <w:sz w:val="20"/>
          <w:szCs w:val="20"/>
          <w:color w:val="auto"/>
        </w:rPr>
      </w:pPr>
    </w:p>
    <w:p>
      <w:pPr>
        <w:ind w:left="2580"/>
        <w:spacing w:after="0"/>
        <w:rPr>
          <w:sz w:val="20"/>
          <w:szCs w:val="20"/>
          <w:color w:val="auto"/>
        </w:rPr>
      </w:pPr>
      <w:r>
        <w:rPr>
          <w:rFonts w:ascii="Arial" w:cs="Arial" w:eastAsia="Arial" w:hAnsi="Arial"/>
          <w:sz w:val="36"/>
          <w:szCs w:val="36"/>
          <w:color w:val="auto"/>
          <w:vertAlign w:val="subscript"/>
        </w:rPr>
        <w:t>By:</w:t>
      </w:r>
      <w:r>
        <w:rPr>
          <w:rFonts w:ascii="Arial" w:cs="Arial" w:eastAsia="Arial" w:hAnsi="Arial"/>
          <w:sz w:val="18"/>
          <w:szCs w:val="18"/>
          <w:color w:val="auto"/>
        </w:rPr>
        <w:t>/s/ William C.</w:t>
      </w:r>
    </w:p>
    <w:p>
      <w:pPr>
        <w:ind w:left="2860"/>
        <w:spacing w:after="0"/>
        <w:rPr>
          <w:sz w:val="20"/>
          <w:szCs w:val="20"/>
          <w:color w:val="auto"/>
        </w:rPr>
      </w:pPr>
      <w:r>
        <w:rPr>
          <w:rFonts w:ascii="Arial" w:cs="Arial" w:eastAsia="Arial" w:hAnsi="Arial"/>
          <w:sz w:val="18"/>
          <w:szCs w:val="18"/>
          <w:color w:val="auto"/>
        </w:rPr>
        <w:t>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4445</wp:posOffset>
            </wp:positionV>
            <wp:extent cx="926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6465" cy="17145"/>
                    </a:xfrm>
                    <a:prstGeom prst="rect">
                      <a:avLst/>
                    </a:prstGeom>
                    <a:noFill/>
                  </pic:spPr>
                </pic:pic>
              </a:graphicData>
            </a:graphic>
          </wp:anchor>
        </w:drawing>
      </w:r>
    </w:p>
    <w:p>
      <w:pPr>
        <w:ind w:left="2880"/>
        <w:spacing w:after="0"/>
        <w:tabs>
          <w:tab w:leader="none" w:pos="354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8th day of May, 2013 by and between</w:t>
      </w:r>
      <w:r>
        <w:rPr>
          <w:rFonts w:ascii="Arial" w:cs="Arial" w:eastAsia="Arial" w:hAnsi="Arial"/>
          <w:sz w:val="18"/>
          <w:szCs w:val="18"/>
          <w:b w:val="1"/>
          <w:bCs w:val="1"/>
          <w:color w:val="auto"/>
        </w:rPr>
        <w:t xml:space="preserve"> NN, Inc.</w:t>
      </w:r>
      <w:r>
        <w:rPr>
          <w:rFonts w:ascii="Arial" w:cs="Arial" w:eastAsia="Arial" w:hAnsi="Arial"/>
          <w:sz w:val="18"/>
          <w:szCs w:val="18"/>
          <w:color w:val="auto"/>
        </w:rPr>
        <w:t>, a Delaware Corporation with its principal place of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Johnson City, Tennessee (the “Company”), and </w:t>
      </w:r>
      <w:r>
        <w:rPr>
          <w:rFonts w:ascii="Arial" w:cs="Arial" w:eastAsia="Arial" w:hAnsi="Arial"/>
          <w:sz w:val="18"/>
          <w:szCs w:val="18"/>
          <w:b w:val="1"/>
          <w:bCs w:val="1"/>
          <w:color w:val="auto"/>
        </w:rPr>
        <w:t>Richard D. Holder</w:t>
      </w:r>
      <w:r>
        <w:rPr>
          <w:rFonts w:ascii="Arial" w:cs="Arial" w:eastAsia="Arial" w:hAnsi="Arial"/>
          <w:sz w:val="18"/>
          <w:szCs w:val="18"/>
          <w:color w:val="auto"/>
        </w:rPr>
        <w:t xml:space="preserve"> (the “Executive”).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the Executive as President and Chief Executive Officer of the Company;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be employed by the Company in such capacity; and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understand that certain payments hereunder may be deemed to be "deferred compensation" within the meaning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that the terms of their employment relationship are as follows:</w:t>
      </w:r>
    </w:p>
    <w:p>
      <w:pPr>
        <w:spacing w:after="0" w:line="207" w:lineRule="exact"/>
        <w:rPr>
          <w:sz w:val="20"/>
          <w:szCs w:val="20"/>
          <w:color w:val="auto"/>
        </w:rPr>
      </w:pPr>
    </w:p>
    <w:p>
      <w:pPr>
        <w:ind w:left="660" w:hanging="22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8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employment of the Executive by the Company as provided herein shall commence on June 3, 2013, and end on June 3, 2014 unless further extended or sooner terminated as hereinafter provided. On June 3, 2014 and on June 3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six (6) months written notice that the term of Executive's employment hereunder shall not be extended at the end of the then current term, the Executive's separation at the expiration of the then current term shall be treated as a Separation From Service by Company not For Cause pursuant to Paragraph 7(b) of this Agreement. Nothing in this Paragraph 2 will affect either party's ability to terminate the Executive's employment hereunder pursuant to Paragraph 7(b) or (c) of this Agreement during any notice period provided pursuant to this Paragraph 2 and, in such event, Executive will not be paid for the remainder of the notice period, and said separation shall be evaluated pursuant to the applicable provisions of Paragraph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left="229" w:hanging="229"/>
        <w:spacing w:after="0" w:line="255"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 shall serve as the President and Chief Executive Officer of the Company with responsibilities and authority as may from time to time be assigned by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Board of Directors of the Company.</w:t>
      </w:r>
    </w:p>
    <w:p>
      <w:pPr>
        <w:spacing w:after="0" w:line="220"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Five Hundred Thousand Dollars ($500,000.00)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right="20" w:hanging="295"/>
        <w:spacing w:after="0" w:line="302" w:lineRule="auto"/>
        <w:tabs>
          <w:tab w:leader="none" w:pos="869"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109"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6" w:name="page7"/>
    <w:bookmarkEnd w:id="6"/>
    <w:p>
      <w:pPr>
        <w:ind w:left="780" w:right="20" w:hanging="218"/>
        <w:spacing w:after="0" w:line="308"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Car Allowance</w:t>
      </w:r>
      <w:r>
        <w:rPr>
          <w:rFonts w:ascii="Arial" w:cs="Arial" w:eastAsia="Arial" w:hAnsi="Arial"/>
          <w:sz w:val="17"/>
          <w:szCs w:val="17"/>
          <w:color w:val="auto"/>
        </w:rPr>
        <w:t>. The Executive shall receive a car allowance of fourteen thousand four hundred dollars ($14,400) per year, which shall be pro-rated for any partial year and shall be paid in monthly installments of $1,200 in accordance with the Company’s normal payroll practice.</w:t>
      </w:r>
    </w:p>
    <w:p>
      <w:pPr>
        <w:spacing w:after="0" w:line="146" w:lineRule="exact"/>
        <w:rPr>
          <w:rFonts w:ascii="Arial" w:cs="Arial" w:eastAsia="Arial" w:hAnsi="Arial"/>
          <w:sz w:val="17"/>
          <w:szCs w:val="17"/>
          <w:color w:val="auto"/>
        </w:rPr>
      </w:pPr>
    </w:p>
    <w:p>
      <w:pPr>
        <w:ind w:left="780" w:right="40" w:hanging="218"/>
        <w:spacing w:after="0" w:line="264"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Relocation Expense</w:t>
      </w:r>
      <w:r>
        <w:rPr>
          <w:rFonts w:ascii="Arial" w:cs="Arial" w:eastAsia="Arial" w:hAnsi="Arial"/>
          <w:sz w:val="18"/>
          <w:szCs w:val="18"/>
          <w:color w:val="auto"/>
        </w:rPr>
        <w:t>. The Company shall promptly reimburse the Executive for the one-time cost associated with moving all of the Executive’s household and personal goods from his current residence to a new residence located nearby the Company’s corporate headquarters in Johnson City, Tennessee.</w:t>
      </w:r>
    </w:p>
    <w:p>
      <w:pPr>
        <w:spacing w:after="0" w:line="181" w:lineRule="exact"/>
        <w:rPr>
          <w:sz w:val="20"/>
          <w:szCs w:val="20"/>
          <w:color w:val="auto"/>
        </w:rPr>
      </w:pPr>
    </w:p>
    <w:p>
      <w:pPr>
        <w:ind w:left="780" w:right="480" w:hanging="215"/>
        <w:spacing w:after="0" w:line="277" w:lineRule="auto"/>
        <w:rPr>
          <w:sz w:val="20"/>
          <w:szCs w:val="20"/>
          <w:color w:val="auto"/>
        </w:rPr>
      </w:pPr>
      <w:r>
        <w:rPr>
          <w:rFonts w:ascii="Arial" w:cs="Arial" w:eastAsia="Arial" w:hAnsi="Arial"/>
          <w:sz w:val="18"/>
          <w:szCs w:val="18"/>
          <w:color w:val="auto"/>
        </w:rPr>
        <w:t>(g)</w:t>
      </w:r>
      <w:r>
        <w:rPr>
          <w:rFonts w:ascii="Arial" w:cs="Arial" w:eastAsia="Arial" w:hAnsi="Arial"/>
          <w:sz w:val="18"/>
          <w:szCs w:val="18"/>
          <w:u w:val="single" w:color="auto"/>
          <w:color w:val="auto"/>
        </w:rPr>
        <w:t>Technology</w:t>
      </w:r>
      <w:r>
        <w:rPr>
          <w:rFonts w:ascii="Arial" w:cs="Arial" w:eastAsia="Arial" w:hAnsi="Arial"/>
          <w:sz w:val="18"/>
          <w:szCs w:val="18"/>
          <w:color w:val="auto"/>
        </w:rPr>
        <w:t>. The Company, at its expense, shall provide to the Executive, for use in executing the Executive’s duties under this Employment Agreement, a laptop computer, an iPad and a cell phone.</w:t>
      </w:r>
    </w:p>
    <w:p>
      <w:pPr>
        <w:spacing w:after="0" w:line="200" w:lineRule="exact"/>
        <w:rPr>
          <w:sz w:val="20"/>
          <w:szCs w:val="20"/>
          <w:color w:val="auto"/>
        </w:rPr>
      </w:pPr>
    </w:p>
    <w:p>
      <w:pPr>
        <w:spacing w:after="0" w:line="241" w:lineRule="exact"/>
        <w:rPr>
          <w:sz w:val="20"/>
          <w:szCs w:val="20"/>
          <w:color w:val="auto"/>
        </w:rPr>
      </w:pPr>
    </w:p>
    <w:p>
      <w:pPr>
        <w:jc w:val="both"/>
        <w:ind w:left="660" w:hanging="229"/>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Non-Equity Incentive Plan Participation</w:t>
      </w:r>
      <w:r>
        <w:rPr>
          <w:rFonts w:ascii="Arial" w:cs="Arial" w:eastAsia="Arial" w:hAnsi="Arial"/>
          <w:sz w:val="18"/>
          <w:szCs w:val="18"/>
          <w:color w:val="auto"/>
        </w:rPr>
        <w:t>. Executive will be eligible to participate in the Company’s Annual Non-Equity Incentive Plan (the “NEIP”) with a target incentive of 75% - 90% of Executive’s annual base salary and, for the fiscal year ending December 31, 2013, Executive shall receive non-equity incentive compensation equal to 65% of Executive’s annual base salary (the “2013 Incentive Compensation”), pro-rated for the period of time in 2013 that Executive is employed by the Company, less applicable taxes, deductions and withholdings. To qualify for the NEIP and the 2013 Incentive Compensation, Executive must remain employed with the Company through the date that the non-equity incentive compensation is paid (as specified in the NEIP). Any future payments under the NEIP will depend on the Company’s financial performance and the Compensation Committee’s assessment of Executive’s individual performance. The terms of any NEIP payout is subject to, and governed by, the terms and requirements of the NEIP. NEIP amounts are usually paid in late February or early March of the year after the end of the fiscal year for which such payments are earned.</w:t>
      </w:r>
    </w:p>
    <w:p>
      <w:pPr>
        <w:spacing w:after="0" w:line="224"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5.A.</w:t>
      </w:r>
      <w:r>
        <w:rPr>
          <w:sz w:val="20"/>
          <w:szCs w:val="20"/>
          <w:color w:val="auto"/>
        </w:rPr>
        <w:tab/>
      </w: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 Executive will be entitled to participate in the Company’s equity incentive compensation program as described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below:</w:t>
      </w:r>
    </w:p>
    <w:p>
      <w:pPr>
        <w:spacing w:after="0" w:line="197" w:lineRule="exact"/>
        <w:rPr>
          <w:sz w:val="20"/>
          <w:szCs w:val="20"/>
          <w:color w:val="auto"/>
        </w:rPr>
      </w:pPr>
    </w:p>
    <w:p>
      <w:pPr>
        <w:jc w:val="both"/>
        <w:ind w:left="1300" w:hanging="285"/>
        <w:spacing w:after="0" w:line="293"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Inducement Restricted Stock Units</w:t>
      </w:r>
      <w:r>
        <w:rPr>
          <w:rFonts w:ascii="Arial" w:cs="Arial" w:eastAsia="Arial" w:hAnsi="Arial"/>
          <w:sz w:val="16"/>
          <w:szCs w:val="16"/>
          <w:color w:val="auto"/>
        </w:rPr>
        <w:t>. On the grant date, the Executive shall be granted an award of 25,000 restricted stock units corresponding to shares of the Company’s Common Stock (the “Inducement Restricted Stock Units”). The Inducement Restricted Stock Units Shall vest in annual installments of 8,333 shares, 8,333 shares and 8,334 shares on June 3, 2014, June 3, 2015 and June 3, 2016, respectively, subject, in each case, to Executive’s continued employment with the Company through the applicable vesting date. Except as specifically provided herein, the terms and conditions of the Inducement Restricted Stock Units shall be subject the NN, Inc. 2011 Stock Incentive Plan (the “2011 Plan”) and the award agreement evidencing the grant of the Inducement Restricted Stock Units.</w:t>
      </w:r>
    </w:p>
    <w:p>
      <w:pPr>
        <w:spacing w:after="0" w:line="191" w:lineRule="exact"/>
        <w:rPr>
          <w:rFonts w:ascii="Arial" w:cs="Arial" w:eastAsia="Arial" w:hAnsi="Arial"/>
          <w:sz w:val="16"/>
          <w:szCs w:val="16"/>
          <w:color w:val="auto"/>
        </w:rPr>
      </w:pPr>
    </w:p>
    <w:p>
      <w:pPr>
        <w:jc w:val="both"/>
        <w:ind w:left="1300" w:hanging="295"/>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Inducement Stock Options</w:t>
      </w:r>
      <w:r>
        <w:rPr>
          <w:rFonts w:ascii="Arial" w:cs="Arial" w:eastAsia="Arial" w:hAnsi="Arial"/>
          <w:sz w:val="18"/>
          <w:szCs w:val="18"/>
          <w:color w:val="auto"/>
        </w:rPr>
        <w:t>. On the grant date, the Executive shall be granted an option (the “Inducement Stock Option”) to purchase 100,000 shares of the Company’s Common Stock. The Inducement Stock Option shall have a per share exercise price equal to the Fair Market Value (as such term is defined in, and determined in accordance with, the 2011 Plan). The Inducement Stock Option shall have a ten-year term and a vesting schedule such that the Inducement Stock Option will become exercisable in annual installments of 33,333 shares, 33,333 shares and 33,334 shares on June 3, 2014, June 3, 2015 and June 3, 2016, respectively; provided that the Executive remains in the employ of the Company through each such vesting date. Except as specifically provided herein, the terms and conditions of the Inducement Stock Option shall be subject to the terms of the 2011 Plan and the award agreement evidencing the grant of the Inducement Stock Option.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left="869" w:hanging="285"/>
        <w:spacing w:after="0" w:line="259" w:lineRule="auto"/>
        <w:tabs>
          <w:tab w:leader="none" w:pos="869"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Future Incentive Compensation</w:t>
      </w:r>
      <w:r>
        <w:rPr>
          <w:rFonts w:ascii="Arial" w:cs="Arial" w:eastAsia="Arial" w:hAnsi="Arial"/>
          <w:sz w:val="18"/>
          <w:szCs w:val="18"/>
          <w:color w:val="auto"/>
        </w:rPr>
        <w:t>. So long as Executive remains in the employ of the Company, Executive shall be entitled to receive additional annual equity incentive compensation in accordance with the Company’s customary practices under the 2011 Plan, which will include equity incentive compensation intended to compensate Executive for the forfeiture of stock options and restricted stock in Executive’s previous employer.</w:t>
      </w:r>
    </w:p>
    <w:p>
      <w:pPr>
        <w:spacing w:after="0" w:line="213"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8, 9, 10, 11, and 12,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7(a)(iv);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7(a)(i);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7(a)(ii). The Company reserves the right to terminate the Executive at any time, subject to the Company's obligation to pay the Executive compensation as otherwise provided for herein; or</w:t>
      </w:r>
    </w:p>
    <w:p>
      <w:pPr>
        <w:spacing w:after="0" w:line="208" w:lineRule="exact"/>
        <w:rPr>
          <w:rFonts w:ascii="Arial" w:cs="Arial" w:eastAsia="Arial" w:hAnsi="Arial"/>
          <w:sz w:val="18"/>
          <w:szCs w:val="18"/>
          <w:color w:val="auto"/>
        </w:rPr>
      </w:pPr>
    </w:p>
    <w:p>
      <w:pPr>
        <w:ind w:left="869" w:hanging="285"/>
        <w:spacing w:after="0" w:line="277" w:lineRule="auto"/>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7(a)(iii) and as provided in Paragraph 7(d)(i);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7(a)(v).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396"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8" w:name="page9"/>
    <w:bookmarkEnd w:id="8"/>
    <w:p>
      <w:pPr>
        <w:jc w:val="both"/>
        <w:ind w:left="760" w:hanging="267"/>
        <w:spacing w:after="0" w:line="25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24" w:lineRule="exact"/>
        <w:rPr>
          <w:rFonts w:ascii="Arial" w:cs="Arial" w:eastAsia="Arial" w:hAnsi="Arial"/>
          <w:sz w:val="18"/>
          <w:szCs w:val="18"/>
          <w:color w:val="auto"/>
        </w:rPr>
      </w:pPr>
    </w:p>
    <w:p>
      <w:pPr>
        <w:ind w:left="760" w:hanging="317"/>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1400" w:hanging="647"/>
        <w:spacing w:after="0" w:line="259"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13"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197" w:lineRule="exact"/>
        <w:rPr>
          <w:rFonts w:ascii="Arial" w:cs="Arial" w:eastAsia="Arial" w:hAnsi="Arial"/>
          <w:sz w:val="18"/>
          <w:szCs w:val="18"/>
          <w:color w:val="auto"/>
        </w:rPr>
      </w:pPr>
    </w:p>
    <w:p>
      <w:pPr>
        <w:ind w:left="760" w:hanging="367"/>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jc w:val="both"/>
        <w:ind w:left="1400" w:hanging="339"/>
        <w:spacing w:after="0" w:line="272" w:lineRule="auto"/>
        <w:tabs>
          <w:tab w:leader="none" w:pos="1400" w:val="left"/>
        </w:tabs>
        <w:numPr>
          <w:ilvl w:val="2"/>
          <w:numId w:val="9"/>
        </w:numPr>
        <w:rPr>
          <w:rFonts w:ascii="Arial" w:cs="Arial" w:eastAsia="Arial" w:hAnsi="Arial"/>
          <w:sz w:val="17"/>
          <w:szCs w:val="17"/>
          <w:color w:val="auto"/>
        </w:rPr>
      </w:pPr>
      <w:r>
        <w:rPr>
          <w:rFonts w:ascii="Arial" w:cs="Arial" w:eastAsia="Arial" w:hAnsi="Arial"/>
          <w:sz w:val="17"/>
          <w:szCs w:val="17"/>
          <w:color w:val="auto"/>
        </w:rPr>
        <w:t>A person, corporation, entity or group (1) makes a tender or exchange offer for the issued and outstanding voting stock of the Company's parent, NN, Inc., ("NN") and beneficially owns fifty percent (50%) or more of the issued and outstanding voting stock of NN after such tender or exchange offer, or (2) acquires,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9" w:name="page10"/>
    <w:bookmarkEnd w:id="9"/>
    <w:p>
      <w:pPr>
        <w:jc w:val="both"/>
        <w:ind w:left="1400" w:hanging="329"/>
        <w:spacing w:after="0" w:line="286" w:lineRule="auto"/>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92" w:lineRule="exact"/>
        <w:rPr>
          <w:rFonts w:ascii="Arial" w:cs="Arial" w:eastAsia="Arial" w:hAnsi="Arial"/>
          <w:sz w:val="17"/>
          <w:szCs w:val="17"/>
          <w:color w:val="auto"/>
        </w:rPr>
      </w:pPr>
    </w:p>
    <w:p>
      <w:pPr>
        <w:ind w:left="1400" w:hanging="329"/>
        <w:spacing w:after="0" w:line="277"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197" w:lineRule="exact"/>
        <w:rPr>
          <w:sz w:val="20"/>
          <w:szCs w:val="20"/>
          <w:color w:val="auto"/>
        </w:rPr>
      </w:pPr>
    </w:p>
    <w:p>
      <w:pPr>
        <w:jc w:val="both"/>
        <w:ind w:left="200" w:hanging="269"/>
        <w:spacing w:after="0" w:line="273" w:lineRule="auto"/>
        <w:rPr>
          <w:sz w:val="20"/>
          <w:szCs w:val="20"/>
          <w:color w:val="auto"/>
        </w:rPr>
      </w:pPr>
      <w:r>
        <w:rPr>
          <w:rFonts w:ascii="Arial" w:cs="Arial" w:eastAsia="Arial" w:hAnsi="Arial"/>
          <w:sz w:val="17"/>
          <w:szCs w:val="17"/>
          <w:color w:val="auto"/>
        </w:rPr>
        <w:t>(D)Individuals who, as of the date hereof, constitute the Board (the "Incumbent Board") cease for any reason to constitute at least seventy-five percent (75%) of the Board of Directors of NN;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52" w:lineRule="exact"/>
        <w:rPr>
          <w:sz w:val="20"/>
          <w:szCs w:val="20"/>
          <w:color w:val="auto"/>
        </w:rPr>
      </w:pPr>
    </w:p>
    <w:p>
      <w:pPr>
        <w:jc w:val="both"/>
        <w:ind w:left="760" w:hanging="357"/>
        <w:spacing w:after="0" w:line="270"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204" w:lineRule="exact"/>
        <w:rPr>
          <w:rFonts w:ascii="Arial" w:cs="Arial" w:eastAsia="Arial" w:hAnsi="Arial"/>
          <w:sz w:val="17"/>
          <w:szCs w:val="17"/>
          <w:color w:val="auto"/>
        </w:rPr>
      </w:pPr>
    </w:p>
    <w:p>
      <w:pPr>
        <w:jc w:val="both"/>
        <w:ind w:left="760" w:hanging="307"/>
        <w:spacing w:after="0" w:line="276"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344"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0" w:name="page11"/>
    <w:bookmarkEnd w:id="10"/>
    <w:p>
      <w:pPr>
        <w:jc w:val="both"/>
        <w:ind w:left="840" w:hanging="357"/>
        <w:spacing w:after="0" w:line="25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“Separation From Service” shall mean the termination of the Executive's employment with the Company for reasons other than death or Disability. Whether a Separation from Service takes place is determined based on the facts and circumstances surrounding the termination of the Employee’s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215" w:lineRule="exact"/>
        <w:rPr>
          <w:rFonts w:ascii="Arial" w:cs="Arial" w:eastAsia="Arial" w:hAnsi="Arial"/>
          <w:sz w:val="18"/>
          <w:szCs w:val="18"/>
          <w:color w:val="auto"/>
        </w:rPr>
      </w:pPr>
    </w:p>
    <w:p>
      <w:pPr>
        <w:jc w:val="both"/>
        <w:ind w:left="1480" w:hanging="339"/>
        <w:spacing w:after="0" w:line="25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15" w:lineRule="exact"/>
        <w:rPr>
          <w:rFonts w:ascii="Arial" w:cs="Arial" w:eastAsia="Arial" w:hAnsi="Arial"/>
          <w:sz w:val="18"/>
          <w:szCs w:val="18"/>
          <w:color w:val="auto"/>
        </w:rPr>
      </w:pPr>
    </w:p>
    <w:p>
      <w:pPr>
        <w:jc w:val="both"/>
        <w:ind w:left="1480" w:hanging="329"/>
        <w:spacing w:after="0" w:line="276" w:lineRule="auto"/>
        <w:tabs>
          <w:tab w:leader="none" w:pos="1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200" w:lineRule="exact"/>
        <w:rPr>
          <w:sz w:val="20"/>
          <w:szCs w:val="20"/>
          <w:color w:val="auto"/>
        </w:rPr>
      </w:pPr>
    </w:p>
    <w:p>
      <w:pPr>
        <w:ind w:hanging="323"/>
        <w:spacing w:after="0" w:line="277" w:lineRule="auto"/>
        <w:rPr>
          <w:sz w:val="20"/>
          <w:szCs w:val="20"/>
          <w:color w:val="auto"/>
        </w:rPr>
      </w:pPr>
      <w:r>
        <w:rPr>
          <w:rFonts w:ascii="Arial" w:cs="Arial" w:eastAsia="Arial" w:hAnsi="Arial"/>
          <w:sz w:val="18"/>
          <w:szCs w:val="18"/>
          <w:color w:val="auto"/>
        </w:rPr>
        <w:t>(vii)The term “Specified Employee” shall mean a key employee (as defined in Section 416(i) of the Code without regard to paragraph 5 thereof) of the Company if any stock of the Company is publicly traded on an established securities market or otherwise.</w:t>
      </w:r>
    </w:p>
    <w:p>
      <w:pPr>
        <w:spacing w:after="0" w:line="3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1360" w:top="274" w:right="239" w:bottom="1440" w:gutter="0" w:footer="0" w:header="0"/>
        </w:sectPr>
      </w:pPr>
    </w:p>
    <w:bookmarkStart w:id="11" w:name="page12"/>
    <w:bookmarkEnd w:id="11"/>
    <w:p>
      <w:pPr>
        <w:jc w:val="both"/>
        <w:ind w:left="295" w:hanging="295"/>
        <w:spacing w:after="0" w:line="268"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In Control</w:t>
      </w:r>
      <w:r>
        <w:rPr>
          <w:rFonts w:ascii="Arial" w:cs="Arial" w:eastAsia="Arial" w:hAnsi="Arial"/>
          <w:sz w:val="17"/>
          <w:szCs w:val="17"/>
          <w:color w:val="auto"/>
        </w:rPr>
        <w:t>. In the event Executive incurs a termination of employment by action of the Company without Cause prior to a Change in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if employed twelve (12) years or less, Executive shall be entitled to receive an amount equal to one year of his Annual Salary in effect on the date of termination of his employment which occurs in connection with the Separation From Service, payable (except as provided in Paragraph 7(e)) in accordance with the Company's regular payroll procedures over the 12-month period following the Executive's Separation From Service. For each full year of service Executive has completed over twelve (12) years of service, Executive shall additionally receive an amount equal to one month of such Annual Salary paid as indicated above, up to a maximum additional six (6) months if employed for eighteen (18) years or more. (2) Any vested rights of Executive shall be paid to Executive in accordance with the Company's plans, programs or policies. (3) The “target” (as set forth in the NEIP) bonus available to the Executive for the year in which the termination under this Paragraph 7(b) occurs, pro-rated for the portion of the year during which the Executive was employed by the Company. (4) The Company shall promptly reimburse Executive for any and all reimbursable business expenses (to the extent not already reimbursed) upon Executive's properly accounting for the same. (5) The Company shall pay to Executive an additional amount of $12,000 payable in installments in accordance with the Company's normal payroll practices to assist with the Executive's transition from employment.</w:t>
      </w:r>
    </w:p>
    <w:p>
      <w:pPr>
        <w:spacing w:after="0" w:line="207" w:lineRule="exact"/>
        <w:rPr>
          <w:rFonts w:ascii="Arial" w:cs="Arial" w:eastAsia="Arial" w:hAnsi="Arial"/>
          <w:sz w:val="17"/>
          <w:szCs w:val="17"/>
          <w:color w:val="auto"/>
        </w:rPr>
      </w:pPr>
    </w:p>
    <w:p>
      <w:pPr>
        <w:jc w:val="both"/>
        <w:ind w:left="295" w:hanging="285"/>
        <w:spacing w:after="0" w:line="259"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in Control</w:t>
      </w:r>
    </w:p>
    <w:p>
      <w:pPr>
        <w:spacing w:after="0" w:line="396" w:lineRule="exact"/>
        <w:rPr>
          <w:sz w:val="20"/>
          <w:szCs w:val="20"/>
          <w:color w:val="auto"/>
        </w:rPr>
      </w:pPr>
    </w:p>
    <w:p>
      <w:pPr>
        <w:ind w:left="4675"/>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274" w:right="239" w:bottom="1440" w:gutter="0" w:footer="0" w:header="0"/>
        </w:sectPr>
      </w:pPr>
    </w:p>
    <w:bookmarkStart w:id="12" w:name="page13"/>
    <w:bookmarkEnd w:id="12"/>
    <w:p>
      <w:pPr>
        <w:jc w:val="both"/>
        <w:ind w:left="1300" w:hanging="655"/>
        <w:spacing w:after="0" w:line="30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in Control" (as defined in Paragraph 7(a)(iii))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940" w:hanging="647"/>
        <w:spacing w:after="0" w:line="259" w:lineRule="auto"/>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7(e) with respect to payments to Specified Employees;</w:t>
      </w:r>
    </w:p>
    <w:p>
      <w:pPr>
        <w:spacing w:after="0" w:line="213" w:lineRule="exact"/>
        <w:rPr>
          <w:rFonts w:ascii="Arial" w:cs="Arial" w:eastAsia="Arial" w:hAnsi="Arial"/>
          <w:sz w:val="18"/>
          <w:szCs w:val="18"/>
          <w:color w:val="auto"/>
        </w:rPr>
      </w:pPr>
    </w:p>
    <w:p>
      <w:pPr>
        <w:jc w:val="both"/>
        <w:ind w:left="1940" w:hanging="647"/>
        <w:spacing w:after="0" w:line="257" w:lineRule="auto"/>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payment equal to the target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7(e); and</w:t>
      </w:r>
    </w:p>
    <w:p>
      <w:pPr>
        <w:spacing w:after="0" w:line="215" w:lineRule="exact"/>
        <w:rPr>
          <w:rFonts w:ascii="Arial" w:cs="Arial" w:eastAsia="Arial" w:hAnsi="Arial"/>
          <w:sz w:val="18"/>
          <w:szCs w:val="18"/>
          <w:color w:val="auto"/>
        </w:rPr>
      </w:pPr>
    </w:p>
    <w:p>
      <w:pPr>
        <w:ind w:left="1940" w:hanging="647"/>
        <w:spacing w:after="0"/>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additional lump sum amount of $12,000 to assist with the Executive's transition from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firstLine="645"/>
        <w:spacing w:after="0" w:line="257" w:lineRule="auto"/>
        <w:tabs>
          <w:tab w:leader="none" w:pos="14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7(d), "Without Cause" shall mean termination of Executive by the Company for reasons other than: (i) the willful, persistent failure of Executive (after ten (10) days written notice and a reasonable opportunity to cure)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firstLine="645"/>
        <w:spacing w:after="0" w:line="293" w:lineRule="auto"/>
        <w:tabs>
          <w:tab w:leader="none" w:pos="141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7(d)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274" w:right="239" w:bottom="1440" w:gutter="0" w:footer="0" w:header="0"/>
        </w:sectPr>
      </w:pPr>
    </w:p>
    <w:bookmarkStart w:id="13" w:name="page14"/>
    <w:bookmarkEnd w:id="13"/>
    <w:p>
      <w:pPr>
        <w:jc w:val="both"/>
        <w:ind w:left="-540" w:firstLine="645"/>
        <w:spacing w:after="0" w:line="264"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7(d) shall be reduced by any severance benefits to which Executive is entitled under the Company's severance policies for terminated employees generally or any termination payments otherwise payable under this Agreement.</w:t>
      </w:r>
    </w:p>
    <w:p>
      <w:pPr>
        <w:spacing w:after="0" w:line="208" w:lineRule="exact"/>
        <w:rPr>
          <w:rFonts w:ascii="Arial" w:cs="Arial" w:eastAsia="Arial" w:hAnsi="Arial"/>
          <w:sz w:val="18"/>
          <w:szCs w:val="18"/>
          <w:color w:val="auto"/>
        </w:rPr>
      </w:pPr>
    </w:p>
    <w:p>
      <w:pPr>
        <w:ind w:left="800" w:hanging="69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400" w:hanging="647"/>
        <w:spacing w:after="0" w:line="269" w:lineRule="auto"/>
        <w:tabs>
          <w:tab w:leader="none" w:pos="14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in no event shall a Severance Benefit payable pursuant to this Paragraph 7(d)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9" w:lineRule="exact"/>
        <w:rPr>
          <w:rFonts w:ascii="Arial" w:cs="Arial" w:eastAsia="Arial" w:hAnsi="Arial"/>
          <w:sz w:val="17"/>
          <w:szCs w:val="17"/>
          <w:color w:val="auto"/>
        </w:rPr>
      </w:pPr>
    </w:p>
    <w:p>
      <w:pPr>
        <w:jc w:val="both"/>
        <w:ind w:left="1400" w:hanging="647"/>
        <w:spacing w:after="0" w:line="291" w:lineRule="auto"/>
        <w:tabs>
          <w:tab w:leader="none" w:pos="14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33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4" w:name="page15"/>
    <w:bookmarkEnd w:id="14"/>
    <w:p>
      <w:pPr>
        <w:ind w:left="2040" w:hanging="639"/>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040" w:hanging="639"/>
        <w:spacing w:after="0" w:line="264" w:lineRule="auto"/>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Arial" w:cs="Arial" w:eastAsia="Arial" w:hAnsi="Arial"/>
          <w:sz w:val="18"/>
          <w:szCs w:val="18"/>
          <w:color w:val="auto"/>
        </w:rPr>
      </w:pPr>
    </w:p>
    <w:p>
      <w:pPr>
        <w:ind w:left="2040" w:hanging="639"/>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040" w:hanging="639"/>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252" w:lineRule="exact"/>
        <w:rPr>
          <w:sz w:val="20"/>
          <w:szCs w:val="20"/>
          <w:color w:val="auto"/>
        </w:rPr>
      </w:pPr>
    </w:p>
    <w:p>
      <w:pPr>
        <w:jc w:val="both"/>
        <w:ind w:left="760"/>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9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5" w:name="page16"/>
    <w:bookmarkEnd w:id="15"/>
    <w:p>
      <w:pPr>
        <w:jc w:val="both"/>
        <w:ind w:left="869" w:hanging="285"/>
        <w:spacing w:after="0" w:line="273" w:lineRule="auto"/>
        <w:tabs>
          <w:tab w:leader="none" w:pos="869" w:val="left"/>
        </w:tabs>
        <w:numPr>
          <w:ilvl w:val="2"/>
          <w:numId w:val="18"/>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5" w:lineRule="exact"/>
        <w:rPr>
          <w:rFonts w:ascii="Arial" w:cs="Arial" w:eastAsia="Arial" w:hAnsi="Arial"/>
          <w:sz w:val="17"/>
          <w:szCs w:val="17"/>
          <w:color w:val="auto"/>
        </w:rPr>
      </w:pPr>
    </w:p>
    <w:p>
      <w:pPr>
        <w:jc w:val="both"/>
        <w:ind w:left="869" w:hanging="265"/>
        <w:spacing w:after="0" w:line="264" w:lineRule="auto"/>
        <w:tabs>
          <w:tab w:leader="none" w:pos="869"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08" w:lineRule="exact"/>
        <w:rPr>
          <w:rFonts w:ascii="Arial" w:cs="Arial" w:eastAsia="Arial" w:hAnsi="Arial"/>
          <w:sz w:val="18"/>
          <w:szCs w:val="18"/>
          <w:color w:val="auto"/>
        </w:rPr>
      </w:pPr>
    </w:p>
    <w:p>
      <w:pPr>
        <w:jc w:val="both"/>
        <w:ind w:left="869" w:hanging="644"/>
        <w:spacing w:after="0" w:line="302" w:lineRule="auto"/>
        <w:tabs>
          <w:tab w:leader="none" w:pos="869"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Limit on Company Liability</w:t>
      </w:r>
      <w:r>
        <w:rPr>
          <w:rFonts w:ascii="Arial" w:cs="Arial" w:eastAsia="Arial" w:hAnsi="Arial"/>
          <w:sz w:val="16"/>
          <w:szCs w:val="16"/>
          <w:color w:val="auto"/>
        </w:rPr>
        <w:t>. Except as expressly set forth in this Paragraph 7,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7.</w:t>
      </w:r>
    </w:p>
    <w:p>
      <w:pPr>
        <w:spacing w:after="0" w:line="181" w:lineRule="exact"/>
        <w:rPr>
          <w:rFonts w:ascii="Arial" w:cs="Arial" w:eastAsia="Arial" w:hAnsi="Arial"/>
          <w:sz w:val="16"/>
          <w:szCs w:val="16"/>
          <w:color w:val="auto"/>
        </w:rPr>
      </w:pPr>
    </w:p>
    <w:p>
      <w:pPr>
        <w:jc w:val="both"/>
        <w:ind w:left="229" w:hanging="229"/>
        <w:spacing w:after="0" w:line="287" w:lineRule="auto"/>
        <w:tabs>
          <w:tab w:leader="none" w:pos="22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340" w:lineRule="exact"/>
        <w:rPr>
          <w:sz w:val="20"/>
          <w:szCs w:val="20"/>
          <w:color w:val="auto"/>
        </w:rPr>
      </w:pPr>
    </w:p>
    <w:p>
      <w:pPr>
        <w:jc w:val="center"/>
        <w:ind w:right="411"/>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16" w:name="page17"/>
    <w:bookmarkEnd w:id="16"/>
    <w:p>
      <w:pPr>
        <w:jc w:val="both"/>
        <w:ind w:left="320" w:hanging="229"/>
        <w:spacing w:after="0" w:line="302"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181" w:lineRule="exact"/>
        <w:rPr>
          <w:rFonts w:ascii="Arial" w:cs="Arial" w:eastAsia="Arial" w:hAnsi="Arial"/>
          <w:sz w:val="16"/>
          <w:szCs w:val="16"/>
          <w:color w:val="auto"/>
        </w:rPr>
      </w:pPr>
    </w:p>
    <w:p>
      <w:pPr>
        <w:jc w:val="both"/>
        <w:ind w:left="320" w:hanging="319"/>
        <w:spacing w:after="0" w:line="269"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9" w:lineRule="exact"/>
        <w:rPr>
          <w:rFonts w:ascii="Arial" w:cs="Arial" w:eastAsia="Arial" w:hAnsi="Arial"/>
          <w:sz w:val="17"/>
          <w:szCs w:val="17"/>
          <w:color w:val="auto"/>
        </w:rPr>
      </w:pPr>
    </w:p>
    <w:p>
      <w:pPr>
        <w:jc w:val="both"/>
        <w:ind w:left="320" w:hanging="312"/>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9"/>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358"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7" w:name="page18"/>
    <w:bookmarkEnd w:id="17"/>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12(a) hereof which are in his possession, custody or control, whether prepared by him or others, and the Executive agrees that he shall not retain any of same.</w:t>
      </w:r>
    </w:p>
    <w:p>
      <w:pPr>
        <w:spacing w:after="0" w:line="208" w:lineRule="exact"/>
        <w:rPr>
          <w:rFonts w:ascii="Arial" w:cs="Arial" w:eastAsia="Arial" w:hAnsi="Arial"/>
          <w:sz w:val="18"/>
          <w:szCs w:val="18"/>
          <w:color w:val="auto"/>
        </w:rPr>
      </w:pPr>
    </w:p>
    <w:p>
      <w:pPr>
        <w:jc w:val="both"/>
        <w:ind w:left="660" w:hanging="319"/>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 This Agreement is subject to the conduct of reference and background checks on Executive to the Company’s satisfaction.</w:t>
      </w:r>
    </w:p>
    <w:p>
      <w:pPr>
        <w:spacing w:after="0" w:line="213" w:lineRule="exact"/>
        <w:rPr>
          <w:rFonts w:ascii="Arial" w:cs="Arial" w:eastAsia="Arial" w:hAnsi="Arial"/>
          <w:sz w:val="18"/>
          <w:szCs w:val="18"/>
          <w:color w:val="auto"/>
        </w:rPr>
      </w:pPr>
    </w:p>
    <w:p>
      <w:pPr>
        <w:jc w:val="both"/>
        <w:ind w:left="660" w:hanging="319"/>
        <w:spacing w:after="0" w:line="30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1" w:lineRule="exact"/>
        <w:rPr>
          <w:rFonts w:ascii="Arial" w:cs="Arial" w:eastAsia="Arial" w:hAnsi="Arial"/>
          <w:sz w:val="16"/>
          <w:szCs w:val="16"/>
          <w:color w:val="auto"/>
        </w:rPr>
      </w:pPr>
    </w:p>
    <w:p>
      <w:pPr>
        <w:jc w:val="both"/>
        <w:ind w:left="660" w:hanging="319"/>
        <w:spacing w:after="0" w:line="30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ectPr>
          <w:pgSz w:w="11900" w:h="16838" w:orient="portrait"/>
          <w:cols w:equalWidth="0" w:num="2">
            <w:col w:w="3480" w:space="720"/>
            <w:col w:w="7220"/>
          </w:cols>
          <w:pgMar w:left="240" w:top="27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200" w:lineRule="exact"/>
        <w:rPr>
          <w:sz w:val="20"/>
          <w:szCs w:val="20"/>
          <w:color w:val="auto"/>
        </w:rPr>
      </w:pPr>
    </w:p>
    <w:p>
      <w:pPr>
        <w:sectPr>
          <w:pgSz w:w="11900" w:h="16838" w:orient="portrait"/>
          <w:cols w:equalWidth="0" w:num="2">
            <w:col w:w="3480" w:space="720"/>
            <w:col w:w="722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8" w:name="page19"/>
    <w:bookmarkEnd w:id="18"/>
    <w:p>
      <w:pPr>
        <w:jc w:val="both"/>
        <w:ind w:left="320" w:hanging="319"/>
        <w:spacing w:after="0" w:line="272"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4" w:lineRule="exact"/>
        <w:rPr>
          <w:rFonts w:ascii="Arial" w:cs="Arial" w:eastAsia="Arial" w:hAnsi="Arial"/>
          <w:sz w:val="17"/>
          <w:szCs w:val="17"/>
          <w:color w:val="auto"/>
        </w:rPr>
      </w:pPr>
    </w:p>
    <w:p>
      <w:pPr>
        <w:jc w:val="both"/>
        <w:ind w:left="320"/>
        <w:spacing w:after="0" w:line="279" w:lineRule="auto"/>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98" w:lineRule="exact"/>
        <w:rPr>
          <w:rFonts w:ascii="Arial" w:cs="Arial" w:eastAsia="Arial" w:hAnsi="Arial"/>
          <w:sz w:val="17"/>
          <w:szCs w:val="17"/>
          <w:color w:val="auto"/>
        </w:rPr>
      </w:pPr>
    </w:p>
    <w:p>
      <w:pPr>
        <w:jc w:val="both"/>
        <w:ind w:left="320" w:hanging="319"/>
        <w:spacing w:after="0" w:line="271"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and as necessary under any provision of the Internal Revenue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8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w:t>
      </w:r>
    </w:p>
    <w:p>
      <w:pPr>
        <w:spacing w:after="0" w:line="192" w:lineRule="exact"/>
        <w:rPr>
          <w:rFonts w:ascii="Arial" w:cs="Arial" w:eastAsia="Arial" w:hAnsi="Arial"/>
          <w:sz w:val="17"/>
          <w:szCs w:val="17"/>
          <w:color w:val="auto"/>
        </w:rPr>
      </w:pPr>
    </w:p>
    <w:p>
      <w:pPr>
        <w:ind w:left="320" w:hanging="319"/>
        <w:spacing w:after="0" w:line="277"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32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9" w:name="page20"/>
    <w:bookmarkEnd w:id="19"/>
    <w:p>
      <w:pPr>
        <w:ind w:left="320" w:hanging="319"/>
        <w:spacing w:after="0" w:line="277"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197" w:lineRule="exact"/>
        <w:rPr>
          <w:rFonts w:ascii="Arial" w:cs="Arial" w:eastAsia="Arial" w:hAnsi="Arial"/>
          <w:sz w:val="18"/>
          <w:szCs w:val="18"/>
          <w:color w:val="auto"/>
        </w:rPr>
      </w:pPr>
    </w:p>
    <w:p>
      <w:pPr>
        <w:jc w:val="both"/>
        <w:ind w:left="320" w:hanging="319"/>
        <w:spacing w:after="0" w:line="28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Compliance with Internal Revenue Code and Section 409A</w:t>
      </w:r>
      <w:r>
        <w:rPr>
          <w:rFonts w:ascii="Arial" w:cs="Arial" w:eastAsia="Arial" w:hAnsi="Arial"/>
          <w:sz w:val="17"/>
          <w:szCs w:val="17"/>
          <w:color w:val="auto"/>
        </w:rPr>
        <w:t>. This Agreement shall at all times be administered and the provisions of this Agreement shall be interpreted consistent with the requirements of the Internal Revenue Code, including but not limited to Section 409A of the Code, and any and all regulations thereunder, including such regulations as may be promulgated after the effective date of this Agreement.</w:t>
      </w:r>
    </w:p>
    <w:p>
      <w:pPr>
        <w:spacing w:after="0" w:line="192" w:lineRule="exact"/>
        <w:rPr>
          <w:rFonts w:ascii="Arial" w:cs="Arial" w:eastAsia="Arial" w:hAnsi="Arial"/>
          <w:sz w:val="17"/>
          <w:szCs w:val="17"/>
          <w:color w:val="auto"/>
        </w:rPr>
      </w:pPr>
    </w:p>
    <w:p>
      <w:pPr>
        <w:jc w:val="both"/>
        <w:ind w:left="320" w:hanging="319"/>
        <w:spacing w:after="0" w:line="259"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8, 9, 10, or 12,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320" w:hanging="319"/>
        <w:spacing w:after="0" w:line="27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320" w:hanging="319"/>
        <w:spacing w:after="0" w:line="308"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320" w:hanging="319"/>
        <w:spacing w:after="0" w:line="277"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200" w:lineRule="exact"/>
        <w:rPr>
          <w:sz w:val="20"/>
          <w:szCs w:val="20"/>
          <w:color w:val="auto"/>
        </w:rPr>
      </w:pPr>
    </w:p>
    <w:p>
      <w:pPr>
        <w:spacing w:after="0" w:line="23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262255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NN, Inc.</w:t>
      </w:r>
    </w:p>
    <w:p>
      <w:pPr>
        <w:spacing w:after="0" w:line="317" w:lineRule="exact"/>
        <w:rPr>
          <w:sz w:val="20"/>
          <w:szCs w:val="20"/>
          <w:color w:val="auto"/>
        </w:rPr>
      </w:pPr>
    </w:p>
    <w:p>
      <w:pPr>
        <w:ind w:left="2620"/>
        <w:spacing w:after="0"/>
        <w:rPr>
          <w:sz w:val="20"/>
          <w:szCs w:val="20"/>
          <w:color w:val="auto"/>
        </w:rPr>
      </w:pPr>
      <w:r>
        <w:rPr>
          <w:rFonts w:ascii="Arial" w:cs="Arial" w:eastAsia="Arial" w:hAnsi="Arial"/>
          <w:sz w:val="36"/>
          <w:szCs w:val="36"/>
          <w:color w:val="auto"/>
          <w:vertAlign w:val="subscript"/>
        </w:rPr>
        <w:t>By:</w:t>
      </w:r>
      <w:r>
        <w:rPr>
          <w:rFonts w:ascii="Arial" w:cs="Arial" w:eastAsia="Arial" w:hAnsi="Arial"/>
          <w:sz w:val="18"/>
          <w:szCs w:val="18"/>
          <w:color w:val="auto"/>
        </w:rPr>
        <w:t>/s/ William C.</w:t>
      </w:r>
    </w:p>
    <w:p>
      <w:pPr>
        <w:ind w:left="2880"/>
        <w:spacing w:after="0"/>
        <w:rPr>
          <w:sz w:val="20"/>
          <w:szCs w:val="20"/>
          <w:color w:val="auto"/>
        </w:rPr>
      </w:pPr>
      <w:r>
        <w:rPr>
          <w:rFonts w:ascii="Arial" w:cs="Arial" w:eastAsia="Arial" w:hAnsi="Arial"/>
          <w:sz w:val="18"/>
          <w:szCs w:val="18"/>
          <w:color w:val="auto"/>
        </w:rPr>
        <w:t>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4445</wp:posOffset>
            </wp:positionV>
            <wp:extent cx="866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William C. Kelly, Jr., Vice President &amp;</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EXECUTIVE:</w:t>
      </w:r>
    </w:p>
    <w:p>
      <w:pPr>
        <w:spacing w:after="0" w:line="317" w:lineRule="exact"/>
        <w:rPr>
          <w:sz w:val="20"/>
          <w:szCs w:val="20"/>
          <w:color w:val="auto"/>
        </w:rPr>
      </w:pPr>
    </w:p>
    <w:p>
      <w:pPr>
        <w:ind w:left="2620"/>
        <w:spacing w:after="0"/>
        <w:rPr>
          <w:sz w:val="20"/>
          <w:szCs w:val="20"/>
          <w:color w:val="auto"/>
        </w:rPr>
      </w:pPr>
      <w:r>
        <w:rPr>
          <w:rFonts w:ascii="Arial" w:cs="Arial" w:eastAsia="Arial" w:hAnsi="Arial"/>
          <w:sz w:val="36"/>
          <w:szCs w:val="36"/>
          <w:color w:val="auto"/>
          <w:vertAlign w:val="subscript"/>
        </w:rPr>
        <w:t>By:</w:t>
      </w:r>
      <w:r>
        <w:rPr>
          <w:rFonts w:ascii="Arial" w:cs="Arial" w:eastAsia="Arial" w:hAnsi="Arial"/>
          <w:sz w:val="18"/>
          <w:szCs w:val="18"/>
          <w:color w:val="auto"/>
        </w:rPr>
        <w:t>/s/ Richard D.</w:t>
      </w:r>
    </w:p>
    <w:p>
      <w:pPr>
        <w:ind w:left="288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4445</wp:posOffset>
            </wp:positionV>
            <wp:extent cx="866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Richard 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 w:name="page22"/>
    <w:bookmarkEnd w:id="21"/>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7(d)(i) shall be a lump sum payment equal to:</w:t>
      </w:r>
    </w:p>
    <w:p>
      <w:pPr>
        <w:spacing w:after="0" w:line="27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 times Executive's bonus available at the following bonus target percentage: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sectPr>
      <w:pgSz w:w="11900" w:h="16838" w:orient="portrait"/>
      <w:cols w:equalWidth="0" w:num="1">
        <w:col w:w="10219"/>
      </w:cols>
      <w:pgMar w:left="2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3"/>
    </w:lvl>
    <w:lvl w:ilvl="1">
      <w:lvlJc w:val="left"/>
      <w:lvlText w:val="(%2)"/>
      <w:numFmt w:val="lowerLetter"/>
      <w:start w:val="1"/>
    </w:lvl>
  </w:abstractNum>
  <w:abstractNum w:abstractNumId="3">
    <w:nsid w:val="1BEFD79F"/>
    <w:multiLevelType w:val="hybridMultilevel"/>
    <w:lvl w:ilvl="0">
      <w:lvlJc w:val="left"/>
      <w:lvlText w:val="(%1)"/>
      <w:numFmt w:val="lowerLetter"/>
      <w:start w:val="5"/>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decimal"/>
      <w:start w:val="1"/>
    </w:lvl>
    <w:lvl w:ilvl="1">
      <w:lvlJc w:val="left"/>
      <w:lvlText w:val="(%2)"/>
      <w:numFmt w:val="lowerLetter"/>
      <w:start w:val="3"/>
    </w:lvl>
  </w:abstractNum>
  <w:abstractNum w:abstractNumId="7">
    <w:nsid w:val="25E45D32"/>
    <w:multiLevelType w:val="hybridMultilevel"/>
    <w:lvl w:ilvl="0">
      <w:lvlJc w:val="left"/>
      <w:lvlText w:val="%1."/>
      <w:numFmt w:val="decimal"/>
      <w:start w:val="6"/>
    </w:lvl>
    <w:lvl w:ilvl="1">
      <w:lvlJc w:val="left"/>
      <w:lvlText w:val="(%2)"/>
      <w:numFmt w:val="lowerLetter"/>
      <w:start w:val="1"/>
    </w:lvl>
  </w:abstractNum>
  <w:abstractNum w:abstractNumId="8">
    <w:nsid w:val="519B500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9">
    <w:nsid w:val="431BD7B7"/>
    <w:multiLevelType w:val="hybridMultilevel"/>
    <w:lvl w:ilvl="0">
      <w:lvlJc w:val="left"/>
      <w:lvlText w:val="(%1)"/>
      <w:numFmt w:val="upperLetter"/>
      <w:start w:val="2"/>
    </w:lvl>
  </w:abstractNum>
  <w:abstractNum w:abstractNumId="10">
    <w:nsid w:val="3F2DBA31"/>
    <w:multiLevelType w:val="hybridMultilevel"/>
    <w:lvl w:ilvl="0">
      <w:lvlJc w:val="left"/>
      <w:lvlText w:val="(%1)"/>
      <w:numFmt w:val="lowerRoman"/>
      <w:start w:val="4"/>
    </w:lvl>
  </w:abstractNum>
  <w:abstractNum w:abstractNumId="11">
    <w:nsid w:val="7C83E458"/>
    <w:multiLevelType w:val="hybridMultilevel"/>
    <w:lvl w:ilvl="0">
      <w:lvlJc w:val="left"/>
      <w:lvlText w:val="(%1)"/>
      <w:numFmt w:val="lowerRoman"/>
      <w:start w:val="6"/>
    </w:lvl>
    <w:lvl w:ilvl="1">
      <w:lvlJc w:val="left"/>
      <w:lvlText w:val="(%2)"/>
      <w:numFmt w:val="upperLetter"/>
      <w:start w:val="1"/>
    </w:lvl>
  </w:abstractNum>
  <w:abstractNum w:abstractNumId="12">
    <w:nsid w:val="257130A3"/>
    <w:multiLevelType w:val="hybridMultilevel"/>
    <w:lvl w:ilvl="0">
      <w:lvlJc w:val="left"/>
      <w:lvlText w:val="(%1)"/>
      <w:numFmt w:val="lowerLetter"/>
      <w:start w:val="2"/>
    </w:lvl>
    <w:lvl w:ilvl="1">
      <w:lvlJc w:val="left"/>
      <w:lvlText w:val="(%2)"/>
      <w:numFmt w:val="decimal"/>
      <w:start w:val="1"/>
    </w:lvl>
  </w:abstractNum>
  <w:abstractNum w:abstractNumId="13">
    <w:nsid w:val="62BBD95A"/>
    <w:multiLevelType w:val="hybridMultilevel"/>
    <w:lvl w:ilvl="0">
      <w:lvlJc w:val="left"/>
      <w:lvlText w:val="(%1)"/>
      <w:numFmt w:val="lowerRoman"/>
      <w:start w:val="1"/>
    </w:lvl>
    <w:lvl w:ilvl="1">
      <w:lvlJc w:val="left"/>
      <w:lvlText w:val="(%2)"/>
      <w:numFmt w:val="upperLetter"/>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lowerRoman"/>
      <w:start w:val="4"/>
    </w:lvl>
    <w:lvl w:ilvl="1">
      <w:lvlJc w:val="left"/>
      <w:lvlText w:val="(%2)"/>
      <w:numFmt w:val="upp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8">
    <w:nsid w:val="2443A858"/>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9">
    <w:nsid w:val="2D1D5AE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0">
    <w:nsid w:val="6763845E"/>
    <w:multiLevelType w:val="hybridMultilevel"/>
    <w:lvl w:ilvl="0">
      <w:lvlJc w:val="left"/>
      <w:lvlText w:val="%1."/>
      <w:numFmt w:val="decimal"/>
      <w:start w:val="9"/>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3"/>
    </w:lvl>
  </w:abstractNum>
  <w:abstractNum w:abstractNumId="22">
    <w:nsid w:val="8EDBDAB"/>
    <w:multiLevelType w:val="hybridMultilevel"/>
    <w:lvl w:ilvl="0">
      <w:lvlJc w:val="left"/>
      <w:lvlText w:val="%1."/>
      <w:numFmt w:val="decimal"/>
      <w:start w:val="13"/>
    </w:lvl>
    <w:lvl w:ilvl="1">
      <w:lvlJc w:val="left"/>
      <w:lvlText w:val="%2"/>
      <w:numFmt w:val="lowerLetter"/>
      <w:start w:val="1"/>
    </w:lvl>
  </w:abstractNum>
  <w:abstractNum w:abstractNumId="23">
    <w:nsid w:val="79838CB2"/>
    <w:multiLevelType w:val="hybridMultilevel"/>
    <w:lvl w:ilvl="0">
      <w:lvlJc w:val="left"/>
      <w:lvlText w:val="%1."/>
      <w:numFmt w:val="decimal"/>
      <w:start w:val="17"/>
    </w:lvl>
  </w:abstractNum>
  <w:abstractNum w:abstractNumId="24">
    <w:nsid w:val="4353D0CD"/>
    <w:multiLevelType w:val="hybridMultilevel"/>
    <w:lvl w:ilvl="0">
      <w:lvlJc w:val="left"/>
      <w:lvlText w:val="%1."/>
      <w:numFmt w:val="decimal"/>
      <w:start w:val="22"/>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2019-12-06T11:25:51Z</dcterms:created>
  <dcterms:modified xsi:type="dcterms:W3CDTF">2019-12-06T11:25:51Z</dcterms:modified>
</cp:coreProperties>
</file>