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13d-102)</w:t>
      </w:r>
    </w:p>
    <w:p>
      <w:pPr>
        <w:spacing w:after="0" w:line="212" w:lineRule="exact"/>
        <w:rPr>
          <w:sz w:val="24"/>
          <w:szCs w:val="24"/>
          <w:color w:val="auto"/>
        </w:rPr>
      </w:pPr>
    </w:p>
    <w:p>
      <w:pPr>
        <w:jc w:val="center"/>
        <w:ind w:left="280" w:right="2060"/>
        <w:spacing w:after="0" w:line="243" w:lineRule="auto"/>
        <w:rPr>
          <w:sz w:val="20"/>
          <w:szCs w:val="20"/>
          <w:color w:val="auto"/>
        </w:rPr>
      </w:pPr>
      <w:r>
        <w:rPr>
          <w:rFonts w:ascii="Arial" w:cs="Arial" w:eastAsia="Arial" w:hAnsi="Arial"/>
          <w:sz w:val="22"/>
          <w:szCs w:val="22"/>
          <w:b w:val="1"/>
          <w:bCs w:val="1"/>
          <w:color w:val="auto"/>
        </w:rPr>
        <w:t>INFORMATION TO BE INCLUDED IN STATEMENTS FILED PURSUANT TO §240.13d-1(b), (c) AND (d) AND AMENDMENTS THERETO FILED PURSUANT TO §240.13d-2.</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2 )*</w:t>
      </w: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NN,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Common Stock, par value $0.01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629337106</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December 31, 2010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66" w:lineRule="exact"/>
        <w:rPr>
          <w:sz w:val="24"/>
          <w:szCs w:val="24"/>
          <w:color w:val="auto"/>
        </w:rPr>
      </w:pPr>
    </w:p>
    <w:p>
      <w:pPr>
        <w:ind w:left="740" w:hanging="327"/>
        <w:spacing w:after="0"/>
        <w:tabs>
          <w:tab w:leader="none" w:pos="740" w:val="left"/>
        </w:tabs>
        <w:numPr>
          <w:ilvl w:val="1"/>
          <w:numId w:val="1"/>
        </w:numPr>
        <w:rPr>
          <w:rFonts w:ascii="MS PGothic" w:cs="MS PGothic" w:eastAsia="MS PGothic" w:hAnsi="MS PGothic"/>
          <w:sz w:val="22"/>
          <w:szCs w:val="22"/>
          <w:color w:val="auto"/>
        </w:rPr>
      </w:pPr>
      <w:r>
        <w:rPr>
          <w:rFonts w:ascii="Arial" w:cs="Arial" w:eastAsia="Arial" w:hAnsi="Arial"/>
          <w:sz w:val="18"/>
          <w:szCs w:val="18"/>
          <w:color w:val="auto"/>
        </w:rPr>
        <w:t>Rule 13d-1(b)</w:t>
      </w:r>
    </w:p>
    <w:p>
      <w:pPr>
        <w:spacing w:after="0" w:line="245" w:lineRule="exact"/>
        <w:rPr>
          <w:rFonts w:ascii="MS PGothic" w:cs="MS PGothic" w:eastAsia="MS PGothic" w:hAnsi="MS PGothic"/>
          <w:sz w:val="22"/>
          <w:szCs w:val="22"/>
          <w:color w:val="auto"/>
        </w:rPr>
      </w:pPr>
    </w:p>
    <w:p>
      <w:pPr>
        <w:ind w:left="740" w:hanging="331"/>
        <w:spacing w:after="0"/>
        <w:tabs>
          <w:tab w:leader="none" w:pos="7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Rule 13d-1(c)</w:t>
      </w:r>
    </w:p>
    <w:p>
      <w:pPr>
        <w:spacing w:after="0" w:line="245" w:lineRule="exact"/>
        <w:rPr>
          <w:rFonts w:ascii="MS PGothic" w:cs="MS PGothic" w:eastAsia="MS PGothic" w:hAnsi="MS PGothic"/>
          <w:sz w:val="22"/>
          <w:szCs w:val="22"/>
          <w:color w:val="auto"/>
        </w:rPr>
      </w:pPr>
    </w:p>
    <w:p>
      <w:pPr>
        <w:ind w:left="740" w:hanging="331"/>
        <w:spacing w:after="0"/>
        <w:tabs>
          <w:tab w:leader="none" w:pos="740" w:val="left"/>
        </w:tabs>
        <w:numPr>
          <w:ilvl w:val="1"/>
          <w:numId w:val="1"/>
        </w:numPr>
        <w:rPr>
          <w:rFonts w:ascii="MS PGothic" w:cs="MS PGothic" w:eastAsia="MS PGothic" w:hAnsi="MS PGothic"/>
          <w:sz w:val="22"/>
          <w:szCs w:val="22"/>
          <w:color w:val="auto"/>
        </w:rPr>
      </w:pPr>
      <w:r>
        <w:rPr>
          <w:rFonts w:ascii="Arial" w:cs="Arial" w:eastAsia="Arial" w:hAnsi="Arial"/>
          <w:sz w:val="18"/>
          <w:szCs w:val="18"/>
          <w:color w:val="auto"/>
        </w:rPr>
        <w:t>Rule 13d-1(d)</w:t>
      </w:r>
    </w:p>
    <w:p>
      <w:pPr>
        <w:spacing w:after="0" w:line="205"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462915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48"/>
        </w:trPr>
        <w:tc>
          <w:tcPr>
            <w:tcW w:w="24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629337106</w:t>
            </w:r>
          </w:p>
        </w:tc>
        <w:tc>
          <w:tcPr>
            <w:tcW w:w="6600" w:type="dxa"/>
            <w:vAlign w:val="bottom"/>
            <w:tcBorders>
              <w:top w:val="single" w:sz="8" w:color="auto"/>
              <w:right w:val="single" w:sz="8" w:color="auto"/>
            </w:tcBorders>
          </w:tcPr>
          <w:p>
            <w:pPr>
              <w:ind w:left="3120"/>
              <w:spacing w:after="0"/>
              <w:rPr>
                <w:sz w:val="20"/>
                <w:szCs w:val="20"/>
                <w:color w:val="auto"/>
              </w:rPr>
            </w:pPr>
            <w:r>
              <w:rPr>
                <w:rFonts w:ascii="Arial" w:cs="Arial" w:eastAsia="Arial" w:hAnsi="Arial"/>
                <w:sz w:val="18"/>
                <w:szCs w:val="18"/>
                <w:b w:val="1"/>
                <w:bCs w:val="1"/>
                <w:color w:val="auto"/>
              </w:rPr>
              <w:t>13G</w:t>
            </w:r>
          </w:p>
        </w:tc>
        <w:tc>
          <w:tcPr>
            <w:tcW w:w="2380" w:type="dxa"/>
            <w:vAlign w:val="bottom"/>
            <w:tcBorders>
              <w:top w:val="single" w:sz="8" w:color="auto"/>
              <w:right w:val="single" w:sz="8" w:color="auto"/>
            </w:tcBorders>
          </w:tcPr>
          <w:p>
            <w:pPr>
              <w:ind w:left="960"/>
              <w:spacing w:after="0"/>
              <w:rPr>
                <w:sz w:val="20"/>
                <w:szCs w:val="20"/>
                <w:color w:val="auto"/>
              </w:rPr>
            </w:pPr>
            <w:r>
              <w:rPr>
                <w:rFonts w:ascii="Arial" w:cs="Arial" w:eastAsia="Arial" w:hAnsi="Arial"/>
                <w:sz w:val="18"/>
                <w:szCs w:val="18"/>
                <w:b w:val="1"/>
                <w:bCs w:val="1"/>
                <w:color w:val="auto"/>
                <w:w w:val="90"/>
              </w:rPr>
              <w:t>Page 2 of 8 pages</w:t>
            </w:r>
          </w:p>
        </w:tc>
      </w:tr>
      <w:tr>
        <w:trPr>
          <w:trHeight w:val="63"/>
        </w:trPr>
        <w:tc>
          <w:tcPr>
            <w:tcW w:w="2440" w:type="dxa"/>
            <w:vAlign w:val="bottom"/>
            <w:tcBorders>
              <w:left w:val="single" w:sz="8" w:color="auto"/>
              <w:bottom w:val="single" w:sz="8" w:color="auto"/>
              <w:right w:val="single" w:sz="8" w:color="auto"/>
            </w:tcBorders>
          </w:tcPr>
          <w:p>
            <w:pPr>
              <w:spacing w:after="0"/>
              <w:rPr>
                <w:sz w:val="5"/>
                <w:szCs w:val="5"/>
                <w:color w:val="auto"/>
              </w:rPr>
            </w:pPr>
          </w:p>
        </w:tc>
        <w:tc>
          <w:tcPr>
            <w:tcW w:w="660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w:t>
            </w:r>
          </w:p>
        </w:tc>
        <w:tc>
          <w:tcPr>
            <w:tcW w:w="72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Names of Reporting Persons</w:t>
            </w:r>
          </w:p>
        </w:tc>
        <w:tc>
          <w:tcPr>
            <w:tcW w:w="37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color w:val="auto"/>
              </w:rPr>
              <w:t>RBF CAPITAL, LLC</w:t>
            </w:r>
          </w:p>
        </w:tc>
        <w:tc>
          <w:tcPr>
            <w:tcW w:w="0" w:type="dxa"/>
            <w:vAlign w:val="bottom"/>
          </w:tcPr>
          <w:p>
            <w:pPr>
              <w:spacing w:after="0"/>
              <w:rPr>
                <w:sz w:val="1"/>
                <w:szCs w:val="1"/>
                <w:color w:val="auto"/>
              </w:rPr>
            </w:pPr>
          </w:p>
        </w:tc>
      </w:tr>
      <w:tr>
        <w:trPr>
          <w:trHeight w:val="215"/>
        </w:trPr>
        <w:tc>
          <w:tcPr>
            <w:tcW w:w="500" w:type="dxa"/>
            <w:vAlign w:val="bottom"/>
            <w:vMerge w:val="restart"/>
          </w:tcPr>
          <w:p>
            <w:pPr>
              <w:jc w:val="right"/>
              <w:ind w:right="90"/>
              <w:spacing w:after="0"/>
              <w:rPr>
                <w:sz w:val="20"/>
                <w:szCs w:val="20"/>
                <w:color w:val="auto"/>
              </w:rPr>
            </w:pPr>
            <w:r>
              <w:rPr>
                <w:rFonts w:ascii="Arial" w:cs="Arial" w:eastAsia="Arial" w:hAnsi="Arial"/>
                <w:sz w:val="18"/>
                <w:szCs w:val="18"/>
                <w:color w:val="auto"/>
              </w:rPr>
              <w:t>(2)</w:t>
            </w:r>
          </w:p>
        </w:tc>
        <w:tc>
          <w:tcPr>
            <w:tcW w:w="7200" w:type="dxa"/>
            <w:vAlign w:val="bottom"/>
            <w:vMerge w:val="restart"/>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3280" w:type="dxa"/>
            <w:vAlign w:val="bottom"/>
          </w:tcPr>
          <w:p>
            <w:pPr>
              <w:jc w:val="right"/>
              <w:ind w:right="30"/>
              <w:spacing w:after="0"/>
              <w:rPr>
                <w:sz w:val="20"/>
                <w:szCs w:val="20"/>
                <w:color w:val="auto"/>
              </w:rPr>
            </w:pPr>
            <w:r>
              <w:rPr>
                <w:rFonts w:ascii="Arial" w:cs="Arial" w:eastAsia="Arial" w:hAnsi="Arial"/>
                <w:sz w:val="18"/>
                <w:szCs w:val="18"/>
                <w:color w:val="auto"/>
              </w:rPr>
              <w:t>(a)</w:t>
            </w:r>
          </w:p>
        </w:tc>
        <w:tc>
          <w:tcPr>
            <w:tcW w:w="440" w:type="dxa"/>
            <w:vAlign w:val="bottom"/>
          </w:tcPr>
          <w:p>
            <w:pPr>
              <w:jc w:val="right"/>
              <w:ind w:right="112"/>
              <w:spacing w:after="0" w:line="216"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5"/>
        </w:trPr>
        <w:tc>
          <w:tcPr>
            <w:tcW w:w="500" w:type="dxa"/>
            <w:vAlign w:val="bottom"/>
            <w:tcBorders>
              <w:bottom w:val="single" w:sz="8" w:color="auto"/>
            </w:tcBorders>
            <w:vMerge w:val="continue"/>
          </w:tcPr>
          <w:p>
            <w:pPr>
              <w:spacing w:after="0"/>
              <w:rPr>
                <w:sz w:val="23"/>
                <w:szCs w:val="23"/>
                <w:color w:val="auto"/>
              </w:rPr>
            </w:pPr>
          </w:p>
        </w:tc>
        <w:tc>
          <w:tcPr>
            <w:tcW w:w="7200" w:type="dxa"/>
            <w:vAlign w:val="bottom"/>
            <w:tcBorders>
              <w:bottom w:val="single" w:sz="8" w:color="auto"/>
            </w:tcBorders>
            <w:vMerge w:val="continue"/>
          </w:tcPr>
          <w:p>
            <w:pPr>
              <w:spacing w:after="0"/>
              <w:rPr>
                <w:sz w:val="23"/>
                <w:szCs w:val="23"/>
                <w:color w:val="auto"/>
              </w:rPr>
            </w:pPr>
          </w:p>
        </w:tc>
        <w:tc>
          <w:tcPr>
            <w:tcW w:w="3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(b)</w:t>
            </w:r>
          </w:p>
        </w:tc>
        <w:tc>
          <w:tcPr>
            <w:tcW w:w="4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80" w:hanging="575"/>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w:t>
            </w:r>
          </w:p>
        </w:tc>
        <w:tc>
          <w:tcPr>
            <w:tcW w:w="836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color w:val="auto"/>
              </w:rPr>
              <w:t>Citizenship or Place of Organization</w:t>
            </w:r>
          </w:p>
        </w:tc>
        <w:tc>
          <w:tcPr>
            <w:tcW w:w="2620" w:type="dxa"/>
            <w:vAlign w:val="bottom"/>
            <w:tcBorders>
              <w:bottom w:val="single" w:sz="8" w:color="auto"/>
            </w:tcBorders>
          </w:tcPr>
          <w:p>
            <w:pPr>
              <w:jc w:val="right"/>
              <w:ind w:right="108"/>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40" w:type="dxa"/>
            <w:vAlign w:val="bottom"/>
          </w:tcPr>
          <w:p>
            <w:pPr>
              <w:spacing w:after="0"/>
              <w:rPr>
                <w:sz w:val="24"/>
                <w:szCs w:val="24"/>
                <w:color w:val="auto"/>
              </w:rPr>
            </w:pPr>
          </w:p>
        </w:tc>
        <w:tc>
          <w:tcPr>
            <w:tcW w:w="1980" w:type="dxa"/>
            <w:vAlign w:val="bottom"/>
          </w:tcPr>
          <w:p>
            <w:pPr>
              <w:jc w:val="center"/>
              <w:ind w:right="330"/>
              <w:spacing w:after="0"/>
              <w:rPr>
                <w:sz w:val="20"/>
                <w:szCs w:val="20"/>
                <w:color w:val="auto"/>
              </w:rPr>
            </w:pPr>
            <w:r>
              <w:rPr>
                <w:rFonts w:ascii="Arial" w:cs="Arial" w:eastAsia="Arial" w:hAnsi="Arial"/>
                <w:sz w:val="18"/>
                <w:szCs w:val="18"/>
                <w:color w:val="auto"/>
                <w:w w:val="96"/>
              </w:rPr>
              <w:t>NUMBER OF</w:t>
            </w:r>
          </w:p>
        </w:tc>
        <w:tc>
          <w:tcPr>
            <w:tcW w:w="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w:t>
            </w:r>
          </w:p>
        </w:tc>
        <w:tc>
          <w:tcPr>
            <w:tcW w:w="58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Sole Voting Power</w:t>
            </w:r>
          </w:p>
        </w:tc>
        <w:tc>
          <w:tcPr>
            <w:tcW w:w="2620" w:type="dxa"/>
            <w:vAlign w:val="bottom"/>
            <w:tcBorders>
              <w:bottom w:val="single" w:sz="8" w:color="auto"/>
            </w:tcBorders>
          </w:tcPr>
          <w:p>
            <w:pPr>
              <w:jc w:val="right"/>
              <w:ind w:right="108"/>
              <w:spacing w:after="0"/>
              <w:rPr>
                <w:sz w:val="20"/>
                <w:szCs w:val="20"/>
                <w:color w:val="auto"/>
              </w:rPr>
            </w:pPr>
            <w:r>
              <w:rPr>
                <w:rFonts w:ascii="Arial" w:cs="Arial" w:eastAsia="Arial" w:hAnsi="Arial"/>
                <w:sz w:val="18"/>
                <w:szCs w:val="18"/>
                <w:color w:val="auto"/>
              </w:rPr>
              <w:t>246,639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40" w:type="dxa"/>
            <w:vAlign w:val="bottom"/>
          </w:tcPr>
          <w:p>
            <w:pPr>
              <w:spacing w:after="0"/>
              <w:rPr>
                <w:sz w:val="16"/>
                <w:szCs w:val="16"/>
                <w:color w:val="auto"/>
              </w:rPr>
            </w:pPr>
          </w:p>
        </w:tc>
        <w:tc>
          <w:tcPr>
            <w:tcW w:w="1980" w:type="dxa"/>
            <w:vAlign w:val="bottom"/>
          </w:tcPr>
          <w:p>
            <w:pPr>
              <w:jc w:val="center"/>
              <w:ind w:right="330"/>
              <w:spacing w:after="0" w:line="195" w:lineRule="exact"/>
              <w:rPr>
                <w:sz w:val="20"/>
                <w:szCs w:val="20"/>
                <w:color w:val="auto"/>
              </w:rPr>
            </w:pPr>
            <w:r>
              <w:rPr>
                <w:rFonts w:ascii="Arial" w:cs="Arial" w:eastAsia="Arial" w:hAnsi="Arial"/>
                <w:sz w:val="18"/>
                <w:szCs w:val="18"/>
                <w:color w:val="auto"/>
                <w:w w:val="91"/>
              </w:rPr>
              <w:t>SHARES</w:t>
            </w:r>
          </w:p>
        </w:tc>
        <w:tc>
          <w:tcPr>
            <w:tcW w:w="5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1980" w:type="dxa"/>
            <w:vAlign w:val="bottom"/>
          </w:tcPr>
          <w:p>
            <w:pPr>
              <w:jc w:val="center"/>
              <w:ind w:right="330"/>
              <w:spacing w:after="0"/>
              <w:rPr>
                <w:sz w:val="20"/>
                <w:szCs w:val="20"/>
                <w:color w:val="auto"/>
              </w:rPr>
            </w:pPr>
            <w:r>
              <w:rPr>
                <w:rFonts w:ascii="Arial" w:cs="Arial" w:eastAsia="Arial" w:hAnsi="Arial"/>
                <w:sz w:val="18"/>
                <w:szCs w:val="18"/>
                <w:color w:val="auto"/>
              </w:rPr>
              <w:t>BENEFICIALLY</w:t>
            </w:r>
          </w:p>
        </w:tc>
        <w:tc>
          <w:tcPr>
            <w:tcW w:w="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w:t>
            </w:r>
          </w:p>
        </w:tc>
        <w:tc>
          <w:tcPr>
            <w:tcW w:w="58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Shared Voting Power</w:t>
            </w:r>
          </w:p>
        </w:tc>
        <w:tc>
          <w:tcPr>
            <w:tcW w:w="2620" w:type="dxa"/>
            <w:vAlign w:val="bottom"/>
            <w:tcBorders>
              <w:bottom w:val="single" w:sz="8" w:color="auto"/>
            </w:tcBorders>
          </w:tcPr>
          <w:p>
            <w:pPr>
              <w:jc w:val="right"/>
              <w:ind w:right="108"/>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1980" w:type="dxa"/>
            <w:vAlign w:val="bottom"/>
          </w:tcPr>
          <w:p>
            <w:pPr>
              <w:jc w:val="center"/>
              <w:ind w:right="350"/>
              <w:spacing w:after="0" w:line="182" w:lineRule="exact"/>
              <w:rPr>
                <w:sz w:val="20"/>
                <w:szCs w:val="20"/>
                <w:color w:val="auto"/>
              </w:rPr>
            </w:pPr>
            <w:r>
              <w:rPr>
                <w:rFonts w:ascii="Arial" w:cs="Arial" w:eastAsia="Arial" w:hAnsi="Arial"/>
                <w:sz w:val="18"/>
                <w:szCs w:val="18"/>
                <w:color w:val="auto"/>
                <w:w w:val="97"/>
              </w:rPr>
              <w:t>OWNED BY EACH</w:t>
            </w:r>
          </w:p>
        </w:tc>
        <w:tc>
          <w:tcPr>
            <w:tcW w:w="50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980" w:type="dxa"/>
            <w:vAlign w:val="bottom"/>
          </w:tcPr>
          <w:p>
            <w:pPr>
              <w:jc w:val="center"/>
              <w:ind w:right="330"/>
              <w:spacing w:after="0"/>
              <w:rPr>
                <w:sz w:val="20"/>
                <w:szCs w:val="20"/>
                <w:color w:val="auto"/>
              </w:rPr>
            </w:pPr>
            <w:r>
              <w:rPr>
                <w:rFonts w:ascii="Arial" w:cs="Arial" w:eastAsia="Arial" w:hAnsi="Arial"/>
                <w:sz w:val="18"/>
                <w:szCs w:val="18"/>
                <w:color w:val="auto"/>
                <w:w w:val="93"/>
              </w:rPr>
              <w:t>REPORTING</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5880" w:type="dxa"/>
            <w:vAlign w:val="bottom"/>
          </w:tcPr>
          <w:p>
            <w:pPr>
              <w:ind w:left="160"/>
              <w:spacing w:after="0"/>
              <w:rPr>
                <w:sz w:val="20"/>
                <w:szCs w:val="20"/>
                <w:color w:val="auto"/>
              </w:rPr>
            </w:pPr>
            <w:r>
              <w:rPr>
                <w:rFonts w:ascii="Arial" w:cs="Arial" w:eastAsia="Arial" w:hAnsi="Arial"/>
                <w:sz w:val="18"/>
                <w:szCs w:val="18"/>
                <w:color w:val="auto"/>
              </w:rPr>
              <w:t>Sole Dispositive Power</w:t>
            </w:r>
          </w:p>
        </w:tc>
        <w:tc>
          <w:tcPr>
            <w:tcW w:w="2620" w:type="dxa"/>
            <w:vAlign w:val="bottom"/>
          </w:tcPr>
          <w:p>
            <w:pPr>
              <w:jc w:val="right"/>
              <w:ind w:right="108"/>
              <w:spacing w:after="0"/>
              <w:rPr>
                <w:sz w:val="20"/>
                <w:szCs w:val="20"/>
                <w:color w:val="auto"/>
              </w:rPr>
            </w:pPr>
            <w:r>
              <w:rPr>
                <w:rFonts w:ascii="Arial" w:cs="Arial" w:eastAsia="Arial" w:hAnsi="Arial"/>
                <w:sz w:val="18"/>
                <w:szCs w:val="18"/>
                <w:color w:val="auto"/>
              </w:rPr>
              <w:t>246,639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40" w:type="dxa"/>
            <w:vAlign w:val="bottom"/>
          </w:tcPr>
          <w:p>
            <w:pPr>
              <w:spacing w:after="0"/>
              <w:rPr>
                <w:sz w:val="2"/>
                <w:szCs w:val="2"/>
                <w:color w:val="auto"/>
              </w:rPr>
            </w:pPr>
          </w:p>
        </w:tc>
        <w:tc>
          <w:tcPr>
            <w:tcW w:w="1980" w:type="dxa"/>
            <w:vAlign w:val="bottom"/>
            <w:vMerge w:val="restart"/>
          </w:tcPr>
          <w:p>
            <w:pPr>
              <w:jc w:val="center"/>
              <w:ind w:right="330"/>
              <w:spacing w:after="0"/>
              <w:rPr>
                <w:sz w:val="20"/>
                <w:szCs w:val="20"/>
                <w:color w:val="auto"/>
              </w:rPr>
            </w:pPr>
            <w:r>
              <w:rPr>
                <w:rFonts w:ascii="Arial" w:cs="Arial" w:eastAsia="Arial" w:hAnsi="Arial"/>
                <w:sz w:val="18"/>
                <w:szCs w:val="18"/>
                <w:color w:val="auto"/>
                <w:w w:val="94"/>
              </w:rPr>
              <w:t>PERSON WITH</w:t>
            </w:r>
          </w:p>
        </w:tc>
        <w:tc>
          <w:tcPr>
            <w:tcW w:w="500" w:type="dxa"/>
            <w:vAlign w:val="bottom"/>
            <w:tcBorders>
              <w:bottom w:val="single" w:sz="8" w:color="auto"/>
            </w:tcBorders>
          </w:tcPr>
          <w:p>
            <w:pPr>
              <w:spacing w:after="0"/>
              <w:rPr>
                <w:sz w:val="2"/>
                <w:szCs w:val="2"/>
                <w:color w:val="auto"/>
              </w:rPr>
            </w:pPr>
          </w:p>
        </w:tc>
        <w:tc>
          <w:tcPr>
            <w:tcW w:w="58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50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588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2620" w:type="dxa"/>
            <w:vAlign w:val="bottom"/>
            <w:vMerge w:val="restart"/>
          </w:tcPr>
          <w:p>
            <w:pPr>
              <w:jc w:val="right"/>
              <w:ind w:right="108"/>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vMerge w:val="continue"/>
          </w:tcPr>
          <w:p>
            <w:pPr>
              <w:spacing w:after="0"/>
              <w:rPr>
                <w:sz w:val="21"/>
                <w:szCs w:val="21"/>
                <w:color w:val="auto"/>
              </w:rPr>
            </w:pPr>
          </w:p>
        </w:tc>
        <w:tc>
          <w:tcPr>
            <w:tcW w:w="5880" w:type="dxa"/>
            <w:vAlign w:val="bottom"/>
            <w:tcBorders>
              <w:bottom w:val="single" w:sz="8" w:color="auto"/>
            </w:tcBorders>
            <w:vMerge w:val="continue"/>
          </w:tcPr>
          <w:p>
            <w:pPr>
              <w:spacing w:after="0"/>
              <w:rPr>
                <w:sz w:val="21"/>
                <w:szCs w:val="21"/>
                <w:color w:val="auto"/>
              </w:rPr>
            </w:pPr>
          </w:p>
        </w:tc>
        <w:tc>
          <w:tcPr>
            <w:tcW w:w="2620" w:type="dxa"/>
            <w:vAlign w:val="bottom"/>
            <w:tcBorders>
              <w:bottom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(9)</w:t>
            </w:r>
          </w:p>
        </w:tc>
        <w:tc>
          <w:tcPr>
            <w:tcW w:w="836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color w:val="auto"/>
              </w:rPr>
              <w:t>Aggregate Amount Beneficially Owned by Each Reporting Person</w:t>
            </w:r>
          </w:p>
        </w:tc>
        <w:tc>
          <w:tcPr>
            <w:tcW w:w="2620" w:type="dxa"/>
            <w:vAlign w:val="bottom"/>
            <w:tcBorders>
              <w:bottom w:val="single" w:sz="8" w:color="auto"/>
            </w:tcBorders>
          </w:tcPr>
          <w:p>
            <w:pPr>
              <w:jc w:val="right"/>
              <w:ind w:right="108"/>
              <w:spacing w:after="0"/>
              <w:rPr>
                <w:sz w:val="20"/>
                <w:szCs w:val="20"/>
                <w:color w:val="auto"/>
              </w:rPr>
            </w:pPr>
            <w:r>
              <w:rPr>
                <w:rFonts w:ascii="Arial" w:cs="Arial" w:eastAsia="Arial" w:hAnsi="Arial"/>
                <w:sz w:val="18"/>
                <w:szCs w:val="18"/>
                <w:color w:val="auto"/>
              </w:rPr>
              <w:t>246,639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(10)</w:t>
            </w:r>
          </w:p>
        </w:tc>
        <w:tc>
          <w:tcPr>
            <w:tcW w:w="836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2620" w:type="dxa"/>
            <w:vAlign w:val="bottom"/>
            <w:tcBorders>
              <w:bottom w:val="single" w:sz="8" w:color="auto"/>
            </w:tcBorders>
          </w:tcPr>
          <w:p>
            <w:pPr>
              <w:jc w:val="right"/>
              <w:ind w:right="108"/>
              <w:spacing w:after="0" w:line="221" w:lineRule="exact"/>
              <w:rPr>
                <w:sz w:val="20"/>
                <w:szCs w:val="20"/>
                <w:color w:val="auto"/>
              </w:rPr>
            </w:pPr>
            <w:r>
              <w:rPr>
                <w:rFonts w:ascii="MS PGothic" w:cs="MS PGothic" w:eastAsia="MS PGothic" w:hAnsi="MS PGothic"/>
                <w:sz w:val="22"/>
                <w:szCs w:val="22"/>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(11)</w:t>
            </w:r>
          </w:p>
        </w:tc>
        <w:tc>
          <w:tcPr>
            <w:tcW w:w="836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color w:val="auto"/>
              </w:rPr>
              <w:t>Percent of Class Represented by Amount in Row (9)</w:t>
            </w:r>
          </w:p>
        </w:tc>
        <w:tc>
          <w:tcPr>
            <w:tcW w:w="2620" w:type="dxa"/>
            <w:vAlign w:val="bottom"/>
            <w:tcBorders>
              <w:bottom w:val="single" w:sz="8" w:color="auto"/>
            </w:tcBorders>
          </w:tcPr>
          <w:p>
            <w:pPr>
              <w:jc w:val="right"/>
              <w:ind w:right="108"/>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(12)</w:t>
            </w:r>
          </w:p>
        </w:tc>
        <w:tc>
          <w:tcPr>
            <w:tcW w:w="836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color w:val="auto"/>
              </w:rPr>
              <w:t>Type of Reporting Person (See Instructions)</w:t>
            </w:r>
          </w:p>
        </w:tc>
        <w:tc>
          <w:tcPr>
            <w:tcW w:w="2620" w:type="dxa"/>
            <w:vAlign w:val="bottom"/>
            <w:tcBorders>
              <w:bottom w:val="single" w:sz="8" w:color="auto"/>
            </w:tcBorders>
          </w:tcPr>
          <w:p>
            <w:pPr>
              <w:jc w:val="right"/>
              <w:ind w:right="108"/>
              <w:spacing w:after="0"/>
              <w:rPr>
                <w:sz w:val="20"/>
                <w:szCs w:val="20"/>
                <w:color w:val="auto"/>
              </w:rPr>
            </w:pPr>
            <w:r>
              <w:rPr>
                <w:rFonts w:ascii="Arial" w:cs="Arial" w:eastAsia="Arial" w:hAnsi="Arial"/>
                <w:sz w:val="18"/>
                <w:szCs w:val="18"/>
                <w:color w:val="auto"/>
              </w:rPr>
              <w:t>OO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8"/>
        </w:trPr>
        <w:tc>
          <w:tcPr>
            <w:tcW w:w="44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588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63" w:right="21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48"/>
        </w:trPr>
        <w:tc>
          <w:tcPr>
            <w:tcW w:w="24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629337106</w:t>
            </w:r>
          </w:p>
        </w:tc>
        <w:tc>
          <w:tcPr>
            <w:tcW w:w="6600" w:type="dxa"/>
            <w:vAlign w:val="bottom"/>
            <w:tcBorders>
              <w:top w:val="single" w:sz="8" w:color="auto"/>
              <w:right w:val="single" w:sz="8" w:color="auto"/>
            </w:tcBorders>
          </w:tcPr>
          <w:p>
            <w:pPr>
              <w:ind w:left="3120"/>
              <w:spacing w:after="0"/>
              <w:rPr>
                <w:sz w:val="20"/>
                <w:szCs w:val="20"/>
                <w:color w:val="auto"/>
              </w:rPr>
            </w:pPr>
            <w:r>
              <w:rPr>
                <w:rFonts w:ascii="Arial" w:cs="Arial" w:eastAsia="Arial" w:hAnsi="Arial"/>
                <w:sz w:val="18"/>
                <w:szCs w:val="18"/>
                <w:b w:val="1"/>
                <w:bCs w:val="1"/>
                <w:color w:val="auto"/>
              </w:rPr>
              <w:t>13G</w:t>
            </w:r>
          </w:p>
        </w:tc>
        <w:tc>
          <w:tcPr>
            <w:tcW w:w="2380" w:type="dxa"/>
            <w:vAlign w:val="bottom"/>
            <w:tcBorders>
              <w:top w:val="single" w:sz="8" w:color="auto"/>
              <w:right w:val="single" w:sz="8" w:color="auto"/>
            </w:tcBorders>
          </w:tcPr>
          <w:p>
            <w:pPr>
              <w:ind w:left="960"/>
              <w:spacing w:after="0"/>
              <w:rPr>
                <w:sz w:val="20"/>
                <w:szCs w:val="20"/>
                <w:color w:val="auto"/>
              </w:rPr>
            </w:pPr>
            <w:r>
              <w:rPr>
                <w:rFonts w:ascii="Arial" w:cs="Arial" w:eastAsia="Arial" w:hAnsi="Arial"/>
                <w:sz w:val="18"/>
                <w:szCs w:val="18"/>
                <w:b w:val="1"/>
                <w:bCs w:val="1"/>
                <w:color w:val="auto"/>
                <w:w w:val="90"/>
              </w:rPr>
              <w:t>Page 3 of 8 pages</w:t>
            </w:r>
          </w:p>
        </w:tc>
      </w:tr>
      <w:tr>
        <w:trPr>
          <w:trHeight w:val="63"/>
        </w:trPr>
        <w:tc>
          <w:tcPr>
            <w:tcW w:w="2440" w:type="dxa"/>
            <w:vAlign w:val="bottom"/>
            <w:tcBorders>
              <w:left w:val="single" w:sz="8" w:color="auto"/>
              <w:bottom w:val="single" w:sz="8" w:color="auto"/>
              <w:right w:val="single" w:sz="8" w:color="auto"/>
            </w:tcBorders>
          </w:tcPr>
          <w:p>
            <w:pPr>
              <w:spacing w:after="0"/>
              <w:rPr>
                <w:sz w:val="5"/>
                <w:szCs w:val="5"/>
                <w:color w:val="auto"/>
              </w:rPr>
            </w:pPr>
          </w:p>
        </w:tc>
        <w:tc>
          <w:tcPr>
            <w:tcW w:w="660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w:t>
            </w:r>
          </w:p>
        </w:tc>
        <w:tc>
          <w:tcPr>
            <w:tcW w:w="6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Names of Reporting Persons</w:t>
            </w:r>
          </w:p>
        </w:tc>
        <w:tc>
          <w:tcPr>
            <w:tcW w:w="39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color w:val="auto"/>
              </w:rPr>
              <w:t>RICHARD B. FULLERTON</w:t>
            </w:r>
          </w:p>
        </w:tc>
        <w:tc>
          <w:tcPr>
            <w:tcW w:w="0" w:type="dxa"/>
            <w:vAlign w:val="bottom"/>
          </w:tcPr>
          <w:p>
            <w:pPr>
              <w:spacing w:after="0"/>
              <w:rPr>
                <w:sz w:val="1"/>
                <w:szCs w:val="1"/>
                <w:color w:val="auto"/>
              </w:rPr>
            </w:pPr>
          </w:p>
        </w:tc>
      </w:tr>
      <w:tr>
        <w:trPr>
          <w:trHeight w:val="215"/>
        </w:trPr>
        <w:tc>
          <w:tcPr>
            <w:tcW w:w="500" w:type="dxa"/>
            <w:vAlign w:val="bottom"/>
            <w:vMerge w:val="restart"/>
          </w:tcPr>
          <w:p>
            <w:pPr>
              <w:jc w:val="right"/>
              <w:ind w:right="90"/>
              <w:spacing w:after="0"/>
              <w:rPr>
                <w:sz w:val="20"/>
                <w:szCs w:val="20"/>
                <w:color w:val="auto"/>
              </w:rPr>
            </w:pPr>
            <w:r>
              <w:rPr>
                <w:rFonts w:ascii="Arial" w:cs="Arial" w:eastAsia="Arial" w:hAnsi="Arial"/>
                <w:sz w:val="18"/>
                <w:szCs w:val="18"/>
                <w:color w:val="auto"/>
              </w:rPr>
              <w:t>(2)</w:t>
            </w:r>
          </w:p>
        </w:tc>
        <w:tc>
          <w:tcPr>
            <w:tcW w:w="6940" w:type="dxa"/>
            <w:vAlign w:val="bottom"/>
            <w:vMerge w:val="restart"/>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3540" w:type="dxa"/>
            <w:vAlign w:val="bottom"/>
          </w:tcPr>
          <w:p>
            <w:pPr>
              <w:jc w:val="right"/>
              <w:ind w:right="30"/>
              <w:spacing w:after="0"/>
              <w:rPr>
                <w:sz w:val="20"/>
                <w:szCs w:val="20"/>
                <w:color w:val="auto"/>
              </w:rPr>
            </w:pPr>
            <w:r>
              <w:rPr>
                <w:rFonts w:ascii="Arial" w:cs="Arial" w:eastAsia="Arial" w:hAnsi="Arial"/>
                <w:sz w:val="18"/>
                <w:szCs w:val="18"/>
                <w:color w:val="auto"/>
              </w:rPr>
              <w:t>(a)</w:t>
            </w:r>
          </w:p>
        </w:tc>
        <w:tc>
          <w:tcPr>
            <w:tcW w:w="440" w:type="dxa"/>
            <w:vAlign w:val="bottom"/>
          </w:tcPr>
          <w:p>
            <w:pPr>
              <w:jc w:val="right"/>
              <w:ind w:right="112"/>
              <w:spacing w:after="0" w:line="216"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5"/>
        </w:trPr>
        <w:tc>
          <w:tcPr>
            <w:tcW w:w="500" w:type="dxa"/>
            <w:vAlign w:val="bottom"/>
            <w:tcBorders>
              <w:bottom w:val="single" w:sz="8" w:color="auto"/>
            </w:tcBorders>
            <w:vMerge w:val="continue"/>
          </w:tcPr>
          <w:p>
            <w:pPr>
              <w:spacing w:after="0"/>
              <w:rPr>
                <w:sz w:val="23"/>
                <w:szCs w:val="23"/>
                <w:color w:val="auto"/>
              </w:rPr>
            </w:pPr>
          </w:p>
        </w:tc>
        <w:tc>
          <w:tcPr>
            <w:tcW w:w="6940" w:type="dxa"/>
            <w:vAlign w:val="bottom"/>
            <w:tcBorders>
              <w:bottom w:val="single" w:sz="8" w:color="auto"/>
            </w:tcBorders>
            <w:vMerge w:val="continue"/>
          </w:tcPr>
          <w:p>
            <w:pPr>
              <w:spacing w:after="0"/>
              <w:rPr>
                <w:sz w:val="23"/>
                <w:szCs w:val="23"/>
                <w:color w:val="auto"/>
              </w:rPr>
            </w:pPr>
          </w:p>
        </w:tc>
        <w:tc>
          <w:tcPr>
            <w:tcW w:w="3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(b)</w:t>
            </w:r>
          </w:p>
        </w:tc>
        <w:tc>
          <w:tcPr>
            <w:tcW w:w="4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80" w:hanging="575"/>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w:t>
            </w:r>
          </w:p>
        </w:tc>
        <w:tc>
          <w:tcPr>
            <w:tcW w:w="822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color w:val="auto"/>
              </w:rPr>
              <w:t>Citizenship or Place of Organization</w:t>
            </w:r>
          </w:p>
        </w:tc>
        <w:tc>
          <w:tcPr>
            <w:tcW w:w="2760" w:type="dxa"/>
            <w:vAlign w:val="bottom"/>
            <w:tcBorders>
              <w:bottom w:val="single" w:sz="8" w:color="auto"/>
            </w:tcBorders>
          </w:tcPr>
          <w:p>
            <w:pPr>
              <w:jc w:val="right"/>
              <w:ind w:right="108"/>
              <w:spacing w:after="0"/>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40" w:type="dxa"/>
            <w:vAlign w:val="bottom"/>
          </w:tcPr>
          <w:p>
            <w:pPr>
              <w:spacing w:after="0"/>
              <w:rPr>
                <w:sz w:val="24"/>
                <w:szCs w:val="24"/>
                <w:color w:val="auto"/>
              </w:rPr>
            </w:pPr>
          </w:p>
        </w:tc>
        <w:tc>
          <w:tcPr>
            <w:tcW w:w="1980" w:type="dxa"/>
            <w:vAlign w:val="bottom"/>
          </w:tcPr>
          <w:p>
            <w:pPr>
              <w:jc w:val="center"/>
              <w:ind w:right="330"/>
              <w:spacing w:after="0"/>
              <w:rPr>
                <w:sz w:val="20"/>
                <w:szCs w:val="20"/>
                <w:color w:val="auto"/>
              </w:rPr>
            </w:pPr>
            <w:r>
              <w:rPr>
                <w:rFonts w:ascii="Arial" w:cs="Arial" w:eastAsia="Arial" w:hAnsi="Arial"/>
                <w:sz w:val="18"/>
                <w:szCs w:val="18"/>
                <w:color w:val="auto"/>
                <w:w w:val="96"/>
              </w:rPr>
              <w:t>NUMBER OF</w:t>
            </w:r>
          </w:p>
        </w:tc>
        <w:tc>
          <w:tcPr>
            <w:tcW w:w="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w:t>
            </w:r>
          </w:p>
        </w:tc>
        <w:tc>
          <w:tcPr>
            <w:tcW w:w="57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Sole Voting Power</w:t>
            </w:r>
          </w:p>
        </w:tc>
        <w:tc>
          <w:tcPr>
            <w:tcW w:w="2760" w:type="dxa"/>
            <w:vAlign w:val="bottom"/>
            <w:tcBorders>
              <w:bottom w:val="single" w:sz="8" w:color="auto"/>
            </w:tcBorders>
          </w:tcPr>
          <w:p>
            <w:pPr>
              <w:jc w:val="right"/>
              <w:ind w:right="108"/>
              <w:spacing w:after="0"/>
              <w:rPr>
                <w:sz w:val="20"/>
                <w:szCs w:val="20"/>
                <w:color w:val="auto"/>
              </w:rPr>
            </w:pPr>
            <w:r>
              <w:rPr>
                <w:rFonts w:ascii="Arial" w:cs="Arial" w:eastAsia="Arial" w:hAnsi="Arial"/>
                <w:sz w:val="18"/>
                <w:szCs w:val="18"/>
                <w:color w:val="auto"/>
              </w:rPr>
              <w:t>246,639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40" w:type="dxa"/>
            <w:vAlign w:val="bottom"/>
          </w:tcPr>
          <w:p>
            <w:pPr>
              <w:spacing w:after="0"/>
              <w:rPr>
                <w:sz w:val="16"/>
                <w:szCs w:val="16"/>
                <w:color w:val="auto"/>
              </w:rPr>
            </w:pPr>
          </w:p>
        </w:tc>
        <w:tc>
          <w:tcPr>
            <w:tcW w:w="1980" w:type="dxa"/>
            <w:vAlign w:val="bottom"/>
          </w:tcPr>
          <w:p>
            <w:pPr>
              <w:jc w:val="center"/>
              <w:ind w:right="330"/>
              <w:spacing w:after="0" w:line="195" w:lineRule="exact"/>
              <w:rPr>
                <w:sz w:val="20"/>
                <w:szCs w:val="20"/>
                <w:color w:val="auto"/>
              </w:rPr>
            </w:pPr>
            <w:r>
              <w:rPr>
                <w:rFonts w:ascii="Arial" w:cs="Arial" w:eastAsia="Arial" w:hAnsi="Arial"/>
                <w:sz w:val="18"/>
                <w:szCs w:val="18"/>
                <w:color w:val="auto"/>
                <w:w w:val="91"/>
              </w:rPr>
              <w:t>SHARES</w:t>
            </w:r>
          </w:p>
        </w:tc>
        <w:tc>
          <w:tcPr>
            <w:tcW w:w="50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1980" w:type="dxa"/>
            <w:vAlign w:val="bottom"/>
          </w:tcPr>
          <w:p>
            <w:pPr>
              <w:jc w:val="center"/>
              <w:ind w:right="330"/>
              <w:spacing w:after="0"/>
              <w:rPr>
                <w:sz w:val="20"/>
                <w:szCs w:val="20"/>
                <w:color w:val="auto"/>
              </w:rPr>
            </w:pPr>
            <w:r>
              <w:rPr>
                <w:rFonts w:ascii="Arial" w:cs="Arial" w:eastAsia="Arial" w:hAnsi="Arial"/>
                <w:sz w:val="18"/>
                <w:szCs w:val="18"/>
                <w:color w:val="auto"/>
              </w:rPr>
              <w:t>BENEFICIALLY</w:t>
            </w:r>
          </w:p>
        </w:tc>
        <w:tc>
          <w:tcPr>
            <w:tcW w:w="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w:t>
            </w:r>
          </w:p>
        </w:tc>
        <w:tc>
          <w:tcPr>
            <w:tcW w:w="57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Shared Voting Power</w:t>
            </w:r>
          </w:p>
        </w:tc>
        <w:tc>
          <w:tcPr>
            <w:tcW w:w="2760" w:type="dxa"/>
            <w:vAlign w:val="bottom"/>
            <w:tcBorders>
              <w:bottom w:val="single" w:sz="8" w:color="auto"/>
            </w:tcBorders>
          </w:tcPr>
          <w:p>
            <w:pPr>
              <w:jc w:val="right"/>
              <w:ind w:right="108"/>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1980" w:type="dxa"/>
            <w:vAlign w:val="bottom"/>
          </w:tcPr>
          <w:p>
            <w:pPr>
              <w:jc w:val="center"/>
              <w:ind w:right="350"/>
              <w:spacing w:after="0" w:line="182" w:lineRule="exact"/>
              <w:rPr>
                <w:sz w:val="20"/>
                <w:szCs w:val="20"/>
                <w:color w:val="auto"/>
              </w:rPr>
            </w:pPr>
            <w:r>
              <w:rPr>
                <w:rFonts w:ascii="Arial" w:cs="Arial" w:eastAsia="Arial" w:hAnsi="Arial"/>
                <w:sz w:val="18"/>
                <w:szCs w:val="18"/>
                <w:color w:val="auto"/>
                <w:w w:val="97"/>
              </w:rPr>
              <w:t>OWNED BY EACH</w:t>
            </w:r>
          </w:p>
        </w:tc>
        <w:tc>
          <w:tcPr>
            <w:tcW w:w="50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980" w:type="dxa"/>
            <w:vAlign w:val="bottom"/>
          </w:tcPr>
          <w:p>
            <w:pPr>
              <w:jc w:val="center"/>
              <w:ind w:right="330"/>
              <w:spacing w:after="0"/>
              <w:rPr>
                <w:sz w:val="20"/>
                <w:szCs w:val="20"/>
                <w:color w:val="auto"/>
              </w:rPr>
            </w:pPr>
            <w:r>
              <w:rPr>
                <w:rFonts w:ascii="Arial" w:cs="Arial" w:eastAsia="Arial" w:hAnsi="Arial"/>
                <w:sz w:val="18"/>
                <w:szCs w:val="18"/>
                <w:color w:val="auto"/>
                <w:w w:val="93"/>
              </w:rPr>
              <w:t>REPORTING</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5740" w:type="dxa"/>
            <w:vAlign w:val="bottom"/>
          </w:tcPr>
          <w:p>
            <w:pPr>
              <w:ind w:left="160"/>
              <w:spacing w:after="0"/>
              <w:rPr>
                <w:sz w:val="20"/>
                <w:szCs w:val="20"/>
                <w:color w:val="auto"/>
              </w:rPr>
            </w:pPr>
            <w:r>
              <w:rPr>
                <w:rFonts w:ascii="Arial" w:cs="Arial" w:eastAsia="Arial" w:hAnsi="Arial"/>
                <w:sz w:val="18"/>
                <w:szCs w:val="18"/>
                <w:color w:val="auto"/>
              </w:rPr>
              <w:t>Sole Dispositive Power</w:t>
            </w:r>
          </w:p>
        </w:tc>
        <w:tc>
          <w:tcPr>
            <w:tcW w:w="2760" w:type="dxa"/>
            <w:vAlign w:val="bottom"/>
          </w:tcPr>
          <w:p>
            <w:pPr>
              <w:jc w:val="right"/>
              <w:ind w:right="108"/>
              <w:spacing w:after="0"/>
              <w:rPr>
                <w:sz w:val="20"/>
                <w:szCs w:val="20"/>
                <w:color w:val="auto"/>
              </w:rPr>
            </w:pPr>
            <w:r>
              <w:rPr>
                <w:rFonts w:ascii="Arial" w:cs="Arial" w:eastAsia="Arial" w:hAnsi="Arial"/>
                <w:sz w:val="18"/>
                <w:szCs w:val="18"/>
                <w:color w:val="auto"/>
              </w:rPr>
              <w:t>246,639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40" w:type="dxa"/>
            <w:vAlign w:val="bottom"/>
          </w:tcPr>
          <w:p>
            <w:pPr>
              <w:spacing w:after="0"/>
              <w:rPr>
                <w:sz w:val="2"/>
                <w:szCs w:val="2"/>
                <w:color w:val="auto"/>
              </w:rPr>
            </w:pPr>
          </w:p>
        </w:tc>
        <w:tc>
          <w:tcPr>
            <w:tcW w:w="1980" w:type="dxa"/>
            <w:vAlign w:val="bottom"/>
            <w:vMerge w:val="restart"/>
          </w:tcPr>
          <w:p>
            <w:pPr>
              <w:jc w:val="center"/>
              <w:ind w:right="330"/>
              <w:spacing w:after="0"/>
              <w:rPr>
                <w:sz w:val="20"/>
                <w:szCs w:val="20"/>
                <w:color w:val="auto"/>
              </w:rPr>
            </w:pPr>
            <w:r>
              <w:rPr>
                <w:rFonts w:ascii="Arial" w:cs="Arial" w:eastAsia="Arial" w:hAnsi="Arial"/>
                <w:sz w:val="18"/>
                <w:szCs w:val="18"/>
                <w:color w:val="auto"/>
                <w:w w:val="94"/>
              </w:rPr>
              <w:t>PERSON WITH</w:t>
            </w:r>
          </w:p>
        </w:tc>
        <w:tc>
          <w:tcPr>
            <w:tcW w:w="500" w:type="dxa"/>
            <w:vAlign w:val="bottom"/>
            <w:tcBorders>
              <w:bottom w:val="single" w:sz="8" w:color="auto"/>
            </w:tcBorders>
          </w:tcPr>
          <w:p>
            <w:pPr>
              <w:spacing w:after="0"/>
              <w:rPr>
                <w:sz w:val="2"/>
                <w:szCs w:val="2"/>
                <w:color w:val="auto"/>
              </w:rPr>
            </w:pPr>
          </w:p>
        </w:tc>
        <w:tc>
          <w:tcPr>
            <w:tcW w:w="574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50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574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2760" w:type="dxa"/>
            <w:vAlign w:val="bottom"/>
            <w:vMerge w:val="restart"/>
          </w:tcPr>
          <w:p>
            <w:pPr>
              <w:jc w:val="right"/>
              <w:ind w:right="108"/>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vMerge w:val="continue"/>
          </w:tcPr>
          <w:p>
            <w:pPr>
              <w:spacing w:after="0"/>
              <w:rPr>
                <w:sz w:val="21"/>
                <w:szCs w:val="21"/>
                <w:color w:val="auto"/>
              </w:rPr>
            </w:pPr>
          </w:p>
        </w:tc>
        <w:tc>
          <w:tcPr>
            <w:tcW w:w="5740" w:type="dxa"/>
            <w:vAlign w:val="bottom"/>
            <w:tcBorders>
              <w:bottom w:val="single" w:sz="8" w:color="auto"/>
            </w:tcBorders>
            <w:vMerge w:val="continue"/>
          </w:tcPr>
          <w:p>
            <w:pPr>
              <w:spacing w:after="0"/>
              <w:rPr>
                <w:sz w:val="21"/>
                <w:szCs w:val="21"/>
                <w:color w:val="auto"/>
              </w:rPr>
            </w:pPr>
          </w:p>
        </w:tc>
        <w:tc>
          <w:tcPr>
            <w:tcW w:w="2760" w:type="dxa"/>
            <w:vAlign w:val="bottom"/>
            <w:tcBorders>
              <w:bottom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(9)</w:t>
            </w:r>
          </w:p>
        </w:tc>
        <w:tc>
          <w:tcPr>
            <w:tcW w:w="822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color w:val="auto"/>
              </w:rPr>
              <w:t>Aggregate Amount Beneficially Owned by Each Reporting Person</w:t>
            </w:r>
          </w:p>
        </w:tc>
        <w:tc>
          <w:tcPr>
            <w:tcW w:w="2760" w:type="dxa"/>
            <w:vAlign w:val="bottom"/>
            <w:tcBorders>
              <w:bottom w:val="single" w:sz="8" w:color="auto"/>
            </w:tcBorders>
          </w:tcPr>
          <w:p>
            <w:pPr>
              <w:jc w:val="right"/>
              <w:ind w:right="108"/>
              <w:spacing w:after="0"/>
              <w:rPr>
                <w:sz w:val="20"/>
                <w:szCs w:val="20"/>
                <w:color w:val="auto"/>
              </w:rPr>
            </w:pPr>
            <w:r>
              <w:rPr>
                <w:rFonts w:ascii="Arial" w:cs="Arial" w:eastAsia="Arial" w:hAnsi="Arial"/>
                <w:sz w:val="18"/>
                <w:szCs w:val="18"/>
                <w:color w:val="auto"/>
              </w:rPr>
              <w:t>246,639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(10)</w:t>
            </w:r>
          </w:p>
        </w:tc>
        <w:tc>
          <w:tcPr>
            <w:tcW w:w="822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2760" w:type="dxa"/>
            <w:vAlign w:val="bottom"/>
            <w:tcBorders>
              <w:bottom w:val="single" w:sz="8" w:color="auto"/>
            </w:tcBorders>
          </w:tcPr>
          <w:p>
            <w:pPr>
              <w:jc w:val="right"/>
              <w:ind w:right="108"/>
              <w:spacing w:after="0" w:line="221" w:lineRule="exact"/>
              <w:rPr>
                <w:sz w:val="20"/>
                <w:szCs w:val="20"/>
                <w:color w:val="auto"/>
              </w:rPr>
            </w:pPr>
            <w:r>
              <w:rPr>
                <w:rFonts w:ascii="MS PGothic" w:cs="MS PGothic" w:eastAsia="MS PGothic" w:hAnsi="MS PGothic"/>
                <w:sz w:val="22"/>
                <w:szCs w:val="22"/>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(11)</w:t>
            </w:r>
          </w:p>
        </w:tc>
        <w:tc>
          <w:tcPr>
            <w:tcW w:w="822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color w:val="auto"/>
              </w:rPr>
              <w:t>Percent of Class Represented by Amount in Row (9)</w:t>
            </w:r>
          </w:p>
        </w:tc>
        <w:tc>
          <w:tcPr>
            <w:tcW w:w="2760" w:type="dxa"/>
            <w:vAlign w:val="bottom"/>
            <w:tcBorders>
              <w:bottom w:val="single" w:sz="8" w:color="auto"/>
            </w:tcBorders>
          </w:tcPr>
          <w:p>
            <w:pPr>
              <w:jc w:val="right"/>
              <w:ind w:right="108"/>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(12)</w:t>
            </w:r>
          </w:p>
        </w:tc>
        <w:tc>
          <w:tcPr>
            <w:tcW w:w="822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color w:val="auto"/>
              </w:rPr>
              <w:t>Type of Reporting Person (See Instructions)</w:t>
            </w:r>
          </w:p>
        </w:tc>
        <w:tc>
          <w:tcPr>
            <w:tcW w:w="2760" w:type="dxa"/>
            <w:vAlign w:val="bottom"/>
            <w:tcBorders>
              <w:bottom w:val="single" w:sz="8" w:color="auto"/>
            </w:tcBorders>
          </w:tcPr>
          <w:p>
            <w:pPr>
              <w:jc w:val="right"/>
              <w:ind w:right="108"/>
              <w:spacing w:after="0"/>
              <w:rPr>
                <w:sz w:val="20"/>
                <w:szCs w:val="20"/>
                <w:color w:val="auto"/>
              </w:rPr>
            </w:pPr>
            <w:r>
              <w:rPr>
                <w:rFonts w:ascii="Arial" w:cs="Arial" w:eastAsia="Arial" w:hAnsi="Arial"/>
                <w:sz w:val="18"/>
                <w:szCs w:val="18"/>
                <w:color w:val="auto"/>
              </w:rPr>
              <w:t>IN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8"/>
        </w:trPr>
        <w:tc>
          <w:tcPr>
            <w:tcW w:w="44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c>
          <w:tcPr>
            <w:tcW w:w="27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63" w:right="21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48"/>
        </w:trPr>
        <w:tc>
          <w:tcPr>
            <w:tcW w:w="24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629337106</w:t>
            </w:r>
          </w:p>
        </w:tc>
        <w:tc>
          <w:tcPr>
            <w:tcW w:w="6600" w:type="dxa"/>
            <w:vAlign w:val="bottom"/>
            <w:tcBorders>
              <w:top w:val="single" w:sz="8" w:color="auto"/>
              <w:right w:val="single" w:sz="8" w:color="auto"/>
            </w:tcBorders>
          </w:tcPr>
          <w:p>
            <w:pPr>
              <w:ind w:left="3120"/>
              <w:spacing w:after="0"/>
              <w:rPr>
                <w:sz w:val="20"/>
                <w:szCs w:val="20"/>
                <w:color w:val="auto"/>
              </w:rPr>
            </w:pPr>
            <w:r>
              <w:rPr>
                <w:rFonts w:ascii="Arial" w:cs="Arial" w:eastAsia="Arial" w:hAnsi="Arial"/>
                <w:sz w:val="18"/>
                <w:szCs w:val="18"/>
                <w:b w:val="1"/>
                <w:bCs w:val="1"/>
                <w:color w:val="auto"/>
              </w:rPr>
              <w:t>13G</w:t>
            </w:r>
          </w:p>
        </w:tc>
        <w:tc>
          <w:tcPr>
            <w:tcW w:w="2380" w:type="dxa"/>
            <w:vAlign w:val="bottom"/>
            <w:tcBorders>
              <w:top w:val="single" w:sz="8" w:color="auto"/>
              <w:right w:val="single" w:sz="8" w:color="auto"/>
            </w:tcBorders>
          </w:tcPr>
          <w:p>
            <w:pPr>
              <w:ind w:left="960"/>
              <w:spacing w:after="0"/>
              <w:rPr>
                <w:sz w:val="20"/>
                <w:szCs w:val="20"/>
                <w:color w:val="auto"/>
              </w:rPr>
            </w:pPr>
            <w:r>
              <w:rPr>
                <w:rFonts w:ascii="Arial" w:cs="Arial" w:eastAsia="Arial" w:hAnsi="Arial"/>
                <w:sz w:val="18"/>
                <w:szCs w:val="18"/>
                <w:b w:val="1"/>
                <w:bCs w:val="1"/>
                <w:color w:val="auto"/>
                <w:w w:val="90"/>
              </w:rPr>
              <w:t>Page 4 of 8 pages</w:t>
            </w:r>
          </w:p>
        </w:tc>
      </w:tr>
      <w:tr>
        <w:trPr>
          <w:trHeight w:val="63"/>
        </w:trPr>
        <w:tc>
          <w:tcPr>
            <w:tcW w:w="2440" w:type="dxa"/>
            <w:vAlign w:val="bottom"/>
            <w:tcBorders>
              <w:left w:val="single" w:sz="8" w:color="auto"/>
              <w:bottom w:val="single" w:sz="8" w:color="auto"/>
              <w:right w:val="single" w:sz="8" w:color="auto"/>
            </w:tcBorders>
          </w:tcPr>
          <w:p>
            <w:pPr>
              <w:spacing w:after="0"/>
              <w:rPr>
                <w:sz w:val="5"/>
                <w:szCs w:val="5"/>
                <w:color w:val="auto"/>
              </w:rPr>
            </w:pPr>
          </w:p>
        </w:tc>
        <w:tc>
          <w:tcPr>
            <w:tcW w:w="660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Name of Issuer:</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NN,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2000 Waters Edge Drive</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Building C, Suite 12</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Johnson City, TN 37604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Names of Persons Filing:</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RBF Capital, LLC (“RBF”)</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Richard B. Fullerton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business office of each reporting person is:</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100 Drakes Landing Road, Suite 300</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Greenbrae, CA 94904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17"/>
          <w:szCs w:val="17"/>
          <w:color w:val="auto"/>
        </w:rPr>
        <w:t>Reference is made to Item 4 of pages 2 and 3 of this Schedule 13G (this “Schedule”), which Items are incorporated by reference herein.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Common Stock, par value $0.01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629337106</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9" w:lineRule="exact"/>
        <w:rPr>
          <w:sz w:val="20"/>
          <w:szCs w:val="20"/>
          <w:color w:val="auto"/>
        </w:rPr>
      </w:pPr>
    </w:p>
    <w:p>
      <w:pPr>
        <w:ind w:left="1240" w:hanging="422"/>
        <w:spacing w:after="0"/>
        <w:tabs>
          <w:tab w:leader="none" w:pos="1240" w:val="left"/>
        </w:tabs>
        <w:numPr>
          <w:ilvl w:val="0"/>
          <w:numId w:val="4"/>
        </w:numPr>
        <w:rPr>
          <w:rFonts w:ascii="MS PGothic" w:cs="MS PGothic" w:eastAsia="MS PGothic" w:hAnsi="MS PGothic"/>
          <w:sz w:val="22"/>
          <w:szCs w:val="22"/>
          <w:color w:val="auto"/>
        </w:rPr>
      </w:pPr>
      <w:r>
        <w:rPr>
          <w:rFonts w:ascii="Arial" w:cs="Arial" w:eastAsia="Arial" w:hAnsi="Arial"/>
          <w:sz w:val="18"/>
          <w:szCs w:val="18"/>
          <w:color w:val="auto"/>
        </w:rPr>
        <w:t>(a)   Broker or dealer registered under section 15 of the Act (15 U.S.C. 78o).</w:t>
      </w:r>
    </w:p>
    <w:p>
      <w:pPr>
        <w:spacing w:after="0" w:line="245" w:lineRule="exact"/>
        <w:rPr>
          <w:rFonts w:ascii="MS PGothic" w:cs="MS PGothic" w:eastAsia="MS PGothic" w:hAnsi="MS PGothic"/>
          <w:sz w:val="22"/>
          <w:szCs w:val="22"/>
          <w:color w:val="auto"/>
        </w:rPr>
      </w:pPr>
    </w:p>
    <w:p>
      <w:pPr>
        <w:ind w:left="1240" w:hanging="422"/>
        <w:spacing w:after="0"/>
        <w:tabs>
          <w:tab w:leader="none" w:pos="1240" w:val="left"/>
        </w:tabs>
        <w:numPr>
          <w:ilvl w:val="0"/>
          <w:numId w:val="4"/>
        </w:numPr>
        <w:rPr>
          <w:rFonts w:ascii="MS PGothic" w:cs="MS PGothic" w:eastAsia="MS PGothic" w:hAnsi="MS PGothic"/>
          <w:sz w:val="22"/>
          <w:szCs w:val="22"/>
          <w:color w:val="auto"/>
        </w:rPr>
      </w:pPr>
      <w:r>
        <w:rPr>
          <w:rFonts w:ascii="Arial" w:cs="Arial" w:eastAsia="Arial" w:hAnsi="Arial"/>
          <w:sz w:val="18"/>
          <w:szCs w:val="18"/>
          <w:color w:val="auto"/>
        </w:rPr>
        <w:t>(b)   Bank as defined in section 3(a)(6) of the Act (15 U.S.C. 78c).</w:t>
      </w:r>
    </w:p>
    <w:p>
      <w:pPr>
        <w:spacing w:after="0" w:line="245" w:lineRule="exact"/>
        <w:rPr>
          <w:rFonts w:ascii="MS PGothic" w:cs="MS PGothic" w:eastAsia="MS PGothic" w:hAnsi="MS PGothic"/>
          <w:sz w:val="22"/>
          <w:szCs w:val="22"/>
          <w:color w:val="auto"/>
        </w:rPr>
      </w:pPr>
    </w:p>
    <w:p>
      <w:pPr>
        <w:ind w:left="1240" w:hanging="422"/>
        <w:spacing w:after="0"/>
        <w:tabs>
          <w:tab w:leader="none" w:pos="1240" w:val="left"/>
        </w:tabs>
        <w:numPr>
          <w:ilvl w:val="0"/>
          <w:numId w:val="4"/>
        </w:numPr>
        <w:rPr>
          <w:rFonts w:ascii="MS PGothic" w:cs="MS PGothic" w:eastAsia="MS PGothic" w:hAnsi="MS PGothic"/>
          <w:sz w:val="22"/>
          <w:szCs w:val="22"/>
          <w:color w:val="auto"/>
        </w:rPr>
      </w:pPr>
      <w:r>
        <w:rPr>
          <w:rFonts w:ascii="Arial" w:cs="Arial" w:eastAsia="Arial" w:hAnsi="Arial"/>
          <w:sz w:val="18"/>
          <w:szCs w:val="18"/>
          <w:color w:val="auto"/>
        </w:rPr>
        <w:t>(c)   Insurance company as defined in section 3(a)(19) of the Act (15 U.S.C. 78c).</w:t>
      </w:r>
    </w:p>
    <w:p>
      <w:pPr>
        <w:spacing w:after="0" w:line="245" w:lineRule="exact"/>
        <w:rPr>
          <w:rFonts w:ascii="MS PGothic" w:cs="MS PGothic" w:eastAsia="MS PGothic" w:hAnsi="MS PGothic"/>
          <w:sz w:val="22"/>
          <w:szCs w:val="22"/>
          <w:color w:val="auto"/>
        </w:rPr>
      </w:pPr>
    </w:p>
    <w:p>
      <w:pPr>
        <w:ind w:left="1240" w:hanging="422"/>
        <w:spacing w:after="0"/>
        <w:tabs>
          <w:tab w:leader="none" w:pos="1240" w:val="left"/>
        </w:tabs>
        <w:numPr>
          <w:ilvl w:val="0"/>
          <w:numId w:val="4"/>
        </w:numPr>
        <w:rPr>
          <w:rFonts w:ascii="MS PGothic" w:cs="MS PGothic" w:eastAsia="MS PGothic" w:hAnsi="MS PGothic"/>
          <w:sz w:val="22"/>
          <w:szCs w:val="22"/>
          <w:color w:val="auto"/>
        </w:rPr>
      </w:pPr>
      <w:r>
        <w:rPr>
          <w:rFonts w:ascii="Arial" w:cs="Arial" w:eastAsia="Arial" w:hAnsi="Arial"/>
          <w:sz w:val="18"/>
          <w:szCs w:val="18"/>
          <w:color w:val="auto"/>
        </w:rPr>
        <w:t>(d)   Investment company registered under Section 8 of the Investment Company Act of 1940 (15 U.S.C 80a-8).</w:t>
      </w:r>
    </w:p>
    <w:p>
      <w:pPr>
        <w:spacing w:after="0" w:line="245" w:lineRule="exact"/>
        <w:rPr>
          <w:rFonts w:ascii="MS PGothic" w:cs="MS PGothic" w:eastAsia="MS PGothic" w:hAnsi="MS PGothic"/>
          <w:sz w:val="22"/>
          <w:szCs w:val="22"/>
          <w:color w:val="auto"/>
        </w:rPr>
      </w:pPr>
    </w:p>
    <w:p>
      <w:pPr>
        <w:ind w:left="1240" w:hanging="422"/>
        <w:spacing w:after="0"/>
        <w:tabs>
          <w:tab w:leader="none" w:pos="1240" w:val="left"/>
        </w:tabs>
        <w:numPr>
          <w:ilvl w:val="0"/>
          <w:numId w:val="4"/>
        </w:numPr>
        <w:rPr>
          <w:rFonts w:ascii="MS PGothic" w:cs="MS PGothic" w:eastAsia="MS PGothic" w:hAnsi="MS PGothic"/>
          <w:sz w:val="22"/>
          <w:szCs w:val="22"/>
          <w:color w:val="auto"/>
        </w:rPr>
      </w:pPr>
      <w:r>
        <w:rPr>
          <w:rFonts w:ascii="Arial" w:cs="Arial" w:eastAsia="Arial" w:hAnsi="Arial"/>
          <w:sz w:val="18"/>
          <w:szCs w:val="18"/>
          <w:color w:val="auto"/>
        </w:rPr>
        <w:t>(e)   An investment adviser in accordance with §240.13d-1(b)(1)(ii)(E);</w:t>
      </w:r>
    </w:p>
    <w:p>
      <w:pPr>
        <w:spacing w:after="0" w:line="245" w:lineRule="exact"/>
        <w:rPr>
          <w:rFonts w:ascii="MS PGothic" w:cs="MS PGothic" w:eastAsia="MS PGothic" w:hAnsi="MS PGothic"/>
          <w:sz w:val="22"/>
          <w:szCs w:val="22"/>
          <w:color w:val="auto"/>
        </w:rPr>
      </w:pPr>
    </w:p>
    <w:p>
      <w:pPr>
        <w:ind w:left="1240" w:hanging="422"/>
        <w:spacing w:after="0"/>
        <w:tabs>
          <w:tab w:leader="none" w:pos="1240" w:val="left"/>
        </w:tabs>
        <w:numPr>
          <w:ilvl w:val="0"/>
          <w:numId w:val="4"/>
        </w:numPr>
        <w:rPr>
          <w:rFonts w:ascii="MS PGothic" w:cs="MS PGothic" w:eastAsia="MS PGothic" w:hAnsi="MS PGothic"/>
          <w:sz w:val="22"/>
          <w:szCs w:val="22"/>
          <w:color w:val="auto"/>
        </w:rPr>
      </w:pPr>
      <w:r>
        <w:rPr>
          <w:rFonts w:ascii="Arial" w:cs="Arial" w:eastAsia="Arial" w:hAnsi="Arial"/>
          <w:sz w:val="18"/>
          <w:szCs w:val="18"/>
          <w:color w:val="auto"/>
        </w:rPr>
        <w:t>(f)   An employee benefit plan or endowment fund in accordance with §240.13d-1(b)(1)(ii)(F);</w:t>
      </w:r>
    </w:p>
    <w:p>
      <w:pPr>
        <w:spacing w:after="0" w:line="245" w:lineRule="exact"/>
        <w:rPr>
          <w:rFonts w:ascii="MS PGothic" w:cs="MS PGothic" w:eastAsia="MS PGothic" w:hAnsi="MS PGothic"/>
          <w:sz w:val="22"/>
          <w:szCs w:val="22"/>
          <w:color w:val="auto"/>
        </w:rPr>
      </w:pPr>
    </w:p>
    <w:p>
      <w:pPr>
        <w:ind w:left="1240" w:hanging="422"/>
        <w:spacing w:after="0"/>
        <w:tabs>
          <w:tab w:leader="none" w:pos="1240" w:val="left"/>
        </w:tabs>
        <w:numPr>
          <w:ilvl w:val="0"/>
          <w:numId w:val="4"/>
        </w:numPr>
        <w:rPr>
          <w:rFonts w:ascii="MS PGothic" w:cs="MS PGothic" w:eastAsia="MS PGothic" w:hAnsi="MS PGothic"/>
          <w:sz w:val="22"/>
          <w:szCs w:val="22"/>
          <w:color w:val="auto"/>
        </w:rPr>
      </w:pPr>
      <w:r>
        <w:rPr>
          <w:rFonts w:ascii="Arial" w:cs="Arial" w:eastAsia="Arial" w:hAnsi="Arial"/>
          <w:sz w:val="18"/>
          <w:szCs w:val="18"/>
          <w:color w:val="auto"/>
        </w:rPr>
        <w:t>(g)   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4" w:name="page5"/>
    <w:bookmarkEnd w:id="4"/>
    <w:p>
      <w:pPr>
        <w:ind w:left="140"/>
        <w:spacing w:after="0"/>
        <w:tabs>
          <w:tab w:leader="none" w:pos="5540" w:val="left"/>
          <w:tab w:leader="none" w:pos="9960" w:val="left"/>
        </w:tabs>
        <w:rPr>
          <w:sz w:val="20"/>
          <w:szCs w:val="20"/>
          <w:color w:val="auto"/>
        </w:rPr>
      </w:pPr>
      <w:r>
        <w:rPr>
          <w:rFonts w:ascii="Arial" w:cs="Arial" w:eastAsia="Arial" w:hAnsi="Arial"/>
          <w:sz w:val="18"/>
          <w:szCs w:val="18"/>
          <w:b w:val="1"/>
          <w:bCs w:val="1"/>
          <w:color w:val="auto"/>
        </w:rPr>
        <w:t>CUSIP No. 629337106</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5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50430" cy="2184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8440"/>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1240" w:hanging="422"/>
        <w:spacing w:after="0"/>
        <w:tabs>
          <w:tab w:leader="none" w:pos="124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(h)   A savings associations as defined in Section 3(b) of the Federal Deposit Insurance Act (12 U.S.C. 1813);</w:t>
      </w:r>
    </w:p>
    <w:p>
      <w:pPr>
        <w:spacing w:after="0" w:line="245" w:lineRule="exact"/>
        <w:rPr>
          <w:rFonts w:ascii="MS PGothic" w:cs="MS PGothic" w:eastAsia="MS PGothic" w:hAnsi="MS PGothic"/>
          <w:sz w:val="22"/>
          <w:szCs w:val="22"/>
          <w:color w:val="auto"/>
        </w:rPr>
      </w:pPr>
    </w:p>
    <w:p>
      <w:pPr>
        <w:ind w:left="1620" w:right="60" w:hanging="802"/>
        <w:spacing w:after="0" w:line="254" w:lineRule="auto"/>
        <w:tabs>
          <w:tab w:leader="none" w:pos="1224"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(i) A church plan that is excluded from the definition of an investment company under section 3(c)(14) of the Investment Company Act of 1940 (15 U.S.C. 80a-3);</w:t>
      </w:r>
    </w:p>
    <w:p>
      <w:pPr>
        <w:spacing w:after="0" w:line="229" w:lineRule="exact"/>
        <w:rPr>
          <w:rFonts w:ascii="MS PGothic" w:cs="MS PGothic" w:eastAsia="MS PGothic" w:hAnsi="MS PGothic"/>
          <w:sz w:val="22"/>
          <w:szCs w:val="22"/>
          <w:color w:val="auto"/>
        </w:rPr>
      </w:pPr>
    </w:p>
    <w:p>
      <w:pPr>
        <w:ind w:left="1240" w:hanging="422"/>
        <w:spacing w:after="0"/>
        <w:tabs>
          <w:tab w:leader="none" w:pos="124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(j)   A non-U.S. institution in accordance with § 240.13d-1(b)(1)(ii)(J);</w:t>
      </w:r>
    </w:p>
    <w:p>
      <w:pPr>
        <w:spacing w:after="0" w:line="245" w:lineRule="exact"/>
        <w:rPr>
          <w:rFonts w:ascii="MS PGothic" w:cs="MS PGothic" w:eastAsia="MS PGothic" w:hAnsi="MS PGothic"/>
          <w:sz w:val="22"/>
          <w:szCs w:val="22"/>
          <w:color w:val="auto"/>
        </w:rPr>
      </w:pPr>
    </w:p>
    <w:p>
      <w:pPr>
        <w:ind w:left="1260" w:hanging="409"/>
        <w:spacing w:after="0"/>
        <w:tabs>
          <w:tab w:leader="none" w:pos="1260" w:val="left"/>
        </w:tabs>
        <w:numPr>
          <w:ilvl w:val="1"/>
          <w:numId w:val="5"/>
        </w:numPr>
        <w:rPr>
          <w:rFonts w:ascii="MS PGothic" w:cs="MS PGothic" w:eastAsia="MS PGothic" w:hAnsi="MS PGothic"/>
          <w:sz w:val="22"/>
          <w:szCs w:val="22"/>
          <w:color w:val="auto"/>
        </w:rPr>
      </w:pPr>
      <w:r>
        <w:rPr>
          <w:rFonts w:ascii="Arial" w:cs="Arial" w:eastAsia="Arial" w:hAnsi="Arial"/>
          <w:sz w:val="18"/>
          <w:szCs w:val="18"/>
          <w:color w:val="auto"/>
        </w:rPr>
        <w:t>(k)   Group, in accordance with §240.13d-1(b)(1)(ii)(K).</w:t>
      </w:r>
    </w:p>
    <w:p>
      <w:pPr>
        <w:spacing w:after="0" w:line="20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If filing as a non-U.S. institution on accordance with § 240.13d-1(b)(1)(ii)(J), please specify the type of institution: ________________</w:t>
      </w:r>
    </w:p>
    <w:p>
      <w:pPr>
        <w:spacing w:after="0" w:line="23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Reference is hereby made to Items 5-9 and 11 of pages 2 and 3 of this Schedule, which Items are incorporated by reference herein.</w:t>
      </w:r>
    </w:p>
    <w:p>
      <w:pPr>
        <w:spacing w:after="0" w:line="225" w:lineRule="exact"/>
        <w:rPr>
          <w:sz w:val="20"/>
          <w:szCs w:val="20"/>
          <w:color w:val="auto"/>
        </w:rPr>
      </w:pPr>
    </w:p>
    <w:p>
      <w:pPr>
        <w:ind w:firstLine="843"/>
        <w:spacing w:after="0" w:line="257" w:lineRule="auto"/>
        <w:rPr>
          <w:sz w:val="20"/>
          <w:szCs w:val="20"/>
          <w:color w:val="auto"/>
        </w:rPr>
      </w:pPr>
      <w:r>
        <w:rPr>
          <w:rFonts w:ascii="Arial" w:cs="Arial" w:eastAsia="Arial" w:hAnsi="Arial"/>
          <w:sz w:val="18"/>
          <w:szCs w:val="18"/>
          <w:color w:val="auto"/>
        </w:rPr>
        <w:t>The securities reported on this Schedule as beneficially owned by RBF (the “Securities”) are held by or for the benefit of certain investment limited partnerships. RBF, as the general partner and investment manager of those investment limited partnerships, and Richard B. Fullerton, as the managing member of RBF, may therefore be deemed to beneficially own the Securities owned by such investment limited partnerships for the purposes of Rule 13d-3 under the Securities Exchange Act of 1934, as amended (the “Act”), insofar as they may be deemed to have the power to direct the voting or disposition of those Securities.</w:t>
      </w:r>
    </w:p>
    <w:p>
      <w:pPr>
        <w:spacing w:after="0" w:line="188" w:lineRule="exact"/>
        <w:rPr>
          <w:sz w:val="20"/>
          <w:szCs w:val="20"/>
          <w:color w:val="auto"/>
        </w:rPr>
      </w:pPr>
    </w:p>
    <w:p>
      <w:pPr>
        <w:ind w:right="120" w:firstLine="843"/>
        <w:spacing w:after="0" w:line="264" w:lineRule="auto"/>
        <w:rPr>
          <w:sz w:val="20"/>
          <w:szCs w:val="20"/>
          <w:color w:val="auto"/>
        </w:rPr>
      </w:pPr>
      <w:r>
        <w:rPr>
          <w:rFonts w:ascii="Arial" w:cs="Arial" w:eastAsia="Arial" w:hAnsi="Arial"/>
          <w:sz w:val="18"/>
          <w:szCs w:val="18"/>
          <w:color w:val="auto"/>
        </w:rPr>
        <w:t>Neither the filing of this Schedule nor any of its contents shall be deemed to constitute an admission that either RBF or Mr. Fullerton is, for any other purpose, the beneficial owner of any of the Securities, and each of RBF and Mr. Fullerton disclaims beneficial ownership as to the Securities, except to the extent of his or its pecuniary interests therein.</w:t>
      </w:r>
    </w:p>
    <w:p>
      <w:pPr>
        <w:spacing w:after="0" w:line="181" w:lineRule="exact"/>
        <w:rPr>
          <w:sz w:val="20"/>
          <w:szCs w:val="20"/>
          <w:color w:val="auto"/>
        </w:rPr>
      </w:pPr>
    </w:p>
    <w:p>
      <w:pPr>
        <w:ind w:right="40" w:firstLine="843"/>
        <w:spacing w:after="0" w:line="257" w:lineRule="auto"/>
        <w:rPr>
          <w:sz w:val="20"/>
          <w:szCs w:val="20"/>
          <w:color w:val="auto"/>
        </w:rPr>
      </w:pPr>
      <w:r>
        <w:rPr>
          <w:rFonts w:ascii="Arial" w:cs="Arial" w:eastAsia="Arial" w:hAnsi="Arial"/>
          <w:sz w:val="18"/>
          <w:szCs w:val="18"/>
          <w:color w:val="auto"/>
        </w:rPr>
        <w:t>Under the definition of “beneficial ownership” in Rule 13d-3 under the Act, it is also possible that the individual general partners, executive officers, and members of the foregoing entities might be deemed the “beneficial owners” of some or all of the Securities insofar as they may be deemed to share the power to direct the voting or disposition of the Securities. Neither the filing of this Schedule nor any of its contents shall be deemed to constitute an admission that any of such individuals is, for any purpose, the beneficial owner of any of the Securities, and such beneficial ownership is expressly disclaimed.</w:t>
      </w:r>
    </w:p>
    <w:p>
      <w:pPr>
        <w:spacing w:after="0" w:line="188" w:lineRule="exact"/>
        <w:rPr>
          <w:sz w:val="20"/>
          <w:szCs w:val="20"/>
          <w:color w:val="auto"/>
        </w:rPr>
      </w:pPr>
    </w:p>
    <w:p>
      <w:pPr>
        <w:jc w:val="both"/>
        <w:ind w:right="60" w:firstLine="843"/>
        <w:spacing w:after="0" w:line="264" w:lineRule="auto"/>
        <w:rPr>
          <w:sz w:val="20"/>
          <w:szCs w:val="20"/>
          <w:color w:val="auto"/>
        </w:rPr>
      </w:pPr>
      <w:r>
        <w:rPr>
          <w:rFonts w:ascii="Arial" w:cs="Arial" w:eastAsia="Arial" w:hAnsi="Arial"/>
          <w:sz w:val="18"/>
          <w:szCs w:val="18"/>
          <w:color w:val="auto"/>
        </w:rPr>
        <w:t>The calculation of percentage of beneficial ownership in Item 11 of pages 2 and 3 of this Schedule was derived from the issuer’s Quarterly Report on Form 10-Q filed with the Securities and Exchange Commission on November 9, 2010, in which the issuer stated that the number of shares of its common stock, par value $0.01 per share, outstanding as of November 1, 2010 was 16,616,074 shares.</w:t>
      </w:r>
    </w:p>
    <w:p>
      <w:pPr>
        <w:spacing w:after="0" w:line="17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right="180" w:firstLine="843"/>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780" w:right="280" w:hanging="841"/>
        <w:spacing w:after="0" w:line="282" w:lineRule="auto"/>
        <w:tabs>
          <w:tab w:leader="none" w:pos="76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type w:val="continuous"/>
        </w:sectPr>
      </w:pPr>
    </w:p>
    <w:bookmarkStart w:id="5" w:name="page6"/>
    <w:bookmarkEnd w:id="5"/>
    <w:tbl>
      <w:tblPr>
        <w:tblLayout w:type="fixed"/>
        <w:tblInd w:w="10" w:type="dxa"/>
        <w:tblCellMar>
          <w:top w:w="0" w:type="dxa"/>
          <w:left w:w="0" w:type="dxa"/>
          <w:bottom w:w="0" w:type="dxa"/>
          <w:right w:w="0" w:type="dxa"/>
        </w:tblCellMar>
      </w:tblPr>
      <w:tr>
        <w:trPr>
          <w:trHeight w:val="268"/>
        </w:trPr>
        <w:tc>
          <w:tcPr>
            <w:tcW w:w="242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CUSIP No. 629337106</w:t>
            </w:r>
          </w:p>
        </w:tc>
        <w:tc>
          <w:tcPr>
            <w:tcW w:w="6600" w:type="dxa"/>
            <w:vAlign w:val="bottom"/>
            <w:tcBorders>
              <w:top w:val="single" w:sz="8" w:color="auto"/>
              <w:right w:val="single" w:sz="8" w:color="auto"/>
            </w:tcBorders>
          </w:tcPr>
          <w:p>
            <w:pPr>
              <w:ind w:left="3140"/>
              <w:spacing w:after="0"/>
              <w:rPr>
                <w:sz w:val="20"/>
                <w:szCs w:val="20"/>
                <w:color w:val="auto"/>
              </w:rPr>
            </w:pPr>
            <w:r>
              <w:rPr>
                <w:rFonts w:ascii="Arial" w:cs="Arial" w:eastAsia="Arial" w:hAnsi="Arial"/>
                <w:sz w:val="18"/>
                <w:szCs w:val="18"/>
                <w:b w:val="1"/>
                <w:bCs w:val="1"/>
                <w:color w:val="auto"/>
              </w:rPr>
              <w:t>13G</w:t>
            </w:r>
          </w:p>
        </w:tc>
        <w:tc>
          <w:tcPr>
            <w:tcW w:w="2400" w:type="dxa"/>
            <w:vAlign w:val="bottom"/>
            <w:tcBorders>
              <w:top w:val="single" w:sz="8" w:color="auto"/>
              <w:right w:val="single" w:sz="8" w:color="auto"/>
            </w:tcBorders>
          </w:tcPr>
          <w:p>
            <w:pPr>
              <w:ind w:left="960"/>
              <w:spacing w:after="0"/>
              <w:rPr>
                <w:sz w:val="20"/>
                <w:szCs w:val="20"/>
                <w:color w:val="auto"/>
              </w:rPr>
            </w:pPr>
            <w:r>
              <w:rPr>
                <w:rFonts w:ascii="Arial" w:cs="Arial" w:eastAsia="Arial" w:hAnsi="Arial"/>
                <w:sz w:val="18"/>
                <w:szCs w:val="18"/>
                <w:b w:val="1"/>
                <w:bCs w:val="1"/>
                <w:color w:val="auto"/>
                <w:w w:val="92"/>
              </w:rPr>
              <w:t>Page 6 of 8 pages</w:t>
            </w:r>
          </w:p>
        </w:tc>
      </w:tr>
      <w:tr>
        <w:trPr>
          <w:trHeight w:val="56"/>
        </w:trPr>
        <w:tc>
          <w:tcPr>
            <w:tcW w:w="2420" w:type="dxa"/>
            <w:vAlign w:val="bottom"/>
            <w:tcBorders>
              <w:left w:val="single" w:sz="8" w:color="auto"/>
              <w:bottom w:val="single" w:sz="8" w:color="auto"/>
              <w:right w:val="single" w:sz="8" w:color="auto"/>
            </w:tcBorders>
          </w:tcPr>
          <w:p>
            <w:pPr>
              <w:spacing w:after="0"/>
              <w:rPr>
                <w:sz w:val="4"/>
                <w:szCs w:val="4"/>
                <w:color w:val="auto"/>
              </w:rPr>
            </w:pPr>
          </w:p>
        </w:tc>
        <w:tc>
          <w:tcPr>
            <w:tcW w:w="66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bl>
    <w:p>
      <w:pPr>
        <w:spacing w:after="0" w:line="22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right="60" w:firstLine="843"/>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120"/>
        <w:spacing w:after="0"/>
        <w:tabs>
          <w:tab w:leader="none" w:pos="5800" w:val="left"/>
        </w:tabs>
        <w:rPr>
          <w:sz w:val="20"/>
          <w:szCs w:val="20"/>
          <w:color w:val="auto"/>
        </w:rPr>
      </w:pPr>
      <w:r>
        <w:rPr>
          <w:rFonts w:ascii="Arial" w:cs="Arial" w:eastAsia="Arial" w:hAnsi="Arial"/>
          <w:sz w:val="18"/>
          <w:szCs w:val="18"/>
          <w:color w:val="auto"/>
        </w:rPr>
        <w:t>Dated: February 4, 2011</w:t>
      </w:r>
      <w:r>
        <w:rPr>
          <w:sz w:val="20"/>
          <w:szCs w:val="20"/>
          <w:color w:val="auto"/>
        </w:rPr>
        <w:tab/>
      </w:r>
      <w:r>
        <w:rPr>
          <w:rFonts w:ascii="Arial" w:cs="Arial" w:eastAsia="Arial" w:hAnsi="Arial"/>
          <w:sz w:val="17"/>
          <w:szCs w:val="17"/>
          <w:color w:val="auto"/>
        </w:rPr>
        <w:t>RBF CAPITAL, LLC</w:t>
      </w:r>
    </w:p>
    <w:p>
      <w:pPr>
        <w:spacing w:after="0" w:line="200" w:lineRule="exact"/>
        <w:rPr>
          <w:sz w:val="20"/>
          <w:szCs w:val="20"/>
          <w:color w:val="auto"/>
        </w:rPr>
      </w:pPr>
    </w:p>
    <w:p>
      <w:pPr>
        <w:spacing w:after="0" w:line="241" w:lineRule="exact"/>
        <w:rPr>
          <w:sz w:val="20"/>
          <w:szCs w:val="20"/>
          <w:color w:val="auto"/>
        </w:rPr>
      </w:pPr>
    </w:p>
    <w:p>
      <w:pPr>
        <w:ind w:left="5820"/>
        <w:spacing w:after="0"/>
        <w:tabs>
          <w:tab w:leader="none" w:pos="6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B. Fullerton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-10160</wp:posOffset>
            </wp:positionV>
            <wp:extent cx="2136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36775"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Richard B. Fullerton</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Its Managing Member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RICHARD B. FULLERTON</w:t>
      </w:r>
    </w:p>
    <w:p>
      <w:pPr>
        <w:spacing w:after="0" w:line="200" w:lineRule="exact"/>
        <w:rPr>
          <w:sz w:val="20"/>
          <w:szCs w:val="20"/>
          <w:color w:val="auto"/>
        </w:rPr>
      </w:pPr>
    </w:p>
    <w:p>
      <w:pPr>
        <w:spacing w:after="0" w:line="24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Richard B. Fullerton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3698240</wp:posOffset>
            </wp:positionH>
            <wp:positionV relativeFrom="paragraph">
              <wp:posOffset>-10160</wp:posOffset>
            </wp:positionV>
            <wp:extent cx="2422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2252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Richard B. Fullerton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689610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68"/>
        </w:trPr>
        <w:tc>
          <w:tcPr>
            <w:tcW w:w="242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CUSIP No. 629337106</w:t>
            </w:r>
          </w:p>
        </w:tc>
        <w:tc>
          <w:tcPr>
            <w:tcW w:w="2480" w:type="dxa"/>
            <w:vAlign w:val="bottom"/>
            <w:tcBorders>
              <w:top w:val="single" w:sz="8" w:color="auto"/>
            </w:tcBorders>
          </w:tcPr>
          <w:p>
            <w:pPr>
              <w:spacing w:after="0"/>
              <w:rPr>
                <w:sz w:val="23"/>
                <w:szCs w:val="23"/>
                <w:color w:val="auto"/>
              </w:rPr>
            </w:pPr>
          </w:p>
        </w:tc>
        <w:tc>
          <w:tcPr>
            <w:tcW w:w="4120" w:type="dxa"/>
            <w:vAlign w:val="bottom"/>
            <w:tcBorders>
              <w:top w:val="single" w:sz="8" w:color="auto"/>
              <w:right w:val="single" w:sz="8" w:color="auto"/>
            </w:tcBorders>
          </w:tcPr>
          <w:p>
            <w:pPr>
              <w:jc w:val="center"/>
              <w:ind w:right="2390"/>
              <w:spacing w:after="0"/>
              <w:rPr>
                <w:sz w:val="20"/>
                <w:szCs w:val="20"/>
                <w:color w:val="auto"/>
              </w:rPr>
            </w:pPr>
            <w:r>
              <w:rPr>
                <w:rFonts w:ascii="Arial" w:cs="Arial" w:eastAsia="Arial" w:hAnsi="Arial"/>
                <w:sz w:val="18"/>
                <w:szCs w:val="18"/>
                <w:b w:val="1"/>
                <w:bCs w:val="1"/>
                <w:color w:val="auto"/>
                <w:w w:val="93"/>
              </w:rPr>
              <w:t>13G</w:t>
            </w:r>
          </w:p>
        </w:tc>
        <w:tc>
          <w:tcPr>
            <w:tcW w:w="2400" w:type="dxa"/>
            <w:vAlign w:val="bottom"/>
            <w:tcBorders>
              <w:top w:val="single" w:sz="8" w:color="auto"/>
              <w:right w:val="single" w:sz="8" w:color="auto"/>
            </w:tcBorders>
          </w:tcPr>
          <w:p>
            <w:pPr>
              <w:ind w:left="960"/>
              <w:spacing w:after="0"/>
              <w:rPr>
                <w:sz w:val="20"/>
                <w:szCs w:val="20"/>
                <w:color w:val="auto"/>
              </w:rPr>
            </w:pPr>
            <w:r>
              <w:rPr>
                <w:rFonts w:ascii="Arial" w:cs="Arial" w:eastAsia="Arial" w:hAnsi="Arial"/>
                <w:sz w:val="18"/>
                <w:szCs w:val="18"/>
                <w:b w:val="1"/>
                <w:bCs w:val="1"/>
                <w:color w:val="auto"/>
                <w:w w:val="92"/>
              </w:rPr>
              <w:t>Page 7 of 8 pages</w:t>
            </w:r>
          </w:p>
        </w:tc>
        <w:tc>
          <w:tcPr>
            <w:tcW w:w="20" w:type="dxa"/>
            <w:vAlign w:val="bottom"/>
          </w:tcPr>
          <w:p>
            <w:pPr>
              <w:spacing w:after="0"/>
              <w:rPr>
                <w:sz w:val="23"/>
                <w:szCs w:val="23"/>
                <w:color w:val="auto"/>
              </w:rPr>
            </w:pPr>
          </w:p>
        </w:tc>
      </w:tr>
      <w:tr>
        <w:trPr>
          <w:trHeight w:val="56"/>
        </w:trPr>
        <w:tc>
          <w:tcPr>
            <w:tcW w:w="2420" w:type="dxa"/>
            <w:vAlign w:val="bottom"/>
            <w:tcBorders>
              <w:left w:val="single" w:sz="8" w:color="auto"/>
              <w:bottom w:val="single" w:sz="8" w:color="auto"/>
              <w:right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412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699"/>
        </w:trPr>
        <w:tc>
          <w:tcPr>
            <w:tcW w:w="24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120" w:type="dxa"/>
            <w:vAlign w:val="bottom"/>
          </w:tcPr>
          <w:p>
            <w:pPr>
              <w:jc w:val="center"/>
              <w:ind w:right="2410"/>
              <w:spacing w:after="0"/>
              <w:rPr>
                <w:sz w:val="20"/>
                <w:szCs w:val="20"/>
                <w:color w:val="auto"/>
              </w:rPr>
            </w:pPr>
            <w:r>
              <w:rPr>
                <w:rFonts w:ascii="Arial" w:cs="Arial" w:eastAsia="Arial" w:hAnsi="Arial"/>
                <w:sz w:val="18"/>
                <w:szCs w:val="18"/>
                <w:b w:val="1"/>
                <w:bCs w:val="1"/>
                <w:color w:val="auto"/>
              </w:rPr>
              <w:t>EXHIBIT LIST</w:t>
            </w: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2420" w:type="dxa"/>
            <w:vAlign w:val="bottom"/>
          </w:tcPr>
          <w:p>
            <w:pPr>
              <w:spacing w:after="0"/>
              <w:rPr>
                <w:sz w:val="24"/>
                <w:szCs w:val="24"/>
                <w:color w:val="auto"/>
              </w:rPr>
            </w:pPr>
          </w:p>
        </w:tc>
        <w:tc>
          <w:tcPr>
            <w:tcW w:w="2480" w:type="dxa"/>
            <w:vAlign w:val="bottom"/>
          </w:tcPr>
          <w:p>
            <w:pPr>
              <w:ind w:left="1560"/>
              <w:spacing w:after="0"/>
              <w:rPr>
                <w:sz w:val="20"/>
                <w:szCs w:val="20"/>
                <w:color w:val="auto"/>
              </w:rPr>
            </w:pPr>
            <w:r>
              <w:rPr>
                <w:rFonts w:ascii="Arial" w:cs="Arial" w:eastAsia="Arial" w:hAnsi="Arial"/>
                <w:sz w:val="18"/>
                <w:szCs w:val="18"/>
                <w:color w:val="auto"/>
              </w:rPr>
              <w:t>Exhibit A</w:t>
            </w:r>
          </w:p>
        </w:tc>
        <w:tc>
          <w:tcPr>
            <w:tcW w:w="4120" w:type="dxa"/>
            <w:vAlign w:val="bottom"/>
          </w:tcPr>
          <w:p>
            <w:pPr>
              <w:ind w:left="780"/>
              <w:spacing w:after="0"/>
              <w:rPr>
                <w:sz w:val="20"/>
                <w:szCs w:val="20"/>
                <w:color w:val="auto"/>
              </w:rPr>
            </w:pPr>
            <w:r>
              <w:rPr>
                <w:rFonts w:ascii="Arial" w:cs="Arial" w:eastAsia="Arial" w:hAnsi="Arial"/>
                <w:sz w:val="18"/>
                <w:szCs w:val="18"/>
                <w:color w:val="auto"/>
              </w:rPr>
              <w:t>Joint Filing Undertaking</w:t>
            </w: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1"/>
        </w:trPr>
        <w:tc>
          <w:tcPr>
            <w:tcW w:w="242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c>
          <w:tcPr>
            <w:tcW w:w="412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59" w:right="21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68"/>
        </w:trPr>
        <w:tc>
          <w:tcPr>
            <w:tcW w:w="242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CUSIP No. 629337106</w:t>
            </w:r>
          </w:p>
        </w:tc>
        <w:tc>
          <w:tcPr>
            <w:tcW w:w="6600" w:type="dxa"/>
            <w:vAlign w:val="bottom"/>
            <w:tcBorders>
              <w:top w:val="single" w:sz="8" w:color="auto"/>
              <w:right w:val="single" w:sz="8" w:color="auto"/>
            </w:tcBorders>
          </w:tcPr>
          <w:p>
            <w:pPr>
              <w:ind w:left="3140"/>
              <w:spacing w:after="0"/>
              <w:rPr>
                <w:sz w:val="20"/>
                <w:szCs w:val="20"/>
                <w:color w:val="auto"/>
              </w:rPr>
            </w:pPr>
            <w:r>
              <w:rPr>
                <w:rFonts w:ascii="Arial" w:cs="Arial" w:eastAsia="Arial" w:hAnsi="Arial"/>
                <w:sz w:val="18"/>
                <w:szCs w:val="18"/>
                <w:b w:val="1"/>
                <w:bCs w:val="1"/>
                <w:color w:val="auto"/>
              </w:rPr>
              <w:t>13G</w:t>
            </w:r>
          </w:p>
        </w:tc>
        <w:tc>
          <w:tcPr>
            <w:tcW w:w="2400" w:type="dxa"/>
            <w:vAlign w:val="bottom"/>
            <w:tcBorders>
              <w:top w:val="single" w:sz="8" w:color="auto"/>
              <w:right w:val="single" w:sz="8" w:color="auto"/>
            </w:tcBorders>
          </w:tcPr>
          <w:p>
            <w:pPr>
              <w:ind w:left="960"/>
              <w:spacing w:after="0"/>
              <w:rPr>
                <w:sz w:val="20"/>
                <w:szCs w:val="20"/>
                <w:color w:val="auto"/>
              </w:rPr>
            </w:pPr>
            <w:r>
              <w:rPr>
                <w:rFonts w:ascii="Arial" w:cs="Arial" w:eastAsia="Arial" w:hAnsi="Arial"/>
                <w:sz w:val="18"/>
                <w:szCs w:val="18"/>
                <w:b w:val="1"/>
                <w:bCs w:val="1"/>
                <w:color w:val="auto"/>
                <w:w w:val="92"/>
              </w:rPr>
              <w:t>Page 8 of 8 pages</w:t>
            </w:r>
          </w:p>
        </w:tc>
      </w:tr>
      <w:tr>
        <w:trPr>
          <w:trHeight w:val="56"/>
        </w:trPr>
        <w:tc>
          <w:tcPr>
            <w:tcW w:w="2420" w:type="dxa"/>
            <w:vAlign w:val="bottom"/>
            <w:tcBorders>
              <w:left w:val="single" w:sz="8" w:color="auto"/>
              <w:bottom w:val="single" w:sz="8" w:color="auto"/>
              <w:right w:val="single" w:sz="8" w:color="auto"/>
            </w:tcBorders>
          </w:tcPr>
          <w:p>
            <w:pPr>
              <w:spacing w:after="0"/>
              <w:rPr>
                <w:sz w:val="4"/>
                <w:szCs w:val="4"/>
                <w:color w:val="auto"/>
              </w:rPr>
            </w:pPr>
          </w:p>
        </w:tc>
        <w:tc>
          <w:tcPr>
            <w:tcW w:w="6600" w:type="dxa"/>
            <w:vAlign w:val="bottom"/>
            <w:tcBorders>
              <w:bottom w:val="single" w:sz="8" w:color="auto"/>
              <w:right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UNDERTAKING</w:t>
      </w:r>
    </w:p>
    <w:p>
      <w:pPr>
        <w:spacing w:after="0" w:line="229" w:lineRule="exact"/>
        <w:rPr>
          <w:sz w:val="20"/>
          <w:szCs w:val="20"/>
          <w:color w:val="auto"/>
        </w:rPr>
      </w:pPr>
    </w:p>
    <w:p>
      <w:pPr>
        <w:ind w:right="180" w:firstLine="843"/>
        <w:spacing w:after="0" w:line="264" w:lineRule="auto"/>
        <w:rPr>
          <w:sz w:val="20"/>
          <w:szCs w:val="20"/>
          <w:color w:val="auto"/>
        </w:rPr>
      </w:pPr>
      <w:r>
        <w:rPr>
          <w:rFonts w:ascii="Arial" w:cs="Arial" w:eastAsia="Arial" w:hAnsi="Arial"/>
          <w:sz w:val="18"/>
          <w:szCs w:val="18"/>
          <w:color w:val="auto"/>
        </w:rPr>
        <w:t>The undersigned, being authorized thereunto, hereby execute this agreement as an exhibit to this Schedule 13G to evidence the agreement of the below-named parties, in accordance with rules promulgated pursuant to the Securities Exchange Act of 1934, to file this Schedule, as it may be amended, jointly on behalf of each of such parties.</w:t>
      </w:r>
    </w:p>
    <w:p>
      <w:pPr>
        <w:spacing w:after="0" w:line="397" w:lineRule="exact"/>
        <w:rPr>
          <w:sz w:val="20"/>
          <w:szCs w:val="20"/>
          <w:color w:val="auto"/>
        </w:rPr>
      </w:pPr>
    </w:p>
    <w:p>
      <w:pPr>
        <w:ind w:left="120"/>
        <w:spacing w:after="0"/>
        <w:tabs>
          <w:tab w:leader="none" w:pos="5800" w:val="left"/>
        </w:tabs>
        <w:rPr>
          <w:sz w:val="20"/>
          <w:szCs w:val="20"/>
          <w:color w:val="auto"/>
        </w:rPr>
      </w:pPr>
      <w:r>
        <w:rPr>
          <w:rFonts w:ascii="Arial" w:cs="Arial" w:eastAsia="Arial" w:hAnsi="Arial"/>
          <w:sz w:val="18"/>
          <w:szCs w:val="18"/>
          <w:color w:val="auto"/>
        </w:rPr>
        <w:t>Dated: February 4, 2011</w:t>
      </w:r>
      <w:r>
        <w:rPr>
          <w:sz w:val="20"/>
          <w:szCs w:val="20"/>
          <w:color w:val="auto"/>
        </w:rPr>
        <w:tab/>
      </w:r>
      <w:r>
        <w:rPr>
          <w:rFonts w:ascii="Arial" w:cs="Arial" w:eastAsia="Arial" w:hAnsi="Arial"/>
          <w:sz w:val="17"/>
          <w:szCs w:val="17"/>
          <w:color w:val="auto"/>
        </w:rPr>
        <w:t>RBF CAPITAL, LLC</w:t>
      </w:r>
    </w:p>
    <w:p>
      <w:pPr>
        <w:spacing w:after="0" w:line="200" w:lineRule="exact"/>
        <w:rPr>
          <w:sz w:val="20"/>
          <w:szCs w:val="20"/>
          <w:color w:val="auto"/>
        </w:rPr>
      </w:pPr>
    </w:p>
    <w:p>
      <w:pPr>
        <w:spacing w:after="0" w:line="241" w:lineRule="exact"/>
        <w:rPr>
          <w:sz w:val="20"/>
          <w:szCs w:val="20"/>
          <w:color w:val="auto"/>
        </w:rPr>
      </w:pPr>
    </w:p>
    <w:p>
      <w:pPr>
        <w:ind w:left="5820"/>
        <w:spacing w:after="0"/>
        <w:tabs>
          <w:tab w:leader="none" w:pos="6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B. Fullerton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-10160</wp:posOffset>
            </wp:positionV>
            <wp:extent cx="2136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36775"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Richard B. Fullerton</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Its Managing Member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RICHARD B. FULLERTON</w:t>
      </w:r>
    </w:p>
    <w:p>
      <w:pPr>
        <w:spacing w:after="0" w:line="200" w:lineRule="exact"/>
        <w:rPr>
          <w:sz w:val="20"/>
          <w:szCs w:val="20"/>
          <w:color w:val="auto"/>
        </w:rPr>
      </w:pPr>
    </w:p>
    <w:p>
      <w:pPr>
        <w:spacing w:after="0" w:line="24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Richard B. Fullerton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3698240</wp:posOffset>
            </wp:positionH>
            <wp:positionV relativeFrom="paragraph">
              <wp:posOffset>-10160</wp:posOffset>
            </wp:positionV>
            <wp:extent cx="24225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2252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Richard B. Fullerton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1)"/>
      <w:numFmt w:val="decimal"/>
      <w:start w:val="3"/>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2019-12-10T12:49:13Z</dcterms:created>
  <dcterms:modified xsi:type="dcterms:W3CDTF">2019-12-10T12:49:13Z</dcterms:modified>
</cp:coreProperties>
</file>